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251FE" w14:textId="08195168" w:rsidR="00996AD9" w:rsidRDefault="00996AD9" w:rsidP="005507F9">
      <w:pPr>
        <w:pStyle w:val="03-SubttulodeNota"/>
        <w:spacing w:line="276" w:lineRule="auto"/>
        <w:rPr>
          <w:color w:val="1F4E79" w:themeColor="accent1" w:themeShade="80"/>
        </w:rPr>
      </w:pPr>
      <w:r w:rsidRPr="00996AD9">
        <w:rPr>
          <w:noProof/>
          <w:color w:val="1F4E79" w:themeColor="accent1" w:themeShade="80"/>
        </w:rPr>
        <mc:AlternateContent>
          <mc:Choice Requires="wps">
            <w:drawing>
              <wp:anchor distT="0" distB="0" distL="114300" distR="114300" simplePos="0" relativeHeight="251661311" behindDoc="0" locked="0" layoutInCell="1" allowOverlap="1" wp14:anchorId="4E54B283" wp14:editId="55419662">
                <wp:simplePos x="0" y="0"/>
                <wp:positionH relativeFrom="page">
                  <wp:posOffset>0</wp:posOffset>
                </wp:positionH>
                <wp:positionV relativeFrom="paragraph">
                  <wp:posOffset>-708973</wp:posOffset>
                </wp:positionV>
                <wp:extent cx="7560000" cy="10692000"/>
                <wp:effectExtent l="0" t="0" r="3175" b="0"/>
                <wp:wrapNone/>
                <wp:docPr id="35" name="Retângulo 1"/>
                <wp:cNvGraphicFramePr/>
                <a:graphic xmlns:a="http://schemas.openxmlformats.org/drawingml/2006/main">
                  <a:graphicData uri="http://schemas.microsoft.com/office/word/2010/wordprocessingShape">
                    <wps:wsp>
                      <wps:cNvSpPr/>
                      <wps:spPr>
                        <a:xfrm>
                          <a:off x="0" y="0"/>
                          <a:ext cx="7560000" cy="10692000"/>
                        </a:xfrm>
                        <a:prstGeom prst="rect">
                          <a:avLst/>
                        </a:prstGeom>
                        <a:gradFill flip="none" rotWithShape="0">
                          <a:gsLst>
                            <a:gs pos="48000">
                              <a:schemeClr val="bg1">
                                <a:lumMod val="85000"/>
                              </a:schemeClr>
                            </a:gs>
                            <a:gs pos="0">
                              <a:schemeClr val="bg1"/>
                            </a:gs>
                            <a:gs pos="100000">
                              <a:srgbClr val="0038A8"/>
                            </a:gs>
                          </a:gsLst>
                          <a:lin ang="16200000" scaled="0"/>
                          <a:tileRect/>
                        </a:gradFill>
                        <a:ln>
                          <a:noFill/>
                        </a:ln>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FDC7805" id="Retângulo 1" o:spid="_x0000_s1026" style="position:absolute;margin-left:0;margin-top:-55.8pt;width:595.3pt;height:841.9pt;z-index:251661311;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" fillcolor="white [3212]" stroked="f" strokeweight=".5pt">
                <v:fill color2="#0038a8" angle="180" colors="0 white;31457f #d9d9d9;1 #0038a8" focus="100%" type="gradient">
                  <o:fill v:ext="view" type="gradientUnscaled"/>
                </v:fill>
                <w10:wrap anchorx="page"/>
              </v:rect>
            </w:pict>
          </mc:Fallback>
        </mc:AlternateContent>
      </w:r>
      <w:r w:rsidRPr="00996AD9">
        <w:rPr>
          <w:noProof/>
          <w:color w:val="1F4E79" w:themeColor="accent1" w:themeShade="80"/>
        </w:rPr>
        <w:drawing>
          <wp:anchor distT="0" distB="0" distL="114300" distR="114300" simplePos="0" relativeHeight="251662336" behindDoc="0" locked="0" layoutInCell="1" allowOverlap="1" wp14:anchorId="17226FE4" wp14:editId="2EE4D35C">
            <wp:simplePos x="0" y="0"/>
            <wp:positionH relativeFrom="column">
              <wp:posOffset>5360670</wp:posOffset>
            </wp:positionH>
            <wp:positionV relativeFrom="paragraph">
              <wp:posOffset>7732395</wp:posOffset>
            </wp:positionV>
            <wp:extent cx="1541780" cy="1927225"/>
            <wp:effectExtent l="0" t="0" r="0" b="0"/>
            <wp:wrapNone/>
            <wp:docPr id="17"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6"/>
                    <pic:cNvPicPr>
                      <a:picLocks noChangeAspect="1"/>
                    </pic:cNvPicPr>
                  </pic:nvPicPr>
                  <pic:blipFill rotWithShape="1">
                    <a:blip r:embed="rId8">
                      <a:extLst>
                        <a:ext uri="{28A0092B-C50C-407E-A947-70E740481C1C}">
                          <a14:useLocalDpi xmlns:a14="http://schemas.microsoft.com/office/drawing/2010/main" val="0"/>
                        </a:ext>
                      </a:extLst>
                    </a:blip>
                    <a:srcRect l="78215" t="52752" r="6099" b="12389"/>
                    <a:stretch/>
                  </pic:blipFill>
                  <pic:spPr>
                    <a:xfrm>
                      <a:off x="0" y="0"/>
                      <a:ext cx="1541780" cy="1927225"/>
                    </a:xfrm>
                    <a:prstGeom prst="rect">
                      <a:avLst/>
                    </a:prstGeom>
                  </pic:spPr>
                </pic:pic>
              </a:graphicData>
            </a:graphic>
          </wp:anchor>
        </w:drawing>
      </w:r>
      <w:r w:rsidRPr="00996AD9">
        <w:rPr>
          <w:noProof/>
          <w:color w:val="1F4E79" w:themeColor="accent1" w:themeShade="80"/>
        </w:rPr>
        <w:drawing>
          <wp:anchor distT="0" distB="0" distL="114300" distR="114300" simplePos="0" relativeHeight="251663360" behindDoc="0" locked="0" layoutInCell="1" allowOverlap="1" wp14:anchorId="57150EBF" wp14:editId="502E3BD0">
            <wp:simplePos x="0" y="0"/>
            <wp:positionH relativeFrom="column">
              <wp:posOffset>5118100</wp:posOffset>
            </wp:positionH>
            <wp:positionV relativeFrom="paragraph">
              <wp:posOffset>5727065</wp:posOffset>
            </wp:positionV>
            <wp:extent cx="1644650" cy="1515745"/>
            <wp:effectExtent l="0" t="0" r="0" b="0"/>
            <wp:wrapNone/>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18"/>
                    <pic:cNvPicPr>
                      <a:picLocks noChangeAspect="1"/>
                    </pic:cNvPicPr>
                  </pic:nvPicPr>
                  <pic:blipFill rotWithShape="1">
                    <a:blip r:embed="rId8">
                      <a:extLst>
                        <a:ext uri="{28A0092B-C50C-407E-A947-70E740481C1C}">
                          <a14:useLocalDpi xmlns:a14="http://schemas.microsoft.com/office/drawing/2010/main" val="0"/>
                        </a:ext>
                      </a:extLst>
                    </a:blip>
                    <a:srcRect l="10437" t="18823" r="69563" b="48409"/>
                    <a:stretch/>
                  </pic:blipFill>
                  <pic:spPr>
                    <a:xfrm>
                      <a:off x="0" y="0"/>
                      <a:ext cx="1644650" cy="1515745"/>
                    </a:xfrm>
                    <a:prstGeom prst="rect">
                      <a:avLst/>
                    </a:prstGeom>
                  </pic:spPr>
                </pic:pic>
              </a:graphicData>
            </a:graphic>
          </wp:anchor>
        </w:drawing>
      </w:r>
      <w:r w:rsidRPr="00996AD9">
        <w:rPr>
          <w:noProof/>
          <w:color w:val="1F4E79" w:themeColor="accent1" w:themeShade="80"/>
        </w:rPr>
        <w:drawing>
          <wp:anchor distT="0" distB="0" distL="114300" distR="114300" simplePos="0" relativeHeight="251664384" behindDoc="0" locked="0" layoutInCell="1" allowOverlap="1" wp14:anchorId="026CC288" wp14:editId="09C7C71C">
            <wp:simplePos x="0" y="0"/>
            <wp:positionH relativeFrom="column">
              <wp:posOffset>5311140</wp:posOffset>
            </wp:positionH>
            <wp:positionV relativeFrom="paragraph">
              <wp:posOffset>-767080</wp:posOffset>
            </wp:positionV>
            <wp:extent cx="1387475" cy="1856105"/>
            <wp:effectExtent l="0" t="0" r="0" b="0"/>
            <wp:wrapNone/>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9"/>
                    <pic:cNvPicPr>
                      <a:picLocks noChangeAspect="1"/>
                    </pic:cNvPicPr>
                  </pic:nvPicPr>
                  <pic:blipFill rotWithShape="1">
                    <a:blip r:embed="rId9">
                      <a:extLst>
                        <a:ext uri="{BEBA8EAE-BF5A-486C-A8C5-ECC9F3942E4B}">
                          <a14:imgProps xmlns:a14="http://schemas.microsoft.com/office/drawing/2010/main">
                            <a14:imgLayer r:embed="rId10">
                              <a14:imgEffect>
                                <a14:colorTemperature colorTemp="4700"/>
                              </a14:imgEffect>
                            </a14:imgLayer>
                          </a14:imgProps>
                        </a:ext>
                        <a:ext uri="{28A0092B-C50C-407E-A947-70E740481C1C}">
                          <a14:useLocalDpi xmlns:a14="http://schemas.microsoft.com/office/drawing/2010/main" val="0"/>
                        </a:ext>
                      </a:extLst>
                    </a:blip>
                    <a:srcRect l="34358" t="19020" r="51525" b="47407"/>
                    <a:stretch/>
                  </pic:blipFill>
                  <pic:spPr>
                    <a:xfrm>
                      <a:off x="0" y="0"/>
                      <a:ext cx="1387475" cy="1856105"/>
                    </a:xfrm>
                    <a:prstGeom prst="rect">
                      <a:avLst/>
                    </a:prstGeom>
                  </pic:spPr>
                </pic:pic>
              </a:graphicData>
            </a:graphic>
          </wp:anchor>
        </w:drawing>
      </w:r>
      <w:r w:rsidRPr="00996AD9">
        <w:rPr>
          <w:noProof/>
          <w:color w:val="1F4E79" w:themeColor="accent1" w:themeShade="80"/>
        </w:rPr>
        <w:drawing>
          <wp:anchor distT="0" distB="0" distL="114300" distR="114300" simplePos="0" relativeHeight="251665408" behindDoc="0" locked="0" layoutInCell="1" allowOverlap="1" wp14:anchorId="525E6808" wp14:editId="5CC196EC">
            <wp:simplePos x="0" y="0"/>
            <wp:positionH relativeFrom="column">
              <wp:posOffset>5076190</wp:posOffset>
            </wp:positionH>
            <wp:positionV relativeFrom="paragraph">
              <wp:posOffset>3633470</wp:posOffset>
            </wp:positionV>
            <wp:extent cx="1811655" cy="1811655"/>
            <wp:effectExtent l="0" t="0" r="0" b="0"/>
            <wp:wrapNone/>
            <wp:docPr id="22"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0"/>
                    <pic:cNvPicPr>
                      <a:picLocks noChangeAspect="1"/>
                    </pic:cNvPicPr>
                  </pic:nvPicPr>
                  <pic:blipFill rotWithShape="1">
                    <a:blip r:embed="rId8">
                      <a:extLst>
                        <a:ext uri="{28A0092B-C50C-407E-A947-70E740481C1C}">
                          <a14:useLocalDpi xmlns:a14="http://schemas.microsoft.com/office/drawing/2010/main" val="0"/>
                        </a:ext>
                      </a:extLst>
                    </a:blip>
                    <a:srcRect l="51000" t="20747" r="30569" b="46486"/>
                    <a:stretch/>
                  </pic:blipFill>
                  <pic:spPr>
                    <a:xfrm flipH="1">
                      <a:off x="0" y="0"/>
                      <a:ext cx="1811655" cy="1811655"/>
                    </a:xfrm>
                    <a:prstGeom prst="rect">
                      <a:avLst/>
                    </a:prstGeom>
                  </pic:spPr>
                </pic:pic>
              </a:graphicData>
            </a:graphic>
          </wp:anchor>
        </w:drawing>
      </w:r>
      <w:r w:rsidRPr="00996AD9">
        <w:rPr>
          <w:noProof/>
          <w:color w:val="1F4E79" w:themeColor="accent1" w:themeShade="80"/>
        </w:rPr>
        <w:drawing>
          <wp:anchor distT="0" distB="0" distL="114300" distR="114300" simplePos="0" relativeHeight="251666432" behindDoc="0" locked="0" layoutInCell="1" allowOverlap="1" wp14:anchorId="7B441CF2" wp14:editId="04DAE64C">
            <wp:simplePos x="0" y="0"/>
            <wp:positionH relativeFrom="column">
              <wp:posOffset>5074285</wp:posOffset>
            </wp:positionH>
            <wp:positionV relativeFrom="paragraph">
              <wp:posOffset>1387475</wp:posOffset>
            </wp:positionV>
            <wp:extent cx="1811655" cy="2004060"/>
            <wp:effectExtent l="0" t="0" r="0" b="0"/>
            <wp:wrapNone/>
            <wp:docPr id="25"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m 21"/>
                    <pic:cNvPicPr>
                      <a:picLocks noChangeAspect="1"/>
                    </pic:cNvPicPr>
                  </pic:nvPicPr>
                  <pic:blipFill rotWithShape="1">
                    <a:blip r:embed="rId8">
                      <a:extLst>
                        <a:ext uri="{28A0092B-C50C-407E-A947-70E740481C1C}">
                          <a14:useLocalDpi xmlns:a14="http://schemas.microsoft.com/office/drawing/2010/main" val="0"/>
                        </a:ext>
                      </a:extLst>
                    </a:blip>
                    <a:srcRect l="75862" t="16035" r="5707" b="47712"/>
                    <a:stretch/>
                  </pic:blipFill>
                  <pic:spPr>
                    <a:xfrm>
                      <a:off x="0" y="0"/>
                      <a:ext cx="1811655" cy="2004060"/>
                    </a:xfrm>
                    <a:prstGeom prst="rect">
                      <a:avLst/>
                    </a:prstGeom>
                  </pic:spPr>
                </pic:pic>
              </a:graphicData>
            </a:graphic>
          </wp:anchor>
        </w:drawing>
      </w:r>
      <w:r w:rsidRPr="00996AD9">
        <w:rPr>
          <w:noProof/>
          <w:color w:val="1F4E79" w:themeColor="accent1" w:themeShade="80"/>
        </w:rPr>
        <w:drawing>
          <wp:anchor distT="0" distB="0" distL="114300" distR="114300" simplePos="0" relativeHeight="251667456" behindDoc="0" locked="0" layoutInCell="1" allowOverlap="1" wp14:anchorId="3E917EF6" wp14:editId="33CAC456">
            <wp:simplePos x="0" y="0"/>
            <wp:positionH relativeFrom="column">
              <wp:posOffset>-442595</wp:posOffset>
            </wp:positionH>
            <wp:positionV relativeFrom="paragraph">
              <wp:posOffset>9197340</wp:posOffset>
            </wp:positionV>
            <wp:extent cx="2273935" cy="473710"/>
            <wp:effectExtent l="0" t="0" r="0" b="2540"/>
            <wp:wrapNone/>
            <wp:docPr id="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pic:cNvPicPr>
                      <a:picLocks noChangeAspect="1"/>
                    </pic:cNvPicPr>
                  </pic:nvPicPr>
                  <pic:blipFill>
                    <a:blip r:embed="rId11"/>
                    <a:stretch>
                      <a:fillRect/>
                    </a:stretch>
                  </pic:blipFill>
                  <pic:spPr>
                    <a:xfrm>
                      <a:off x="0" y="0"/>
                      <a:ext cx="2273935" cy="473710"/>
                    </a:xfrm>
                    <a:prstGeom prst="rect">
                      <a:avLst/>
                    </a:prstGeom>
                  </pic:spPr>
                </pic:pic>
              </a:graphicData>
            </a:graphic>
          </wp:anchor>
        </w:drawing>
      </w:r>
      <w:r w:rsidRPr="00996AD9">
        <w:rPr>
          <w:noProof/>
          <w:color w:val="1F4E79" w:themeColor="accent1" w:themeShade="80"/>
        </w:rPr>
        <mc:AlternateContent>
          <mc:Choice Requires="wps">
            <w:drawing>
              <wp:anchor distT="0" distB="0" distL="114300" distR="114300" simplePos="0" relativeHeight="251668480" behindDoc="0" locked="0" layoutInCell="1" allowOverlap="1" wp14:anchorId="6AE91C68" wp14:editId="742F2D7A">
                <wp:simplePos x="0" y="0"/>
                <wp:positionH relativeFrom="column">
                  <wp:posOffset>-682625</wp:posOffset>
                </wp:positionH>
                <wp:positionV relativeFrom="paragraph">
                  <wp:posOffset>917575</wp:posOffset>
                </wp:positionV>
                <wp:extent cx="5048250" cy="1518285"/>
                <wp:effectExtent l="0" t="0" r="0" b="5715"/>
                <wp:wrapNone/>
                <wp:docPr id="28" name="Retângulo 1"/>
                <wp:cNvGraphicFramePr/>
                <a:graphic xmlns:a="http://schemas.openxmlformats.org/drawingml/2006/main">
                  <a:graphicData uri="http://schemas.microsoft.com/office/word/2010/wordprocessingShape">
                    <wps:wsp>
                      <wps:cNvSpPr/>
                      <wps:spPr>
                        <a:xfrm>
                          <a:off x="0" y="0"/>
                          <a:ext cx="5048250" cy="1518285"/>
                        </a:xfrm>
                        <a:prstGeom prst="rect">
                          <a:avLst/>
                        </a:prstGeom>
                        <a:solidFill>
                          <a:srgbClr val="FEE328"/>
                        </a:solidFill>
                        <a:ln>
                          <a:noFill/>
                        </a:ln>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68F8A8" id="Retângulo 1" o:spid="_x0000_s1026" style="position:absolute;margin-left:-53.75pt;margin-top:72.25pt;width:397.5pt;height:119.5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" fillcolor="#fee328" stroked="f" strokeweight=".5pt"/>
            </w:pict>
          </mc:Fallback>
        </mc:AlternateContent>
      </w:r>
    </w:p>
    <w:p w14:paraId="1FA25742" w14:textId="2FD7954F" w:rsidR="00996AD9" w:rsidRDefault="00996AD9">
      <w:pPr>
        <w:spacing w:after="160" w:line="259" w:lineRule="auto"/>
        <w:rPr>
          <w:rFonts w:ascii="Arial" w:eastAsia="Times New Roman" w:hAnsi="Arial" w:cs="Times New Roman"/>
          <w:b/>
          <w:color w:val="1F4E79" w:themeColor="accent1" w:themeShade="80"/>
          <w:spacing w:val="-2"/>
          <w:sz w:val="20"/>
          <w:szCs w:val="20"/>
          <w:lang w:eastAsia="pt-BR"/>
        </w:rPr>
      </w:pPr>
      <w:r w:rsidRPr="00996AD9">
        <w:rPr>
          <w:noProof/>
          <w:color w:val="1F4E79" w:themeColor="accent1" w:themeShade="80"/>
          <w:lang w:eastAsia="pt-BR"/>
        </w:rPr>
        <mc:AlternateContent>
          <mc:Choice Requires="wps">
            <w:drawing>
              <wp:anchor distT="0" distB="0" distL="114300" distR="114300" simplePos="0" relativeHeight="251671552" behindDoc="0" locked="0" layoutInCell="1" allowOverlap="1" wp14:anchorId="34A439B5" wp14:editId="2AA77293">
                <wp:simplePos x="0" y="0"/>
                <wp:positionH relativeFrom="column">
                  <wp:posOffset>-460783</wp:posOffset>
                </wp:positionH>
                <wp:positionV relativeFrom="paragraph">
                  <wp:posOffset>597601</wp:posOffset>
                </wp:positionV>
                <wp:extent cx="4829886" cy="1460310"/>
                <wp:effectExtent l="0" t="0" r="0" b="0"/>
                <wp:wrapNone/>
                <wp:docPr id="20" name="TextBox 28">
                  <a:extLst xmlns:a="http://schemas.openxmlformats.org/drawingml/2006/main">
                    <a:ext uri="{FF2B5EF4-FFF2-40B4-BE49-F238E27FC236}">
                      <a16:creationId xmlns:a16="http://schemas.microsoft.com/office/drawing/2014/main" id="{7D98E44F-5031-4C42-907C-63714FE0D349}"/>
                    </a:ext>
                  </a:extLst>
                </wp:docPr>
                <wp:cNvGraphicFramePr/>
                <a:graphic xmlns:a="http://schemas.openxmlformats.org/drawingml/2006/main">
                  <a:graphicData uri="http://schemas.microsoft.com/office/word/2010/wordprocessingShape">
                    <wps:wsp>
                      <wps:cNvSpPr txBox="1"/>
                      <wps:spPr>
                        <a:xfrm>
                          <a:off x="0" y="0"/>
                          <a:ext cx="4829886" cy="1460310"/>
                        </a:xfrm>
                        <a:prstGeom prst="rect">
                          <a:avLst/>
                        </a:prstGeom>
                        <a:noFill/>
                      </wps:spPr>
                      <wps:txbx>
                        <w:txbxContent>
                          <w:p w14:paraId="5612643C" w14:textId="5AAC38C9" w:rsidR="000917B3" w:rsidRPr="00996AD9" w:rsidRDefault="000917B3" w:rsidP="00996AD9">
                            <w:pPr>
                              <w:rPr>
                                <w:sz w:val="68"/>
                                <w:szCs w:val="68"/>
                              </w:rPr>
                            </w:pPr>
                            <w:proofErr w:type="spellStart"/>
                            <w:r w:rsidRPr="00996AD9">
                              <w:rPr>
                                <w:rFonts w:ascii="Arial Black" w:hAnsi="Arial Black" w:cs="Arial Black"/>
                                <w:color w:val="0C4190"/>
                                <w:kern w:val="24"/>
                                <w:sz w:val="68"/>
                                <w:szCs w:val="68"/>
                                <w:lang w:val="en-US"/>
                              </w:rPr>
                              <w:t>Relatório</w:t>
                            </w:r>
                            <w:proofErr w:type="spellEnd"/>
                            <w:r w:rsidRPr="00996AD9">
                              <w:rPr>
                                <w:rFonts w:ascii="Arial Black" w:hAnsi="Arial Black" w:cs="Arial Black"/>
                                <w:color w:val="0C4190"/>
                                <w:kern w:val="24"/>
                                <w:sz w:val="68"/>
                                <w:szCs w:val="68"/>
                                <w:lang w:val="en-US"/>
                              </w:rPr>
                              <w:t xml:space="preserve"> da </w:t>
                            </w:r>
                            <w:proofErr w:type="spellStart"/>
                            <w:r w:rsidRPr="00996AD9">
                              <w:rPr>
                                <w:rFonts w:ascii="Arial Black" w:hAnsi="Arial Black" w:cs="Arial Black"/>
                                <w:color w:val="0C4190"/>
                                <w:kern w:val="24"/>
                                <w:sz w:val="68"/>
                                <w:szCs w:val="68"/>
                                <w:lang w:val="en-US"/>
                              </w:rPr>
                              <w:t>Administração</w:t>
                            </w:r>
                            <w:proofErr w:type="spellEnd"/>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34A439B5" id="_x0000_t202" coordsize="21600,21600" o:spt="202" path="m,l,21600r21600,l21600,xe">
                <v:stroke joinstyle="miter"/>
                <v:path gradientshapeok="t" o:connecttype="rect"/>
              </v:shapetype>
              <v:shape id="TextBox 28" o:spid="_x0000_s1026" type="#_x0000_t202" style="position:absolute;margin-left:-36.3pt;margin-top:47.05pt;width:380.3pt;height:1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" filled="f" stroked="f">
                <v:textbox>
                  <w:txbxContent>
                    <w:p w14:paraId="5612643C" w14:textId="5AAC38C9" w:rsidR="000917B3" w:rsidRPr="00996AD9" w:rsidRDefault="000917B3" w:rsidP="00996AD9">
                      <w:pPr>
                        <w:rPr>
                          <w:sz w:val="68"/>
                          <w:szCs w:val="68"/>
                        </w:rPr>
                      </w:pPr>
                      <w:proofErr w:type="spellStart"/>
                      <w:r w:rsidRPr="00996AD9">
                        <w:rPr>
                          <w:rFonts w:ascii="Arial Black" w:hAnsi="Arial Black" w:cs="Arial Black"/>
                          <w:color w:val="0C4190"/>
                          <w:kern w:val="24"/>
                          <w:sz w:val="68"/>
                          <w:szCs w:val="68"/>
                          <w:lang w:val="en-US"/>
                        </w:rPr>
                        <w:t>Relatório</w:t>
                      </w:r>
                      <w:proofErr w:type="spellEnd"/>
                      <w:r w:rsidRPr="00996AD9">
                        <w:rPr>
                          <w:rFonts w:ascii="Arial Black" w:hAnsi="Arial Black" w:cs="Arial Black"/>
                          <w:color w:val="0C4190"/>
                          <w:kern w:val="24"/>
                          <w:sz w:val="68"/>
                          <w:szCs w:val="68"/>
                          <w:lang w:val="en-US"/>
                        </w:rPr>
                        <w:t xml:space="preserve"> da </w:t>
                      </w:r>
                      <w:proofErr w:type="spellStart"/>
                      <w:r w:rsidRPr="00996AD9">
                        <w:rPr>
                          <w:rFonts w:ascii="Arial Black" w:hAnsi="Arial Black" w:cs="Arial Black"/>
                          <w:color w:val="0C4190"/>
                          <w:kern w:val="24"/>
                          <w:sz w:val="68"/>
                          <w:szCs w:val="68"/>
                          <w:lang w:val="en-US"/>
                        </w:rPr>
                        <w:t>Administração</w:t>
                      </w:r>
                      <w:proofErr w:type="spellEnd"/>
                    </w:p>
                  </w:txbxContent>
                </v:textbox>
              </v:shape>
            </w:pict>
          </mc:Fallback>
        </mc:AlternateContent>
      </w:r>
      <w:r w:rsidRPr="00996AD9">
        <w:rPr>
          <w:noProof/>
          <w:color w:val="1F4E79" w:themeColor="accent1" w:themeShade="80"/>
          <w:lang w:eastAsia="pt-BR"/>
        </w:rPr>
        <mc:AlternateContent>
          <mc:Choice Requires="wps">
            <w:drawing>
              <wp:anchor distT="0" distB="0" distL="114300" distR="114300" simplePos="0" relativeHeight="251670528" behindDoc="0" locked="0" layoutInCell="1" allowOverlap="1" wp14:anchorId="35573224" wp14:editId="669FA1F0">
                <wp:simplePos x="0" y="0"/>
                <wp:positionH relativeFrom="column">
                  <wp:posOffset>-584768</wp:posOffset>
                </wp:positionH>
                <wp:positionV relativeFrom="paragraph">
                  <wp:posOffset>4589145</wp:posOffset>
                </wp:positionV>
                <wp:extent cx="5461000" cy="1089025"/>
                <wp:effectExtent l="0" t="0" r="0" b="0"/>
                <wp:wrapNone/>
                <wp:docPr id="34" name="TextBox 33"/>
                <wp:cNvGraphicFramePr/>
                <a:graphic xmlns:a="http://schemas.openxmlformats.org/drawingml/2006/main">
                  <a:graphicData uri="http://schemas.microsoft.com/office/word/2010/wordprocessingShape">
                    <wps:wsp>
                      <wps:cNvSpPr txBox="1"/>
                      <wps:spPr>
                        <a:xfrm>
                          <a:off x="0" y="0"/>
                          <a:ext cx="5461000" cy="1089025"/>
                        </a:xfrm>
                        <a:prstGeom prst="rect">
                          <a:avLst/>
                        </a:prstGeom>
                        <a:noFill/>
                      </wps:spPr>
                      <wps:txbx>
                        <w:txbxContent>
                          <w:p w14:paraId="73012165" w14:textId="77777777" w:rsidR="000917B3" w:rsidRDefault="000917B3" w:rsidP="00996AD9">
                            <w:pPr>
                              <w:jc w:val="center"/>
                              <w:rPr>
                                <w:sz w:val="24"/>
                                <w:szCs w:val="24"/>
                              </w:rPr>
                            </w:pPr>
                            <w:r w:rsidRPr="006F1358">
                              <w:rPr>
                                <w:rFonts w:ascii="Arial Black" w:hAnsi="Arial Black" w:cs="Arial Black"/>
                                <w:color w:val="0C4190"/>
                                <w:kern w:val="24"/>
                                <w:sz w:val="43"/>
                                <w:szCs w:val="43"/>
                              </w:rPr>
                              <w:t>BB Seguridade Participações S.A.</w:t>
                            </w:r>
                          </w:p>
                          <w:p w14:paraId="0D6B0E97" w14:textId="103E2C87" w:rsidR="000917B3" w:rsidRDefault="000917B3" w:rsidP="00996AD9">
                            <w:pPr>
                              <w:jc w:val="center"/>
                            </w:pPr>
                            <w:proofErr w:type="spellStart"/>
                            <w:r>
                              <w:rPr>
                                <w:rFonts w:ascii="Arial Black" w:hAnsi="Arial Black" w:cs="Arial Black"/>
                                <w:color w:val="0C4190"/>
                                <w:kern w:val="24"/>
                                <w:sz w:val="43"/>
                                <w:szCs w:val="43"/>
                                <w:lang w:val="en-US"/>
                              </w:rPr>
                              <w:t>Exercício</w:t>
                            </w:r>
                            <w:proofErr w:type="spellEnd"/>
                            <w:r>
                              <w:rPr>
                                <w:rFonts w:ascii="Arial Black" w:hAnsi="Arial Black" w:cs="Arial Black"/>
                                <w:color w:val="0C4190"/>
                                <w:kern w:val="24"/>
                                <w:sz w:val="43"/>
                                <w:szCs w:val="43"/>
                                <w:lang w:val="en-US"/>
                              </w:rPr>
                              <w:t xml:space="preserve"> 2020</w:t>
                            </w:r>
                          </w:p>
                        </w:txbxContent>
                      </wps:txbx>
                      <wps:bodyPr wrap="square" rtlCol="0">
                        <a:spAutoFit/>
                      </wps:bodyPr>
                    </wps:wsp>
                  </a:graphicData>
                </a:graphic>
              </wp:anchor>
            </w:drawing>
          </mc:Choice>
          <mc:Fallback>
            <w:pict>
              <v:shape w14:anchorId="35573224" id="TextBox 33" o:spid="_x0000_s1027" type="#_x0000_t202" style="position:absolute;margin-left:-46.05pt;margin-top:361.35pt;width:430pt;height:85.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" filled="f" stroked="f">
                <v:textbox style="mso-fit-shape-to-text:t">
                  <w:txbxContent>
                    <w:p w14:paraId="73012165" w14:textId="77777777" w:rsidR="000917B3" w:rsidRDefault="000917B3" w:rsidP="00996AD9">
                      <w:pPr>
                        <w:jc w:val="center"/>
                        <w:rPr>
                          <w:sz w:val="24"/>
                          <w:szCs w:val="24"/>
                        </w:rPr>
                      </w:pPr>
                      <w:r w:rsidRPr="006F1358">
                        <w:rPr>
                          <w:rFonts w:ascii="Arial Black" w:hAnsi="Arial Black" w:cs="Arial Black"/>
                          <w:color w:val="0C4190"/>
                          <w:kern w:val="24"/>
                          <w:sz w:val="43"/>
                          <w:szCs w:val="43"/>
                        </w:rPr>
                        <w:t>BB Seguridade Participações S.A.</w:t>
                      </w:r>
                    </w:p>
                    <w:p w14:paraId="0D6B0E97" w14:textId="103E2C87" w:rsidR="000917B3" w:rsidRDefault="000917B3" w:rsidP="00996AD9">
                      <w:pPr>
                        <w:jc w:val="center"/>
                      </w:pPr>
                      <w:proofErr w:type="spellStart"/>
                      <w:r>
                        <w:rPr>
                          <w:rFonts w:ascii="Arial Black" w:hAnsi="Arial Black" w:cs="Arial Black"/>
                          <w:color w:val="0C4190"/>
                          <w:kern w:val="24"/>
                          <w:sz w:val="43"/>
                          <w:szCs w:val="43"/>
                          <w:lang w:val="en-US"/>
                        </w:rPr>
                        <w:t>Exercício</w:t>
                      </w:r>
                      <w:proofErr w:type="spellEnd"/>
                      <w:r>
                        <w:rPr>
                          <w:rFonts w:ascii="Arial Black" w:hAnsi="Arial Black" w:cs="Arial Black"/>
                          <w:color w:val="0C4190"/>
                          <w:kern w:val="24"/>
                          <w:sz w:val="43"/>
                          <w:szCs w:val="43"/>
                          <w:lang w:val="en-US"/>
                        </w:rPr>
                        <w:t xml:space="preserve"> 2020</w:t>
                      </w:r>
                    </w:p>
                  </w:txbxContent>
                </v:textbox>
              </v:shape>
            </w:pict>
          </mc:Fallback>
        </mc:AlternateContent>
      </w:r>
      <w:r>
        <w:rPr>
          <w:color w:val="1F4E79" w:themeColor="accent1" w:themeShade="80"/>
        </w:rPr>
        <w:br w:type="page"/>
      </w:r>
    </w:p>
    <w:p w14:paraId="07552E67" w14:textId="6D603A1D" w:rsidR="005507F9" w:rsidRPr="005507F9" w:rsidRDefault="005507F9" w:rsidP="005507F9">
      <w:pPr>
        <w:pStyle w:val="03-SubttulodeNota"/>
        <w:spacing w:line="276" w:lineRule="auto"/>
        <w:rPr>
          <w:color w:val="1F4E79" w:themeColor="accent1" w:themeShade="80"/>
        </w:rPr>
      </w:pPr>
      <w:r w:rsidRPr="005507F9">
        <w:rPr>
          <w:color w:val="1F4E79" w:themeColor="accent1" w:themeShade="80"/>
        </w:rPr>
        <w:lastRenderedPageBreak/>
        <w:t>Prezados Acionistas, Colaboradores e Parceiros de Negócios.</w:t>
      </w:r>
    </w:p>
    <w:p w14:paraId="69E1D96A" w14:textId="34042BEE" w:rsidR="005507F9" w:rsidRPr="00A8396B" w:rsidRDefault="005507F9" w:rsidP="005507F9">
      <w:pPr>
        <w:pStyle w:val="05-Textonormal"/>
        <w:rPr>
          <w:rFonts w:cs="Arial"/>
        </w:rPr>
      </w:pPr>
      <w:r w:rsidRPr="00A8396B">
        <w:rPr>
          <w:rFonts w:cs="Arial"/>
        </w:rPr>
        <w:t xml:space="preserve">Apresentamos o Relatório </w:t>
      </w:r>
      <w:r>
        <w:rPr>
          <w:rFonts w:cs="Arial"/>
        </w:rPr>
        <w:t xml:space="preserve">Anual </w:t>
      </w:r>
      <w:r w:rsidRPr="00A8396B">
        <w:rPr>
          <w:rFonts w:cs="Arial"/>
        </w:rPr>
        <w:t>da Administração</w:t>
      </w:r>
      <w:r>
        <w:rPr>
          <w:rFonts w:cs="Arial"/>
        </w:rPr>
        <w:t xml:space="preserve"> </w:t>
      </w:r>
      <w:r w:rsidRPr="00A8396B">
        <w:rPr>
          <w:rFonts w:cs="Arial"/>
        </w:rPr>
        <w:t>da BB Seguridade Participações S.A. (“BB Seguridade” ou “Companhia”) relativo ao ano de 20</w:t>
      </w:r>
      <w:r w:rsidR="00BC02C4">
        <w:rPr>
          <w:rFonts w:cs="Arial"/>
        </w:rPr>
        <w:t>20</w:t>
      </w:r>
      <w:r w:rsidRPr="00A8396B">
        <w:rPr>
          <w:rFonts w:cs="Arial"/>
        </w:rPr>
        <w:t>, de acordo com as exigências da Lei das Sociedades por Ações, da Comissão de Valores Mobiliários (CVM) e do seu Estatuto Social.</w:t>
      </w:r>
    </w:p>
    <w:p w14:paraId="185EB9F6" w14:textId="77777777" w:rsidR="005507F9" w:rsidRPr="00A8396B" w:rsidRDefault="005507F9" w:rsidP="005507F9">
      <w:pPr>
        <w:pStyle w:val="05-Textonormal"/>
        <w:rPr>
          <w:rFonts w:cs="Arial"/>
        </w:rPr>
      </w:pPr>
      <w:r w:rsidRPr="00A8396B">
        <w:rPr>
          <w:rFonts w:cs="Arial"/>
        </w:rPr>
        <w:t>As demonstrações financeiras consolidadas foram preparadas em conformidade com as Normas Internacionais de Contabilidade (IFRS).</w:t>
      </w:r>
    </w:p>
    <w:p w14:paraId="0510CEEA" w14:textId="3C9E3E84" w:rsidR="005507F9" w:rsidRDefault="005507F9" w:rsidP="005507F9">
      <w:pPr>
        <w:pStyle w:val="05-Textonormal"/>
        <w:rPr>
          <w:rFonts w:cs="Arial"/>
        </w:rPr>
      </w:pPr>
      <w:r w:rsidRPr="00A8396B">
        <w:rPr>
          <w:rFonts w:cs="Arial"/>
        </w:rPr>
        <w:t xml:space="preserve">Cabe ressaltar que este relatório apresenta dados contábeis das companhias </w:t>
      </w:r>
      <w:r w:rsidR="00323DE1">
        <w:rPr>
          <w:rFonts w:cs="Arial"/>
        </w:rPr>
        <w:t>investidas</w:t>
      </w:r>
      <w:r w:rsidRPr="00A8396B">
        <w:rPr>
          <w:rFonts w:cs="Arial"/>
        </w:rPr>
        <w:t xml:space="preserve"> da BB Seguridade que</w:t>
      </w:r>
      <w:r w:rsidR="00AF342F">
        <w:rPr>
          <w:rFonts w:cs="Arial"/>
        </w:rPr>
        <w:t xml:space="preserve"> podem divergir dos </w:t>
      </w:r>
      <w:r w:rsidRPr="00A8396B">
        <w:rPr>
          <w:rFonts w:cs="Arial"/>
        </w:rPr>
        <w:t xml:space="preserve">divulgados pelas </w:t>
      </w:r>
      <w:r w:rsidR="00323DE1">
        <w:rPr>
          <w:rFonts w:cs="Arial"/>
        </w:rPr>
        <w:t>participadas</w:t>
      </w:r>
      <w:r w:rsidRPr="00A8396B">
        <w:rPr>
          <w:rFonts w:cs="Arial"/>
        </w:rPr>
        <w:t>, tanto por diferenças nos padrões contábeis utilizados como por eventuais amortizações de intangíveis</w:t>
      </w:r>
      <w:r>
        <w:rPr>
          <w:rFonts w:cs="Arial"/>
        </w:rPr>
        <w:t>,</w:t>
      </w:r>
      <w:r w:rsidRPr="00A8396B">
        <w:rPr>
          <w:rFonts w:cs="Arial"/>
        </w:rPr>
        <w:t xml:space="preserve"> eliminações de resultados entre as participadas</w:t>
      </w:r>
      <w:r>
        <w:rPr>
          <w:rFonts w:cs="Arial"/>
        </w:rPr>
        <w:t>, entre outr</w:t>
      </w:r>
      <w:r w:rsidR="00AF342F">
        <w:rPr>
          <w:rFonts w:cs="Arial"/>
        </w:rPr>
        <w:t>os motivos</w:t>
      </w:r>
      <w:r w:rsidRPr="00A8396B">
        <w:rPr>
          <w:rFonts w:cs="Arial"/>
        </w:rPr>
        <w:t xml:space="preserve">. Nesse contexto, o lucro líquido atribuído às </w:t>
      </w:r>
      <w:r w:rsidR="00323DE1">
        <w:rPr>
          <w:rFonts w:cs="Arial"/>
        </w:rPr>
        <w:t>investidas</w:t>
      </w:r>
      <w:r w:rsidRPr="00A8396B">
        <w:rPr>
          <w:rFonts w:cs="Arial"/>
        </w:rPr>
        <w:t xml:space="preserve"> reflete o resultado apurado pela Companhia para cada segmento de negócios, na forma da Nota Explicativa de Investimentos em Participações Societárias.</w:t>
      </w:r>
    </w:p>
    <w:p w14:paraId="66406689" w14:textId="16C71C2F" w:rsidR="00A36FD0" w:rsidRPr="00A36FD0" w:rsidRDefault="00A36FD0" w:rsidP="004B0F99">
      <w:pPr>
        <w:jc w:val="both"/>
        <w:rPr>
          <w:rFonts w:ascii="Arial" w:eastAsia="Times New Roman" w:hAnsi="Arial" w:cs="Times New Roman"/>
          <w:spacing w:val="-2"/>
          <w:sz w:val="18"/>
          <w:szCs w:val="18"/>
          <w:lang w:eastAsia="pt-BR"/>
        </w:rPr>
      </w:pPr>
      <w:r w:rsidRPr="00A36FD0">
        <w:rPr>
          <w:rFonts w:ascii="Arial" w:eastAsia="Times New Roman" w:hAnsi="Arial" w:cs="Times New Roman"/>
          <w:spacing w:val="-2"/>
          <w:sz w:val="18"/>
          <w:szCs w:val="18"/>
          <w:lang w:eastAsia="pt-BR"/>
        </w:rPr>
        <w:t>Em 2020, diante do cenário de incertezas gerado pela pandemia do novo coronavírus, a BB Seguridade, buscando garantir a continuidade dos negócios e a segurança de seus colaboradores</w:t>
      </w:r>
      <w:r w:rsidR="004B0F99">
        <w:rPr>
          <w:rFonts w:ascii="Arial" w:eastAsia="Times New Roman" w:hAnsi="Arial" w:cs="Times New Roman"/>
          <w:spacing w:val="-2"/>
          <w:sz w:val="18"/>
          <w:szCs w:val="18"/>
          <w:lang w:eastAsia="pt-BR"/>
        </w:rPr>
        <w:t>,</w:t>
      </w:r>
      <w:r w:rsidRPr="00A36FD0">
        <w:rPr>
          <w:rFonts w:ascii="Arial" w:eastAsia="Times New Roman" w:hAnsi="Arial" w:cs="Times New Roman"/>
          <w:spacing w:val="-2"/>
          <w:sz w:val="18"/>
          <w:szCs w:val="18"/>
          <w:lang w:eastAsia="pt-BR"/>
        </w:rPr>
        <w:t xml:space="preserve"> e contribuir para o </w:t>
      </w:r>
      <w:r w:rsidR="004B0F99" w:rsidRPr="00A36FD0">
        <w:rPr>
          <w:rFonts w:ascii="Arial" w:eastAsia="Times New Roman" w:hAnsi="Arial" w:cs="Times New Roman"/>
          <w:spacing w:val="-2"/>
          <w:sz w:val="18"/>
          <w:szCs w:val="18"/>
          <w:lang w:eastAsia="pt-BR"/>
        </w:rPr>
        <w:t>bem-estar</w:t>
      </w:r>
      <w:r w:rsidRPr="00A36FD0">
        <w:rPr>
          <w:rFonts w:ascii="Arial" w:eastAsia="Times New Roman" w:hAnsi="Arial" w:cs="Times New Roman"/>
          <w:spacing w:val="-2"/>
          <w:sz w:val="18"/>
          <w:szCs w:val="18"/>
          <w:lang w:eastAsia="pt-BR"/>
        </w:rPr>
        <w:t xml:space="preserve"> dos seus clientes e da sociedade, declarou um Plano de Ação de enfrentamento à Covid-19, tendo como foco os seguintes pilares:</w:t>
      </w:r>
    </w:p>
    <w:p w14:paraId="0851D569" w14:textId="4CB1FB85" w:rsidR="00D11396" w:rsidRPr="00A36FD0" w:rsidRDefault="00D11396" w:rsidP="00A36FD0">
      <w:pPr>
        <w:pStyle w:val="05-Textonormal"/>
        <w:numPr>
          <w:ilvl w:val="0"/>
          <w:numId w:val="25"/>
        </w:numPr>
        <w:rPr>
          <w:rFonts w:cs="Arial"/>
        </w:rPr>
      </w:pPr>
      <w:r w:rsidRPr="00A36FD0">
        <w:rPr>
          <w:rFonts w:cs="Arial"/>
        </w:rPr>
        <w:t xml:space="preserve">cuidar das nossas equipes; </w:t>
      </w:r>
    </w:p>
    <w:p w14:paraId="4674D9FC" w14:textId="1C81B555" w:rsidR="00D11396" w:rsidRPr="00A36FD0" w:rsidRDefault="00D11396" w:rsidP="00A36FD0">
      <w:pPr>
        <w:pStyle w:val="05-Textonormal"/>
        <w:numPr>
          <w:ilvl w:val="0"/>
          <w:numId w:val="25"/>
        </w:numPr>
        <w:rPr>
          <w:rFonts w:cs="Arial"/>
        </w:rPr>
      </w:pPr>
      <w:r w:rsidRPr="00A36FD0">
        <w:rPr>
          <w:rFonts w:cs="Arial"/>
        </w:rPr>
        <w:t xml:space="preserve">estar ao lado dos clientes e da sociedade; </w:t>
      </w:r>
    </w:p>
    <w:p w14:paraId="0BDB8545" w14:textId="37163EEB" w:rsidR="00D11396" w:rsidRPr="00A36FD0" w:rsidRDefault="00D11396" w:rsidP="00A36FD0">
      <w:pPr>
        <w:pStyle w:val="05-Textonormal"/>
        <w:numPr>
          <w:ilvl w:val="0"/>
          <w:numId w:val="25"/>
        </w:numPr>
        <w:rPr>
          <w:rFonts w:cs="Arial"/>
        </w:rPr>
      </w:pPr>
      <w:r w:rsidRPr="00A36FD0">
        <w:rPr>
          <w:rFonts w:cs="Arial"/>
        </w:rPr>
        <w:t xml:space="preserve">garantir a sustentação da Companhia; e </w:t>
      </w:r>
    </w:p>
    <w:p w14:paraId="7F94710B" w14:textId="651FF12A" w:rsidR="00D11396" w:rsidRDefault="00D11396" w:rsidP="00A36FD0">
      <w:pPr>
        <w:pStyle w:val="05-Textonormal"/>
        <w:numPr>
          <w:ilvl w:val="0"/>
          <w:numId w:val="25"/>
        </w:numPr>
        <w:rPr>
          <w:rFonts w:cs="Arial"/>
        </w:rPr>
      </w:pPr>
      <w:r w:rsidRPr="00A36FD0">
        <w:rPr>
          <w:rFonts w:cs="Arial"/>
        </w:rPr>
        <w:t>preparar-se para o pós-crise.</w:t>
      </w:r>
    </w:p>
    <w:p w14:paraId="1573BA7E" w14:textId="4618547E" w:rsidR="00A36FD0" w:rsidRDefault="00A36FD0" w:rsidP="00A36FD0">
      <w:pPr>
        <w:pStyle w:val="05-Textonormal"/>
        <w:rPr>
          <w:rFonts w:cs="Arial"/>
        </w:rPr>
      </w:pPr>
    </w:p>
    <w:p w14:paraId="2E6E495B" w14:textId="08FAE78C" w:rsidR="00A36FD0" w:rsidRDefault="00A36FD0" w:rsidP="00A36FD0">
      <w:pPr>
        <w:pStyle w:val="05-Textonormal"/>
        <w:rPr>
          <w:rFonts w:cs="Arial"/>
        </w:rPr>
      </w:pPr>
      <w:r>
        <w:rPr>
          <w:rFonts w:cs="Arial"/>
        </w:rPr>
        <w:t>Ao longo d</w:t>
      </w:r>
      <w:r w:rsidR="00CB2379">
        <w:rPr>
          <w:rFonts w:cs="Arial"/>
        </w:rPr>
        <w:t>este</w:t>
      </w:r>
      <w:r>
        <w:rPr>
          <w:rFonts w:cs="Arial"/>
        </w:rPr>
        <w:t xml:space="preserve"> </w:t>
      </w:r>
      <w:r w:rsidR="00CB2379">
        <w:rPr>
          <w:rFonts w:cs="Arial"/>
        </w:rPr>
        <w:t>r</w:t>
      </w:r>
      <w:r>
        <w:rPr>
          <w:rFonts w:cs="Arial"/>
        </w:rPr>
        <w:t xml:space="preserve">elatório abordaremos as ações realizadas, pautadas no Plano de Ação </w:t>
      </w:r>
      <w:r w:rsidR="004B0F99">
        <w:rPr>
          <w:rFonts w:cs="Arial"/>
        </w:rPr>
        <w:t xml:space="preserve">e nos </w:t>
      </w:r>
      <w:r>
        <w:rPr>
          <w:rFonts w:cs="Arial"/>
        </w:rPr>
        <w:t>objetivos estratégicos da Companhia.</w:t>
      </w:r>
    </w:p>
    <w:p w14:paraId="5B873FD2" w14:textId="77777777" w:rsidR="00A36FD0" w:rsidRPr="00A36FD0" w:rsidRDefault="00A36FD0" w:rsidP="00A36FD0">
      <w:pPr>
        <w:pStyle w:val="05-Textonormal"/>
        <w:rPr>
          <w:rFonts w:cs="Arial"/>
        </w:rPr>
      </w:pPr>
    </w:p>
    <w:p w14:paraId="2580683D"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DESCRIÇÃO DOS NEGÓCIOS</w:t>
      </w:r>
    </w:p>
    <w:p w14:paraId="4A2BC181" w14:textId="3976165A" w:rsidR="005507F9" w:rsidRPr="00A8396B" w:rsidRDefault="005507F9" w:rsidP="005507F9">
      <w:pPr>
        <w:pStyle w:val="01-Textonormal"/>
        <w:rPr>
          <w:rFonts w:cs="Arial"/>
        </w:rPr>
      </w:pPr>
      <w:r w:rsidRPr="00A8396B">
        <w:rPr>
          <w:rFonts w:cs="Arial"/>
        </w:rPr>
        <w:t>A BB Seguridade é uma empresa de participações (“</w:t>
      </w:r>
      <w:r w:rsidRPr="00A8396B">
        <w:rPr>
          <w:rFonts w:cs="Arial"/>
          <w:i/>
        </w:rPr>
        <w:t>holding</w:t>
      </w:r>
      <w:r w:rsidRPr="00A8396B">
        <w:rPr>
          <w:rFonts w:cs="Arial"/>
        </w:rPr>
        <w:t xml:space="preserve">”) que </w:t>
      </w:r>
      <w:r>
        <w:rPr>
          <w:rFonts w:cs="Arial"/>
        </w:rPr>
        <w:t>concentra seus investimentos</w:t>
      </w:r>
      <w:r w:rsidRPr="00A8396B">
        <w:rPr>
          <w:rFonts w:cs="Arial"/>
        </w:rPr>
        <w:t xml:space="preserve"> nos segmentos de seguros, previdência aberta, capitalização e planos de assistência odontológica por meio de parcerias privadas em sociedades mantidas por sua subsidiária integral, a BB Seguros Participações S.A. (“BB Seguros”). </w:t>
      </w:r>
      <w:r>
        <w:rPr>
          <w:rFonts w:cs="Arial"/>
        </w:rPr>
        <w:t>A Companhia atua ainda na distribuição desses produtos</w:t>
      </w:r>
      <w:r w:rsidRPr="00A8396B">
        <w:rPr>
          <w:rFonts w:cs="Arial"/>
        </w:rPr>
        <w:t xml:space="preserve"> por intermédio </w:t>
      </w:r>
      <w:r w:rsidR="00D86C33">
        <w:rPr>
          <w:rFonts w:cs="Arial"/>
        </w:rPr>
        <w:t>d</w:t>
      </w:r>
      <w:r>
        <w:rPr>
          <w:rFonts w:cs="Arial"/>
        </w:rPr>
        <w:t xml:space="preserve">a </w:t>
      </w:r>
      <w:r w:rsidRPr="00D72A38">
        <w:rPr>
          <w:rFonts w:cs="Arial"/>
        </w:rPr>
        <w:t>BB Corretora de Seguros e Administradora de Bens S.A. (“BB Corretora”)</w:t>
      </w:r>
      <w:r w:rsidRPr="00A8396B">
        <w:rPr>
          <w:rFonts w:cs="Arial"/>
        </w:rPr>
        <w:t xml:space="preserve">. </w:t>
      </w:r>
    </w:p>
    <w:p w14:paraId="0BAB476F" w14:textId="1FAB151A" w:rsidR="005507F9" w:rsidRDefault="005507F9" w:rsidP="005507F9">
      <w:pPr>
        <w:pStyle w:val="01-Textonormal"/>
        <w:rPr>
          <w:rFonts w:cs="Arial"/>
        </w:rPr>
      </w:pPr>
      <w:r w:rsidRPr="00D72A38">
        <w:rPr>
          <w:rFonts w:cs="Arial"/>
        </w:rPr>
        <w:t>No segmento de seguros, a atuação se dá por meio de uma parceria estabelecida por um prazo de 20 anos</w:t>
      </w:r>
      <w:r>
        <w:rPr>
          <w:rFonts w:cs="Arial"/>
        </w:rPr>
        <w:t xml:space="preserve">, com início </w:t>
      </w:r>
      <w:r w:rsidR="00CB6CDE">
        <w:rPr>
          <w:rFonts w:cs="Arial"/>
        </w:rPr>
        <w:t>em</w:t>
      </w:r>
      <w:r>
        <w:rPr>
          <w:rFonts w:cs="Arial"/>
        </w:rPr>
        <w:t xml:space="preserve"> 2011,</w:t>
      </w:r>
      <w:r w:rsidRPr="00D72A38">
        <w:rPr>
          <w:rFonts w:cs="Arial"/>
        </w:rPr>
        <w:t xml:space="preserve"> constituída na forma de uma </w:t>
      </w:r>
      <w:r w:rsidRPr="00D72A38">
        <w:rPr>
          <w:rFonts w:cs="Arial"/>
          <w:i/>
        </w:rPr>
        <w:t>joint-venture</w:t>
      </w:r>
      <w:r w:rsidRPr="00D72A38">
        <w:rPr>
          <w:rFonts w:cs="Arial"/>
        </w:rPr>
        <w:t xml:space="preserve"> com o grupo espanhol MAPFRE</w:t>
      </w:r>
      <w:r>
        <w:rPr>
          <w:rFonts w:cs="Arial"/>
        </w:rPr>
        <w:t>. Em novembro de 2018 foi concluída a reestruturação desta parceria, cuja operação ficou concentrada n</w:t>
      </w:r>
      <w:r w:rsidR="0049004B">
        <w:rPr>
          <w:rFonts w:cs="Arial"/>
        </w:rPr>
        <w:t xml:space="preserve">as seguradoras </w:t>
      </w:r>
      <w:proofErr w:type="spellStart"/>
      <w:r>
        <w:rPr>
          <w:rFonts w:cs="Arial"/>
        </w:rPr>
        <w:t>Brasilseg</w:t>
      </w:r>
      <w:proofErr w:type="spellEnd"/>
      <w:r>
        <w:rPr>
          <w:rFonts w:cs="Arial"/>
        </w:rPr>
        <w:t xml:space="preserve"> Companhia de Seguros S.A. </w:t>
      </w:r>
      <w:r w:rsidR="0049004B">
        <w:rPr>
          <w:rFonts w:cs="Arial"/>
        </w:rPr>
        <w:t xml:space="preserve">e Aliança do Brasil Seguros S.A. </w:t>
      </w:r>
      <w:r>
        <w:rPr>
          <w:rFonts w:cs="Arial"/>
        </w:rPr>
        <w:t>(</w:t>
      </w:r>
      <w:r w:rsidR="0049004B">
        <w:rPr>
          <w:rFonts w:cs="Arial"/>
        </w:rPr>
        <w:t xml:space="preserve">em conjunto, </w:t>
      </w:r>
      <w:r>
        <w:rPr>
          <w:rFonts w:cs="Arial"/>
        </w:rPr>
        <w:t>“</w:t>
      </w:r>
      <w:proofErr w:type="spellStart"/>
      <w:r>
        <w:rPr>
          <w:rFonts w:cs="Arial"/>
        </w:rPr>
        <w:t>Brasilseg</w:t>
      </w:r>
      <w:proofErr w:type="spellEnd"/>
      <w:r>
        <w:rPr>
          <w:rFonts w:cs="Arial"/>
        </w:rPr>
        <w:t>”)</w:t>
      </w:r>
      <w:r w:rsidR="00CB2379">
        <w:rPr>
          <w:rFonts w:cs="Arial"/>
        </w:rPr>
        <w:t>,</w:t>
      </w:r>
      <w:r w:rsidR="0049004B">
        <w:rPr>
          <w:rFonts w:cs="Arial"/>
        </w:rPr>
        <w:t xml:space="preserve"> com foco nos </w:t>
      </w:r>
      <w:r>
        <w:rPr>
          <w:rFonts w:cs="Arial"/>
        </w:rPr>
        <w:t xml:space="preserve">segmentos de pessoas, rural, habitacional, residencial, empresarial e massificados </w:t>
      </w:r>
      <w:r w:rsidR="00CB2379">
        <w:rPr>
          <w:rFonts w:cs="Arial"/>
        </w:rPr>
        <w:t>e distribuídos</w:t>
      </w:r>
      <w:r>
        <w:rPr>
          <w:rFonts w:cs="Arial"/>
        </w:rPr>
        <w:t xml:space="preserve"> no canal bancário</w:t>
      </w:r>
      <w:r w:rsidR="00A36FD0" w:rsidRPr="00A36FD0">
        <w:rPr>
          <w:rFonts w:cs="Arial"/>
        </w:rPr>
        <w:t>.</w:t>
      </w:r>
    </w:p>
    <w:p w14:paraId="44E0316F" w14:textId="77777777" w:rsidR="005507F9" w:rsidRPr="00D72A38" w:rsidRDefault="005507F9" w:rsidP="005507F9">
      <w:pPr>
        <w:pStyle w:val="01-Textonormal"/>
        <w:rPr>
          <w:rFonts w:cs="Arial"/>
        </w:rPr>
      </w:pPr>
      <w:r w:rsidRPr="00D72A38">
        <w:rPr>
          <w:rFonts w:cs="Arial"/>
        </w:rPr>
        <w:t xml:space="preserve">Em previdência aberta, a BB Seguridade atua em conjunto com a Principal Financial </w:t>
      </w:r>
      <w:proofErr w:type="spellStart"/>
      <w:r w:rsidRPr="00D72A38">
        <w:rPr>
          <w:rFonts w:cs="Arial"/>
        </w:rPr>
        <w:t>Group</w:t>
      </w:r>
      <w:proofErr w:type="spellEnd"/>
      <w:r w:rsidRPr="00D72A38">
        <w:rPr>
          <w:rFonts w:cs="Arial"/>
        </w:rPr>
        <w:t xml:space="preserve"> por meio da </w:t>
      </w:r>
      <w:proofErr w:type="spellStart"/>
      <w:r w:rsidRPr="00D72A38">
        <w:rPr>
          <w:rFonts w:cs="Arial"/>
        </w:rPr>
        <w:t>Brasilprev</w:t>
      </w:r>
      <w:proofErr w:type="spellEnd"/>
      <w:r w:rsidRPr="00D72A38">
        <w:rPr>
          <w:rFonts w:cs="Arial"/>
        </w:rPr>
        <w:t xml:space="preserve"> Seguros e Previdência S.A. (“</w:t>
      </w:r>
      <w:proofErr w:type="spellStart"/>
      <w:r w:rsidRPr="00D72A38">
        <w:rPr>
          <w:rFonts w:cs="Arial"/>
        </w:rPr>
        <w:t>Brasilprev</w:t>
      </w:r>
      <w:proofErr w:type="spellEnd"/>
      <w:r w:rsidRPr="00D72A38">
        <w:rPr>
          <w:rFonts w:cs="Arial"/>
        </w:rPr>
        <w:t xml:space="preserve">”). A operação conjunta teve início em 1999, sendo renovada em 2009 pelo prazo de 23 anos. A </w:t>
      </w:r>
      <w:proofErr w:type="spellStart"/>
      <w:r w:rsidRPr="00D72A38">
        <w:rPr>
          <w:rFonts w:cs="Arial"/>
        </w:rPr>
        <w:t>Brasilprev</w:t>
      </w:r>
      <w:proofErr w:type="spellEnd"/>
      <w:r w:rsidRPr="00D72A38">
        <w:rPr>
          <w:rFonts w:cs="Arial"/>
        </w:rPr>
        <w:t xml:space="preserve"> comercializa, principalmente, soluções privadas de previdência, com destaque para os produtos PGBL e VGBL.</w:t>
      </w:r>
    </w:p>
    <w:p w14:paraId="67D54D6F" w14:textId="77777777" w:rsidR="005507F9" w:rsidRPr="00D72A38" w:rsidRDefault="005507F9" w:rsidP="005507F9">
      <w:pPr>
        <w:pStyle w:val="01-Textonormal"/>
        <w:rPr>
          <w:rFonts w:cs="Arial"/>
        </w:rPr>
      </w:pPr>
      <w:r w:rsidRPr="00D72A38">
        <w:rPr>
          <w:rFonts w:cs="Arial"/>
        </w:rPr>
        <w:t xml:space="preserve">No segmento de títulos de capitalização, a atuação da Companhia se dá por meio da Brasilcap Capitalização S.A. (“Brasilcap”), em sociedade com a Icatu Seguros e a Aliança da Bahia. </w:t>
      </w:r>
    </w:p>
    <w:p w14:paraId="7D087A8E" w14:textId="77777777" w:rsidR="005507F9" w:rsidRPr="00D72A38" w:rsidRDefault="005507F9" w:rsidP="005507F9">
      <w:pPr>
        <w:pStyle w:val="01-Textonormal"/>
        <w:rPr>
          <w:rFonts w:cs="Arial"/>
        </w:rPr>
      </w:pPr>
      <w:r w:rsidRPr="00D72A38">
        <w:rPr>
          <w:rFonts w:cs="Arial"/>
        </w:rPr>
        <w:t xml:space="preserve">Ainda, no segmento de planos de assistência odontológica, a Companhia atua em conjunto com a </w:t>
      </w:r>
      <w:proofErr w:type="spellStart"/>
      <w:r w:rsidRPr="00D72A38">
        <w:rPr>
          <w:rFonts w:cs="Arial"/>
        </w:rPr>
        <w:t>Odontoprev</w:t>
      </w:r>
      <w:proofErr w:type="spellEnd"/>
      <w:r w:rsidRPr="00D72A38">
        <w:rPr>
          <w:rFonts w:cs="Arial"/>
        </w:rPr>
        <w:t xml:space="preserve"> por meio da </w:t>
      </w:r>
      <w:proofErr w:type="spellStart"/>
      <w:r w:rsidRPr="00D72A38">
        <w:rPr>
          <w:rFonts w:cs="Arial"/>
        </w:rPr>
        <w:t>Brasildental</w:t>
      </w:r>
      <w:proofErr w:type="spellEnd"/>
      <w:r w:rsidRPr="00D72A38">
        <w:rPr>
          <w:rFonts w:cs="Arial"/>
        </w:rPr>
        <w:t xml:space="preserve"> Operadora de Planos Odontológicos S.A. (“</w:t>
      </w:r>
      <w:proofErr w:type="spellStart"/>
      <w:r w:rsidRPr="00D72A38">
        <w:rPr>
          <w:rFonts w:cs="Arial"/>
        </w:rPr>
        <w:t>Brasildental</w:t>
      </w:r>
      <w:proofErr w:type="spellEnd"/>
      <w:r w:rsidRPr="00D72A38">
        <w:rPr>
          <w:rFonts w:cs="Arial"/>
        </w:rPr>
        <w:t xml:space="preserve">”). A operação conjunta, na forma de </w:t>
      </w:r>
      <w:r w:rsidRPr="00D72A38">
        <w:rPr>
          <w:rFonts w:cs="Arial"/>
          <w:i/>
        </w:rPr>
        <w:t>joint-venture</w:t>
      </w:r>
      <w:r w:rsidRPr="00D72A38">
        <w:rPr>
          <w:rFonts w:cs="Arial"/>
        </w:rPr>
        <w:t>, teve início em 2014 e se estenderá pelo prazo de 20 anos.</w:t>
      </w:r>
    </w:p>
    <w:p w14:paraId="38D09925" w14:textId="6DF70AF8" w:rsidR="00844909" w:rsidRPr="00844909" w:rsidRDefault="005507F9" w:rsidP="005507F9">
      <w:pPr>
        <w:pStyle w:val="01-Textonormal"/>
        <w:rPr>
          <w:rFonts w:cs="Arial"/>
        </w:rPr>
      </w:pPr>
      <w:r w:rsidRPr="00D72A38">
        <w:rPr>
          <w:rFonts w:cs="Arial"/>
        </w:rPr>
        <w:t>Nos negócios de distribuição de produtos de seguros, previdência aberta, capitalização e assistência odontológica</w:t>
      </w:r>
      <w:r w:rsidR="00AF342F">
        <w:rPr>
          <w:rFonts w:cs="Arial"/>
        </w:rPr>
        <w:t xml:space="preserve"> </w:t>
      </w:r>
      <w:r w:rsidRPr="00D72A38">
        <w:rPr>
          <w:rFonts w:cs="Arial"/>
        </w:rPr>
        <w:t>(“</w:t>
      </w:r>
      <w:r w:rsidR="00AF342F">
        <w:rPr>
          <w:rFonts w:cs="Arial"/>
        </w:rPr>
        <w:t>s</w:t>
      </w:r>
      <w:r w:rsidRPr="00D72A38">
        <w:rPr>
          <w:rFonts w:cs="Arial"/>
        </w:rPr>
        <w:t>eguridade”), a BB Seguridade atua por meio de sua subsidiária integral BB Corretora</w:t>
      </w:r>
      <w:r>
        <w:rPr>
          <w:rFonts w:cs="Arial"/>
        </w:rPr>
        <w:t>,</w:t>
      </w:r>
      <w:r w:rsidRPr="00D72A38">
        <w:rPr>
          <w:rFonts w:cs="Arial"/>
        </w:rPr>
        <w:t xml:space="preserve"> responsável pela comercialização dos produtos das empresas investidas da Companhia via canal bancário do Banco do Brasil.</w:t>
      </w:r>
      <w:r>
        <w:rPr>
          <w:rFonts w:cs="Arial"/>
        </w:rPr>
        <w:t xml:space="preserve"> </w:t>
      </w:r>
      <w:r w:rsidR="00844909">
        <w:rPr>
          <w:rFonts w:cs="Arial"/>
        </w:rPr>
        <w:t xml:space="preserve">Em canais digitais que não tenham relação com o Banco do Brasil, a BB Corretora atua por meio da </w:t>
      </w:r>
      <w:proofErr w:type="spellStart"/>
      <w:r w:rsidR="00844909" w:rsidRPr="00D72A38">
        <w:rPr>
          <w:rFonts w:cs="Arial"/>
        </w:rPr>
        <w:t>Ciclic</w:t>
      </w:r>
      <w:proofErr w:type="spellEnd"/>
      <w:r w:rsidR="00844909" w:rsidRPr="00D72A38">
        <w:rPr>
          <w:rFonts w:cs="Arial"/>
        </w:rPr>
        <w:t xml:space="preserve"> Corretora de Seguros S.A. (“</w:t>
      </w:r>
      <w:proofErr w:type="spellStart"/>
      <w:r w:rsidR="00844909" w:rsidRPr="00D72A38">
        <w:rPr>
          <w:rFonts w:cs="Arial"/>
        </w:rPr>
        <w:t>Ciclic</w:t>
      </w:r>
      <w:proofErr w:type="spellEnd"/>
      <w:r w:rsidR="00844909" w:rsidRPr="00D72A38">
        <w:rPr>
          <w:rFonts w:cs="Arial"/>
        </w:rPr>
        <w:t>”)</w:t>
      </w:r>
      <w:r w:rsidR="00844909">
        <w:rPr>
          <w:rFonts w:cs="Arial"/>
        </w:rPr>
        <w:t xml:space="preserve">, distribuindo tanto produtos das empresas investidas da BB Seguridade como de outras seguradoras, em uma </w:t>
      </w:r>
      <w:r w:rsidR="00844909" w:rsidRPr="00844909">
        <w:rPr>
          <w:rFonts w:cs="Arial"/>
        </w:rPr>
        <w:t>p</w:t>
      </w:r>
      <w:r w:rsidR="00844909">
        <w:rPr>
          <w:rFonts w:cs="Arial"/>
        </w:rPr>
        <w:t xml:space="preserve">arceria com a Principal Financial </w:t>
      </w:r>
      <w:proofErr w:type="spellStart"/>
      <w:r w:rsidR="00844909">
        <w:rPr>
          <w:rFonts w:cs="Arial"/>
        </w:rPr>
        <w:t>Group</w:t>
      </w:r>
      <w:proofErr w:type="spellEnd"/>
      <w:r w:rsidR="00844909">
        <w:rPr>
          <w:rFonts w:cs="Arial"/>
        </w:rPr>
        <w:t xml:space="preserve"> que teve início em 2018 e se estenderá até 2032. </w:t>
      </w:r>
    </w:p>
    <w:p w14:paraId="4952949E" w14:textId="6AB35042" w:rsidR="005507F9" w:rsidRDefault="005507F9" w:rsidP="005507F9">
      <w:pPr>
        <w:pStyle w:val="01-Textonormal"/>
        <w:rPr>
          <w:rFonts w:cs="Arial"/>
        </w:rPr>
      </w:pPr>
    </w:p>
    <w:p w14:paraId="001C5522" w14:textId="77777777" w:rsidR="005507F9" w:rsidRDefault="005507F9" w:rsidP="005507F9">
      <w:pPr>
        <w:spacing w:after="0" w:line="240" w:lineRule="auto"/>
        <w:rPr>
          <w:rFonts w:ascii="Arial" w:eastAsia="Times New Roman" w:hAnsi="Arial" w:cs="Arial"/>
          <w:spacing w:val="-2"/>
          <w:sz w:val="18"/>
          <w:szCs w:val="18"/>
          <w:lang w:eastAsia="pt-BR"/>
        </w:rPr>
      </w:pPr>
      <w:r>
        <w:rPr>
          <w:rFonts w:cs="Arial"/>
        </w:rPr>
        <w:br w:type="page"/>
      </w:r>
    </w:p>
    <w:p w14:paraId="59FAA3C2"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lastRenderedPageBreak/>
        <w:t>AMBIENTE ECONÔMICO E MERCADO DE SEGURIDADE</w:t>
      </w:r>
    </w:p>
    <w:p w14:paraId="7F694255" w14:textId="77777777" w:rsidR="005507F9" w:rsidRPr="005507F9" w:rsidRDefault="005507F9" w:rsidP="005507F9">
      <w:pPr>
        <w:rPr>
          <w:rFonts w:ascii="Arial" w:eastAsia="Times New Roman" w:hAnsi="Arial" w:cs="Times New Roman"/>
          <w:b/>
          <w:color w:val="1F4E79" w:themeColor="accent1" w:themeShade="80"/>
          <w:spacing w:val="-2"/>
          <w:sz w:val="20"/>
          <w:szCs w:val="20"/>
          <w:lang w:eastAsia="pt-BR"/>
        </w:rPr>
      </w:pPr>
      <w:r w:rsidRPr="005507F9">
        <w:rPr>
          <w:rFonts w:ascii="Arial" w:eastAsia="Times New Roman" w:hAnsi="Arial" w:cs="Times New Roman"/>
          <w:b/>
          <w:color w:val="1F4E79" w:themeColor="accent1" w:themeShade="80"/>
          <w:spacing w:val="-2"/>
          <w:sz w:val="20"/>
          <w:szCs w:val="20"/>
          <w:lang w:eastAsia="pt-BR"/>
        </w:rPr>
        <w:t>Ambiente Econômico</w:t>
      </w:r>
    </w:p>
    <w:p w14:paraId="0422C4F2" w14:textId="77777777" w:rsidR="005507F9" w:rsidRPr="005507F9" w:rsidRDefault="005507F9" w:rsidP="005507F9">
      <w:pPr>
        <w:rPr>
          <w:rFonts w:ascii="Arial" w:eastAsia="Times New Roman" w:hAnsi="Arial" w:cs="Times New Roman"/>
          <w:b/>
          <w:color w:val="1F4E79" w:themeColor="accent1" w:themeShade="80"/>
          <w:spacing w:val="-2"/>
          <w:sz w:val="20"/>
          <w:szCs w:val="20"/>
          <w:lang w:eastAsia="pt-BR"/>
        </w:rPr>
      </w:pPr>
      <w:r w:rsidRPr="005507F9">
        <w:rPr>
          <w:rFonts w:ascii="Arial" w:eastAsia="Times New Roman" w:hAnsi="Arial" w:cs="Times New Roman"/>
          <w:b/>
          <w:color w:val="1F4E79" w:themeColor="accent1" w:themeShade="80"/>
          <w:spacing w:val="-2"/>
          <w:sz w:val="20"/>
          <w:szCs w:val="20"/>
          <w:lang w:eastAsia="pt-BR"/>
        </w:rPr>
        <w:t>Brasil</w:t>
      </w:r>
    </w:p>
    <w:p w14:paraId="44EA3A60" w14:textId="3CFD851A" w:rsidR="005507F9" w:rsidRDefault="00A51EB9" w:rsidP="005507F9">
      <w:pPr>
        <w:pStyle w:val="050-TextoPadro"/>
        <w:rPr>
          <w:rFonts w:cs="Arial"/>
        </w:rPr>
      </w:pPr>
      <w:r>
        <w:rPr>
          <w:rFonts w:cs="Arial"/>
        </w:rPr>
        <w:t>Após a retração registrada pela economia doméstica na primeira metade de 2020, o crescimento expressivo do PIB no terceiro trimestre confirmou a perspectiva de retomada da atividade no segundo semestre. A flexibilização das medidas de distanciamento social e os estímulos patrocinados tanto pelo governo quanto pelo Banco Central</w:t>
      </w:r>
      <w:r w:rsidR="0094735F">
        <w:rPr>
          <w:rFonts w:cs="Arial"/>
        </w:rPr>
        <w:t>, que expandiram o crédito e preservaram empregos e a renda das famílias,</w:t>
      </w:r>
      <w:r>
        <w:rPr>
          <w:rFonts w:cs="Arial"/>
        </w:rPr>
        <w:t xml:space="preserve"> contribuíram para que essa retomada se materializasse em ritmo superior ao inicialmente estimado.</w:t>
      </w:r>
    </w:p>
    <w:p w14:paraId="503142FF" w14:textId="7F9D1548" w:rsidR="00A51EB9" w:rsidRDefault="00A51EB9" w:rsidP="005507F9">
      <w:pPr>
        <w:pStyle w:val="050-TextoPadro"/>
        <w:rPr>
          <w:rFonts w:cs="Arial"/>
        </w:rPr>
      </w:pPr>
      <w:r>
        <w:rPr>
          <w:rFonts w:cs="Arial"/>
        </w:rPr>
        <w:t xml:space="preserve">Como consequência da pandemia e da crise econômica, convivemos em 2020 com um mercado de trabalho menos dinâmico, que registrou níveis mínimos de pessoas ocupadas e recordes de pessoas </w:t>
      </w:r>
      <w:r w:rsidR="00BD1626">
        <w:rPr>
          <w:rFonts w:cs="Arial"/>
        </w:rPr>
        <w:t>desalentadas</w:t>
      </w:r>
      <w:r>
        <w:rPr>
          <w:rFonts w:cs="Arial"/>
        </w:rPr>
        <w:t xml:space="preserve">. Porém, com a retomada da atividade econômica, observou-se um movimento de retorno das pessoas ao mercado de trabalho. No entanto, a absorção dessa oferta de mão de obra não ocorreu na mesma velocidade que seu crescimento, o que contribuiu para manter as taxas de desemprego em alta. </w:t>
      </w:r>
    </w:p>
    <w:p w14:paraId="17DD04F5" w14:textId="28D146B9" w:rsidR="00A51EB9" w:rsidRDefault="00A51EB9" w:rsidP="005507F9">
      <w:pPr>
        <w:pStyle w:val="050-TextoPadro"/>
        <w:rPr>
          <w:rFonts w:cs="Arial"/>
        </w:rPr>
      </w:pPr>
      <w:r>
        <w:rPr>
          <w:rFonts w:cs="Arial"/>
        </w:rPr>
        <w:t>As medidas de enfrentamento à crise tiveram reflexo direto sobre as contas públicas. As regras fiscais foram flexibilizadas para permitir a expansão dos gastos. Com isso, por um lado, o déficit primário e o endividamento bruto fecharam 2020 em patamar mais elevado. Por outro lado, em meio à retomada mais forte da atividade do que o inicialmente esperado e o menor diferimento de impostos, evitou-se um impacto mais adverso sobre a arrecadação dos governos.</w:t>
      </w:r>
    </w:p>
    <w:p w14:paraId="352AACF8" w14:textId="20EFD427" w:rsidR="00A51EB9" w:rsidRPr="00F526BD" w:rsidRDefault="00596752" w:rsidP="005507F9">
      <w:pPr>
        <w:pStyle w:val="050-TextoPadro"/>
        <w:rPr>
          <w:rFonts w:cs="Arial"/>
        </w:rPr>
      </w:pPr>
      <w:r>
        <w:rPr>
          <w:rFonts w:cs="Arial"/>
        </w:rPr>
        <w:t>Choques de oferta, associados principalmente aos preços de alimentos, impulsionaram a inflação em 2020. Esse movimento foi parcialmente mitigado pela manutenção da inflação de serviços em patamares ainda confortáveis, em uma dinâmica que respondeu principalmente à sustentação de uma ociosidade elevada na economia. Nesse contexto, o IPCA finalizou o ano um pouco acima do centro da meta para 2020. Com a avaliação de que os riscos fiscais e inflacionários ainda são administráveis, somada à necessidade de estimular a atividade econômica, o Copom levou e manteve a taxa Selic para sua mínima histórica. Impulsionada principalmente pelo menor diferencial de juros e pelas incertezas fiscais, a taxa de câmbio terminou 2020 em patamar mais elevado, mas distante das máximas observadas durante o ano.</w:t>
      </w:r>
    </w:p>
    <w:p w14:paraId="471F3923" w14:textId="77777777" w:rsidR="005507F9" w:rsidRPr="005507F9" w:rsidRDefault="005507F9" w:rsidP="005507F9">
      <w:pPr>
        <w:rPr>
          <w:rFonts w:ascii="Arial" w:eastAsia="Times New Roman" w:hAnsi="Arial" w:cs="Times New Roman"/>
          <w:b/>
          <w:color w:val="1F4E79" w:themeColor="accent1" w:themeShade="80"/>
          <w:spacing w:val="-2"/>
          <w:sz w:val="20"/>
          <w:szCs w:val="20"/>
          <w:lang w:eastAsia="pt-BR"/>
        </w:rPr>
      </w:pPr>
      <w:r w:rsidRPr="005507F9">
        <w:rPr>
          <w:rFonts w:ascii="Arial" w:eastAsia="Times New Roman" w:hAnsi="Arial" w:cs="Times New Roman"/>
          <w:b/>
          <w:color w:val="1F4E79" w:themeColor="accent1" w:themeShade="80"/>
          <w:spacing w:val="-2"/>
          <w:sz w:val="20"/>
          <w:szCs w:val="20"/>
          <w:lang w:eastAsia="pt-BR"/>
        </w:rPr>
        <w:t>Mundo</w:t>
      </w:r>
    </w:p>
    <w:p w14:paraId="13DFD5E0" w14:textId="02EF6186" w:rsidR="005507F9" w:rsidRDefault="00596752" w:rsidP="005507F9">
      <w:pPr>
        <w:pStyle w:val="050-TextoPadro"/>
        <w:tabs>
          <w:tab w:val="left" w:pos="5500"/>
        </w:tabs>
        <w:rPr>
          <w:rFonts w:cs="Arial"/>
        </w:rPr>
      </w:pPr>
      <w:r>
        <w:rPr>
          <w:rFonts w:cs="Arial"/>
        </w:rPr>
        <w:t>Assim como no Brasil, o cenário externo também conviveu com as incertezas associadas à emergência de saúde pública decorrente do coronavírus</w:t>
      </w:r>
      <w:r w:rsidR="005507F9" w:rsidRPr="00596752">
        <w:rPr>
          <w:rFonts w:cs="Arial"/>
        </w:rPr>
        <w:t>.</w:t>
      </w:r>
      <w:r>
        <w:rPr>
          <w:rFonts w:cs="Arial"/>
        </w:rPr>
        <w:t xml:space="preserve"> A economia global deu primeiros sinais de recuperação ao longo do segundo semestre, ainda que em algumas regiões tenha havido um recrudescimento da pandemia nas últimas semanas do ano.</w:t>
      </w:r>
    </w:p>
    <w:p w14:paraId="347CFB57" w14:textId="2046F9E8" w:rsidR="00596752" w:rsidRPr="00596752" w:rsidRDefault="00596752" w:rsidP="005507F9">
      <w:pPr>
        <w:pStyle w:val="050-TextoPadro"/>
        <w:tabs>
          <w:tab w:val="left" w:pos="5500"/>
        </w:tabs>
        <w:rPr>
          <w:rFonts w:cs="Arial"/>
        </w:rPr>
      </w:pPr>
      <w:r>
        <w:rPr>
          <w:rFonts w:cs="Arial"/>
        </w:rPr>
        <w:t>Além das preocupações com uma segunda onda pandêmica, a guerra comercial entre China e EUA se manteve sob os holofotes ao longo de 2020. Por sua vez, o resultado das eleições presidenciais americanas e o acordo que evitará uma saída desorganizada do Reino Unido da União Europeia (</w:t>
      </w:r>
      <w:proofErr w:type="spellStart"/>
      <w:r>
        <w:rPr>
          <w:rFonts w:cs="Arial"/>
        </w:rPr>
        <w:t>Brexit</w:t>
      </w:r>
      <w:proofErr w:type="spellEnd"/>
      <w:r>
        <w:rPr>
          <w:rFonts w:cs="Arial"/>
        </w:rPr>
        <w:t xml:space="preserve">) significaram a remoção de riscos relevantes do cenário. Esses episódios, somados às notícias </w:t>
      </w:r>
      <w:r w:rsidR="00F526BD">
        <w:rPr>
          <w:rFonts w:cs="Arial"/>
        </w:rPr>
        <w:t>favoráveis sobre a eficácia</w:t>
      </w:r>
      <w:r w:rsidR="00FF6F7A">
        <w:rPr>
          <w:rFonts w:cs="Arial"/>
        </w:rPr>
        <w:t xml:space="preserve"> e início da </w:t>
      </w:r>
      <w:r w:rsidR="00F526BD">
        <w:rPr>
          <w:rFonts w:cs="Arial"/>
        </w:rPr>
        <w:t>disponibilização das vacinas, contribuíram para a melhora do humor dos investidores nos últimos meses de 2020.</w:t>
      </w:r>
    </w:p>
    <w:p w14:paraId="1EC8B13B" w14:textId="77777777" w:rsidR="005507F9" w:rsidRPr="005507F9" w:rsidRDefault="005507F9" w:rsidP="005507F9">
      <w:pPr>
        <w:pStyle w:val="01-Textonormal"/>
        <w:rPr>
          <w:b/>
          <w:color w:val="1F4E79" w:themeColor="accent1" w:themeShade="80"/>
          <w:sz w:val="20"/>
          <w:szCs w:val="20"/>
        </w:rPr>
      </w:pPr>
      <w:r w:rsidRPr="005507F9">
        <w:rPr>
          <w:b/>
          <w:color w:val="1F4E79" w:themeColor="accent1" w:themeShade="80"/>
          <w:sz w:val="20"/>
          <w:szCs w:val="20"/>
        </w:rPr>
        <w:t>Mercado de Seguridade</w:t>
      </w:r>
    </w:p>
    <w:p w14:paraId="765075BB" w14:textId="03B1A127" w:rsidR="00A0797B" w:rsidRDefault="004B0F99" w:rsidP="00A0797B">
      <w:pPr>
        <w:pStyle w:val="01-Textonormal"/>
        <w:rPr>
          <w:rFonts w:cs="Arial"/>
        </w:rPr>
      </w:pPr>
      <w:r>
        <w:rPr>
          <w:rFonts w:cs="Arial"/>
        </w:rPr>
        <w:t>A</w:t>
      </w:r>
      <w:r w:rsidR="001E4AA7">
        <w:rPr>
          <w:rFonts w:cs="Arial"/>
        </w:rPr>
        <w:t xml:space="preserve"> indústria de seguros foi marcada por uma forte recuperação</w:t>
      </w:r>
      <w:r>
        <w:rPr>
          <w:rFonts w:cs="Arial"/>
        </w:rPr>
        <w:t xml:space="preserve"> no ano de 2019</w:t>
      </w:r>
      <w:r w:rsidR="001E4AA7">
        <w:rPr>
          <w:rFonts w:cs="Arial"/>
        </w:rPr>
        <w:t xml:space="preserve">, com crescimento de 11,1% </w:t>
      </w:r>
      <w:r w:rsidR="00A0797B">
        <w:rPr>
          <w:rFonts w:cs="Arial"/>
        </w:rPr>
        <w:t>no volume</w:t>
      </w:r>
      <w:r w:rsidR="009F5768">
        <w:rPr>
          <w:rFonts w:cs="Arial"/>
        </w:rPr>
        <w:t xml:space="preserve"> de prêmios emitidos, contribuições de previdência aberta e arrecadação com títulos de capitalização, segundo dados disponibilizados pela Superintendência de Seguros Privados (SUSEP)</w:t>
      </w:r>
      <w:r w:rsidR="001E4AA7">
        <w:rPr>
          <w:rFonts w:cs="Arial"/>
        </w:rPr>
        <w:t>. P</w:t>
      </w:r>
      <w:r w:rsidR="009747A6" w:rsidRPr="009747A6">
        <w:rPr>
          <w:rFonts w:cs="Arial"/>
        </w:rPr>
        <w:t xml:space="preserve">ara </w:t>
      </w:r>
      <w:r w:rsidR="009747A6">
        <w:rPr>
          <w:rFonts w:cs="Arial"/>
        </w:rPr>
        <w:t>2020</w:t>
      </w:r>
      <w:r w:rsidR="001E4AA7">
        <w:rPr>
          <w:rFonts w:cs="Arial"/>
        </w:rPr>
        <w:t>, a expectativa</w:t>
      </w:r>
      <w:r w:rsidR="009747A6">
        <w:rPr>
          <w:rFonts w:cs="Arial"/>
        </w:rPr>
        <w:t xml:space="preserve"> era de </w:t>
      </w:r>
      <w:r w:rsidR="00DC1D20">
        <w:rPr>
          <w:rFonts w:cs="Arial"/>
        </w:rPr>
        <w:t xml:space="preserve">uma </w:t>
      </w:r>
      <w:r>
        <w:rPr>
          <w:rFonts w:cs="Arial"/>
        </w:rPr>
        <w:t>continuidade dessa tendência de evolução</w:t>
      </w:r>
      <w:r w:rsidR="009747A6">
        <w:rPr>
          <w:rFonts w:cs="Arial"/>
        </w:rPr>
        <w:t xml:space="preserve">, </w:t>
      </w:r>
      <w:r w:rsidR="00253A36">
        <w:rPr>
          <w:rFonts w:cs="Arial"/>
        </w:rPr>
        <w:t>n</w:t>
      </w:r>
      <w:r w:rsidR="009747A6">
        <w:rPr>
          <w:rFonts w:cs="Arial"/>
        </w:rPr>
        <w:t xml:space="preserve">o entanto, a decretação da pandemia de Covid-19, com medidas de isolamento social a partir do final de março, </w:t>
      </w:r>
      <w:r w:rsidR="00A0797B">
        <w:rPr>
          <w:rFonts w:cs="Arial"/>
        </w:rPr>
        <w:t>trouxe uma série de impactos</w:t>
      </w:r>
      <w:r w:rsidR="009747A6">
        <w:rPr>
          <w:rFonts w:cs="Arial"/>
        </w:rPr>
        <w:t xml:space="preserve"> para o setor de segur</w:t>
      </w:r>
      <w:r w:rsidR="009F5768">
        <w:rPr>
          <w:rFonts w:cs="Arial"/>
        </w:rPr>
        <w:t>idade</w:t>
      </w:r>
      <w:r w:rsidR="00A0797B">
        <w:rPr>
          <w:rFonts w:cs="Arial"/>
        </w:rPr>
        <w:t xml:space="preserve"> e</w:t>
      </w:r>
      <w:r w:rsidR="009747A6">
        <w:rPr>
          <w:rFonts w:cs="Arial"/>
        </w:rPr>
        <w:t xml:space="preserve"> para a economia como um todo</w:t>
      </w:r>
      <w:r w:rsidR="00A0797B">
        <w:rPr>
          <w:rFonts w:cs="Arial"/>
        </w:rPr>
        <w:t xml:space="preserve">, </w:t>
      </w:r>
      <w:r w:rsidR="00996190" w:rsidRPr="003829FE">
        <w:rPr>
          <w:rFonts w:cs="Arial"/>
        </w:rPr>
        <w:t xml:space="preserve">com </w:t>
      </w:r>
      <w:r w:rsidR="003829FE" w:rsidRPr="003829FE">
        <w:rPr>
          <w:rFonts w:cs="Arial"/>
        </w:rPr>
        <w:t>as variáveis econômicas, como PIB, taxa de desemprego, inflação</w:t>
      </w:r>
      <w:r w:rsidR="00F3383B" w:rsidRPr="003829FE">
        <w:rPr>
          <w:rFonts w:cs="Arial"/>
        </w:rPr>
        <w:t xml:space="preserve">, </w:t>
      </w:r>
      <w:r w:rsidR="003829FE" w:rsidRPr="003829FE">
        <w:rPr>
          <w:rFonts w:cs="Arial"/>
        </w:rPr>
        <w:t>dentre outras, fortemente afetadas pela crise sanitária</w:t>
      </w:r>
      <w:r w:rsidR="00A0797B">
        <w:rPr>
          <w:rFonts w:cs="Arial"/>
        </w:rPr>
        <w:t>.</w:t>
      </w:r>
      <w:r w:rsidR="003829FE" w:rsidRPr="003829FE">
        <w:rPr>
          <w:rFonts w:cs="Arial"/>
        </w:rPr>
        <w:t xml:space="preserve"> </w:t>
      </w:r>
    </w:p>
    <w:p w14:paraId="046C6A45" w14:textId="113682A2" w:rsidR="00E55CF8" w:rsidRDefault="00A0797B">
      <w:pPr>
        <w:pStyle w:val="01-Textonormal"/>
        <w:rPr>
          <w:rFonts w:cs="Arial"/>
        </w:rPr>
      </w:pPr>
      <w:r>
        <w:rPr>
          <w:rFonts w:cs="Arial"/>
        </w:rPr>
        <w:t>Nesse contexto, o</w:t>
      </w:r>
      <w:r w:rsidR="00F3383B" w:rsidRPr="003829FE">
        <w:rPr>
          <w:rFonts w:cs="Arial"/>
        </w:rPr>
        <w:t xml:space="preserve"> mercado de seguros demonstrou </w:t>
      </w:r>
      <w:r>
        <w:rPr>
          <w:rFonts w:cs="Arial"/>
        </w:rPr>
        <w:t xml:space="preserve">mais uma vez </w:t>
      </w:r>
      <w:r w:rsidR="00F3383B" w:rsidRPr="003829FE">
        <w:rPr>
          <w:rFonts w:cs="Arial"/>
        </w:rPr>
        <w:t xml:space="preserve">sua resiliência ao encerrar 2020 com volume de </w:t>
      </w:r>
      <w:r>
        <w:rPr>
          <w:rFonts w:cs="Arial"/>
        </w:rPr>
        <w:t>prêmios, contribuições e arrecadações</w:t>
      </w:r>
      <w:r w:rsidRPr="003829FE">
        <w:rPr>
          <w:rFonts w:cs="Arial"/>
        </w:rPr>
        <w:t xml:space="preserve"> </w:t>
      </w:r>
      <w:r w:rsidR="00F3383B" w:rsidRPr="003829FE">
        <w:rPr>
          <w:rFonts w:cs="Arial"/>
        </w:rPr>
        <w:t xml:space="preserve">registrando leve retração de </w:t>
      </w:r>
      <w:r w:rsidR="00F3383B" w:rsidRPr="00873986">
        <w:rPr>
          <w:rFonts w:cs="Arial"/>
        </w:rPr>
        <w:t>0,9%</w:t>
      </w:r>
      <w:r w:rsidR="00690287" w:rsidRPr="00873986">
        <w:rPr>
          <w:rStyle w:val="Refdenotaderodap"/>
          <w:rFonts w:cs="Arial"/>
          <w:sz w:val="16"/>
          <w:szCs w:val="16"/>
        </w:rPr>
        <w:footnoteReference w:id="1"/>
      </w:r>
      <w:r w:rsidR="002A101E" w:rsidRPr="00873986">
        <w:rPr>
          <w:rFonts w:cs="Arial"/>
        </w:rPr>
        <w:t xml:space="preserve">. Enquanto os prêmios de seguro mantiveram </w:t>
      </w:r>
      <w:r w:rsidRPr="00873986">
        <w:rPr>
          <w:rFonts w:cs="Arial"/>
        </w:rPr>
        <w:t xml:space="preserve">a </w:t>
      </w:r>
      <w:r w:rsidR="002A101E" w:rsidRPr="00873986">
        <w:rPr>
          <w:rFonts w:cs="Arial"/>
        </w:rPr>
        <w:t xml:space="preserve">tendência de crescimento (+3,9%), o volume de contribuições de previdência foi impactado pelo cenário de maior volatilidade na economia, encerrando o ano com retração de 4,7%. </w:t>
      </w:r>
      <w:r w:rsidR="00F3383B" w:rsidRPr="00873986">
        <w:rPr>
          <w:rFonts w:cs="Arial"/>
        </w:rPr>
        <w:t>No</w:t>
      </w:r>
      <w:r w:rsidR="00BF7FC3" w:rsidRPr="00873986">
        <w:rPr>
          <w:rFonts w:cs="Arial"/>
        </w:rPr>
        <w:t xml:space="preserve"> lado</w:t>
      </w:r>
      <w:r w:rsidR="00F3383B" w:rsidRPr="00873986">
        <w:rPr>
          <w:rFonts w:cs="Arial"/>
        </w:rPr>
        <w:t xml:space="preserve"> op</w:t>
      </w:r>
      <w:r w:rsidR="00F3383B" w:rsidRPr="003829FE">
        <w:rPr>
          <w:rFonts w:cs="Arial"/>
        </w:rPr>
        <w:t xml:space="preserve">eracional, </w:t>
      </w:r>
      <w:r w:rsidR="00BF7FC3">
        <w:rPr>
          <w:rFonts w:cs="Arial"/>
        </w:rPr>
        <w:t xml:space="preserve">ainda que um aumento </w:t>
      </w:r>
      <w:r w:rsidR="00601B2F">
        <w:rPr>
          <w:rFonts w:cs="Arial"/>
        </w:rPr>
        <w:t xml:space="preserve">de avisos de sinistros tenha ocorrido em razão dos casos de infecção por Covid-19, em contrapartida, as medidas de isolamento social </w:t>
      </w:r>
      <w:r w:rsidR="00253A36">
        <w:rPr>
          <w:rFonts w:cs="Arial"/>
        </w:rPr>
        <w:t>refletiram em</w:t>
      </w:r>
      <w:r w:rsidR="00601B2F">
        <w:rPr>
          <w:rFonts w:cs="Arial"/>
        </w:rPr>
        <w:t xml:space="preserve"> uma redução </w:t>
      </w:r>
      <w:r w:rsidR="005D0575">
        <w:rPr>
          <w:rFonts w:cs="Arial"/>
        </w:rPr>
        <w:t xml:space="preserve">no volume de </w:t>
      </w:r>
      <w:r w:rsidR="00601B2F">
        <w:rPr>
          <w:rFonts w:cs="Arial"/>
        </w:rPr>
        <w:t>indenizações</w:t>
      </w:r>
      <w:r w:rsidR="005D0575">
        <w:rPr>
          <w:rFonts w:cs="Arial"/>
        </w:rPr>
        <w:t xml:space="preserve"> </w:t>
      </w:r>
      <w:r w:rsidR="00253A36">
        <w:rPr>
          <w:rFonts w:cs="Arial"/>
        </w:rPr>
        <w:t>por</w:t>
      </w:r>
      <w:r w:rsidR="005D0575">
        <w:rPr>
          <w:rFonts w:cs="Arial"/>
        </w:rPr>
        <w:t xml:space="preserve"> outras coberturas</w:t>
      </w:r>
      <w:r w:rsidR="003D4BBF">
        <w:rPr>
          <w:rFonts w:cs="Arial"/>
        </w:rPr>
        <w:t>.</w:t>
      </w:r>
    </w:p>
    <w:p w14:paraId="484AB1AC" w14:textId="591DC168" w:rsidR="00505000" w:rsidRDefault="00505000">
      <w:pPr>
        <w:spacing w:after="160" w:line="259" w:lineRule="auto"/>
        <w:rPr>
          <w:rFonts w:ascii="Arial" w:eastAsia="Times New Roman" w:hAnsi="Arial" w:cs="Arial"/>
          <w:spacing w:val="-2"/>
          <w:sz w:val="18"/>
          <w:szCs w:val="18"/>
          <w:lang w:eastAsia="pt-BR"/>
        </w:rPr>
      </w:pPr>
      <w:r>
        <w:rPr>
          <w:rFonts w:cs="Arial"/>
        </w:rPr>
        <w:br w:type="page"/>
      </w:r>
    </w:p>
    <w:p w14:paraId="4476CC42"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DESEMPENHO ECONÔMICO-FINANCEIRO</w:t>
      </w:r>
    </w:p>
    <w:p w14:paraId="1C86D685" w14:textId="6BBCD73E" w:rsidR="005507F9" w:rsidRPr="00B35AB8" w:rsidRDefault="005507F9" w:rsidP="005507F9">
      <w:pPr>
        <w:pStyle w:val="01-Textonormal"/>
        <w:rPr>
          <w:rFonts w:cs="Arial"/>
        </w:rPr>
      </w:pPr>
      <w:r w:rsidRPr="00B35AB8">
        <w:rPr>
          <w:rFonts w:cs="Arial"/>
        </w:rPr>
        <w:t xml:space="preserve">Enquanto empresa de participações, o lucro líquido da BB Seguridade é composto basicamente pelo resultado de equivalência patrimonial, apurado a partir do resultado de suas empresas </w:t>
      </w:r>
      <w:r w:rsidR="00323DE1">
        <w:rPr>
          <w:rFonts w:cs="Arial"/>
        </w:rPr>
        <w:t>investidas</w:t>
      </w:r>
      <w:r w:rsidRPr="00B35AB8">
        <w:rPr>
          <w:rFonts w:cs="Arial"/>
        </w:rPr>
        <w:t xml:space="preserve">, e das demais receitas e despesas operacionais e financeiras da Companhia. </w:t>
      </w:r>
    </w:p>
    <w:p w14:paraId="7BE07E49" w14:textId="0F4BC9E7" w:rsidR="005507F9" w:rsidRPr="00B35AB8" w:rsidRDefault="005507F9" w:rsidP="005507F9">
      <w:pPr>
        <w:pStyle w:val="01-Textonormal"/>
        <w:rPr>
          <w:rFonts w:cs="Arial"/>
        </w:rPr>
      </w:pPr>
      <w:r w:rsidRPr="00B35AB8">
        <w:rPr>
          <w:rFonts w:cs="Arial"/>
        </w:rPr>
        <w:t>Abaixo, apresentamos o resultado da BB Seguridade para os exercícios 20</w:t>
      </w:r>
      <w:r w:rsidR="00F27DC1">
        <w:rPr>
          <w:rFonts w:cs="Arial"/>
        </w:rPr>
        <w:t>20</w:t>
      </w:r>
      <w:r>
        <w:rPr>
          <w:rFonts w:cs="Arial"/>
        </w:rPr>
        <w:t xml:space="preserve"> e 201</w:t>
      </w:r>
      <w:r w:rsidR="00F27DC1">
        <w:rPr>
          <w:rFonts w:cs="Arial"/>
        </w:rPr>
        <w:t>9</w:t>
      </w:r>
      <w:r w:rsidRPr="00B35AB8">
        <w:rPr>
          <w:rFonts w:cs="Arial"/>
        </w:rPr>
        <w:t>:</w:t>
      </w:r>
    </w:p>
    <w:p w14:paraId="6E59ABC8" w14:textId="77777777" w:rsidR="005507F9" w:rsidRPr="00B35AB8" w:rsidRDefault="005507F9" w:rsidP="005507F9">
      <w:pPr>
        <w:pStyle w:val="06-Rmil"/>
        <w:jc w:val="left"/>
        <w:rPr>
          <w:rFonts w:cs="Arial"/>
        </w:rPr>
      </w:pPr>
    </w:p>
    <w:p w14:paraId="391C8407" w14:textId="0BADB608" w:rsidR="009E060D" w:rsidRDefault="009E060D" w:rsidP="009E060D">
      <w:pPr>
        <w:pStyle w:val="01-TtulodeNota"/>
        <w:rPr>
          <w:b w:val="0"/>
          <w:sz w:val="14"/>
        </w:rPr>
      </w:pPr>
      <w:r w:rsidRPr="009E060D">
        <w:rPr>
          <w:rFonts w:cs="Arial"/>
          <w:b w:val="0"/>
          <w:sz w:val="14"/>
          <w:szCs w:val="14"/>
        </w:rPr>
        <w:t xml:space="preserve">Tabela </w:t>
      </w:r>
      <w:r w:rsidRPr="009E060D">
        <w:rPr>
          <w:rFonts w:cs="Arial"/>
          <w:b w:val="0"/>
          <w:sz w:val="14"/>
          <w:szCs w:val="14"/>
        </w:rPr>
        <w:fldChar w:fldCharType="begin"/>
      </w:r>
      <w:r w:rsidRPr="009E060D">
        <w:rPr>
          <w:rFonts w:cs="Arial"/>
          <w:b w:val="0"/>
          <w:sz w:val="14"/>
          <w:szCs w:val="14"/>
        </w:rPr>
        <w:instrText xml:space="preserve"> SEQ Tabela \* ARABIC </w:instrText>
      </w:r>
      <w:r w:rsidRPr="009E060D">
        <w:rPr>
          <w:rFonts w:cs="Arial"/>
          <w:b w:val="0"/>
          <w:sz w:val="14"/>
          <w:szCs w:val="14"/>
        </w:rPr>
        <w:fldChar w:fldCharType="separate"/>
      </w:r>
      <w:r w:rsidR="0068396B">
        <w:rPr>
          <w:rFonts w:cs="Arial"/>
          <w:b w:val="0"/>
          <w:noProof/>
          <w:sz w:val="14"/>
          <w:szCs w:val="14"/>
        </w:rPr>
        <w:t>1</w:t>
      </w:r>
      <w:r w:rsidRPr="009E060D">
        <w:rPr>
          <w:rFonts w:cs="Arial"/>
          <w:b w:val="0"/>
          <w:noProof/>
          <w:sz w:val="14"/>
          <w:szCs w:val="14"/>
        </w:rPr>
        <w:fldChar w:fldCharType="end"/>
      </w:r>
      <w:r w:rsidRPr="002A6B1F">
        <w:rPr>
          <w:b w:val="0"/>
          <w:sz w:val="14"/>
        </w:rPr>
        <w:t xml:space="preserve"> – Desempenho econômico-financeiro | Demonstração de Resultados – Visão Controlador</w:t>
      </w:r>
    </w:p>
    <w:tbl>
      <w:tblPr>
        <w:tblStyle w:val="TabeladeLista6Colorida-nfase5"/>
        <w:tblW w:w="9639" w:type="dxa"/>
        <w:tblLook w:val="04A0" w:firstRow="1" w:lastRow="0" w:firstColumn="1" w:lastColumn="0" w:noHBand="0" w:noVBand="1"/>
      </w:tblPr>
      <w:tblGrid>
        <w:gridCol w:w="4066"/>
        <w:gridCol w:w="1860"/>
        <w:gridCol w:w="1860"/>
        <w:gridCol w:w="1853"/>
      </w:tblGrid>
      <w:tr w:rsidR="009E060D" w:rsidRPr="00201B3F" w14:paraId="181D1DAE" w14:textId="77777777" w:rsidTr="009E060D">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28840570" w14:textId="77777777" w:rsidR="009E060D" w:rsidRPr="00201B3F" w:rsidRDefault="009E060D" w:rsidP="009E060D">
            <w:pPr>
              <w:pStyle w:val="08-Tabelageral"/>
              <w:jc w:val="left"/>
              <w:rPr>
                <w:rFonts w:cs="Arial"/>
              </w:rPr>
            </w:pPr>
          </w:p>
        </w:tc>
        <w:tc>
          <w:tcPr>
            <w:tcW w:w="1860" w:type="dxa"/>
            <w:vMerge w:val="restart"/>
            <w:tcBorders>
              <w:top w:val="single" w:sz="2" w:space="0" w:color="8EAADB" w:themeColor="accent5" w:themeTint="99"/>
            </w:tcBorders>
            <w:shd w:val="clear" w:color="auto" w:fill="D9E2F3" w:themeFill="accent5" w:themeFillTint="33"/>
            <w:vAlign w:val="center"/>
          </w:tcPr>
          <w:p w14:paraId="6BD15EFE" w14:textId="14DBA9E8" w:rsidR="009E060D" w:rsidRPr="009C4EEC" w:rsidRDefault="009E060D" w:rsidP="009E060D">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sidRPr="009C4EEC">
              <w:rPr>
                <w:rFonts w:cs="Arial"/>
              </w:rPr>
              <w:t>Exercício/20</w:t>
            </w:r>
            <w:r w:rsidR="00F27DC1">
              <w:rPr>
                <w:rFonts w:cs="Arial"/>
              </w:rPr>
              <w:t>20</w:t>
            </w:r>
          </w:p>
        </w:tc>
        <w:tc>
          <w:tcPr>
            <w:tcW w:w="1860" w:type="dxa"/>
            <w:vMerge w:val="restart"/>
            <w:tcBorders>
              <w:top w:val="single" w:sz="2" w:space="0" w:color="8EAADB" w:themeColor="accent5" w:themeTint="99"/>
            </w:tcBorders>
            <w:shd w:val="clear" w:color="auto" w:fill="D9E2F3" w:themeFill="accent5" w:themeFillTint="33"/>
            <w:vAlign w:val="center"/>
          </w:tcPr>
          <w:p w14:paraId="5A363726" w14:textId="2B79C2B3" w:rsidR="009E060D" w:rsidRPr="009C4EEC" w:rsidRDefault="009E060D" w:rsidP="009E060D">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sidRPr="009C4EEC">
              <w:rPr>
                <w:rFonts w:cs="Arial"/>
              </w:rPr>
              <w:t>Exercício/201</w:t>
            </w:r>
            <w:r w:rsidR="00F27DC1">
              <w:rPr>
                <w:rFonts w:cs="Arial"/>
              </w:rPr>
              <w:t>9</w:t>
            </w:r>
          </w:p>
        </w:tc>
        <w:tc>
          <w:tcPr>
            <w:tcW w:w="1853" w:type="dxa"/>
            <w:tcBorders>
              <w:top w:val="single" w:sz="2" w:space="0" w:color="8EAADB" w:themeColor="accent5" w:themeTint="99"/>
              <w:bottom w:val="nil"/>
            </w:tcBorders>
            <w:shd w:val="clear" w:color="auto" w:fill="D9E2F3" w:themeFill="accent5" w:themeFillTint="33"/>
            <w:vAlign w:val="center"/>
          </w:tcPr>
          <w:p w14:paraId="6CEE96D3" w14:textId="77777777" w:rsidR="009E060D" w:rsidRPr="00201B3F" w:rsidRDefault="009E060D" w:rsidP="009E060D">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sidRPr="002A6B1F">
              <w:rPr>
                <w:rFonts w:cs="Arial"/>
              </w:rPr>
              <w:t>Var.%</w:t>
            </w:r>
          </w:p>
        </w:tc>
      </w:tr>
      <w:tr w:rsidR="009E060D" w:rsidRPr="001D6BE8" w14:paraId="73010E75" w14:textId="77777777" w:rsidTr="009E06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30086DF6" w14:textId="77777777" w:rsidR="009E060D" w:rsidRPr="00C806B0" w:rsidRDefault="009E060D" w:rsidP="009E060D">
            <w:pPr>
              <w:pStyle w:val="08-Tabelageral"/>
              <w:jc w:val="left"/>
              <w:rPr>
                <w:rFonts w:cs="Arial"/>
                <w:bCs w:val="0"/>
                <w:szCs w:val="14"/>
              </w:rPr>
            </w:pPr>
          </w:p>
        </w:tc>
        <w:tc>
          <w:tcPr>
            <w:tcW w:w="1860" w:type="dxa"/>
            <w:vMerge/>
            <w:tcBorders>
              <w:bottom w:val="single" w:sz="2" w:space="0" w:color="8EAADB" w:themeColor="accent5" w:themeTint="99"/>
            </w:tcBorders>
            <w:vAlign w:val="center"/>
          </w:tcPr>
          <w:p w14:paraId="4E6F305C" w14:textId="77777777" w:rsidR="009E060D" w:rsidRPr="002A6B1F" w:rsidRDefault="009E060D" w:rsidP="009E060D">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p>
        </w:tc>
        <w:tc>
          <w:tcPr>
            <w:tcW w:w="1860" w:type="dxa"/>
            <w:vMerge/>
            <w:tcBorders>
              <w:bottom w:val="single" w:sz="2" w:space="0" w:color="8EAADB" w:themeColor="accent5" w:themeTint="99"/>
            </w:tcBorders>
            <w:vAlign w:val="center"/>
          </w:tcPr>
          <w:p w14:paraId="1A9F29E4" w14:textId="77777777" w:rsidR="009E060D" w:rsidRPr="002A6B1F" w:rsidRDefault="009E060D" w:rsidP="009E060D">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p>
        </w:tc>
        <w:tc>
          <w:tcPr>
            <w:tcW w:w="1853" w:type="dxa"/>
            <w:tcBorders>
              <w:top w:val="nil"/>
              <w:bottom w:val="single" w:sz="2" w:space="0" w:color="8EAADB" w:themeColor="accent5" w:themeTint="99"/>
            </w:tcBorders>
            <w:vAlign w:val="center"/>
          </w:tcPr>
          <w:p w14:paraId="6716DBF4" w14:textId="1FE4B07B" w:rsidR="009E060D" w:rsidRPr="002A6B1F" w:rsidRDefault="009E060D" w:rsidP="009E060D">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2A6B1F">
              <w:rPr>
                <w:rFonts w:cs="Arial"/>
                <w:b/>
              </w:rPr>
              <w:t>s/ 201</w:t>
            </w:r>
            <w:r w:rsidR="00F27DC1">
              <w:rPr>
                <w:rFonts w:cs="Arial"/>
                <w:b/>
              </w:rPr>
              <w:t>9</w:t>
            </w:r>
          </w:p>
        </w:tc>
      </w:tr>
      <w:tr w:rsidR="00F27DC1" w:rsidRPr="001D6BE8" w14:paraId="0F85198D" w14:textId="77777777" w:rsidTr="009E060D">
        <w:trPr>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tcPr>
          <w:p w14:paraId="0A949126" w14:textId="77777777" w:rsidR="00F27DC1" w:rsidRPr="002A6B1F" w:rsidRDefault="00F27DC1" w:rsidP="00F27DC1">
            <w:pPr>
              <w:pStyle w:val="08-Tabelageral"/>
              <w:jc w:val="left"/>
              <w:rPr>
                <w:rFonts w:cs="Arial"/>
                <w:snapToGrid w:val="0"/>
              </w:rPr>
            </w:pPr>
            <w:r w:rsidRPr="002A6B1F">
              <w:rPr>
                <w:rFonts w:cs="Arial"/>
              </w:rPr>
              <w:t>Receitas de investimentos em participações societárias</w:t>
            </w:r>
          </w:p>
        </w:tc>
        <w:tc>
          <w:tcPr>
            <w:tcW w:w="1860" w:type="dxa"/>
            <w:tcBorders>
              <w:top w:val="single" w:sz="2" w:space="0" w:color="8EAADB" w:themeColor="accent5" w:themeTint="99"/>
              <w:bottom w:val="nil"/>
            </w:tcBorders>
            <w:vAlign w:val="center"/>
          </w:tcPr>
          <w:p w14:paraId="00910EFD" w14:textId="4DD59AE4" w:rsidR="00F27DC1" w:rsidRPr="00F27DC1" w:rsidRDefault="00427968" w:rsidP="00F27DC1">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r w:rsidRPr="00427968">
              <w:rPr>
                <w:rFonts w:cs="Arial"/>
                <w:b/>
                <w:bCs/>
                <w:color w:val="auto"/>
                <w:szCs w:val="14"/>
              </w:rPr>
              <w:t>3.833.384</w:t>
            </w:r>
          </w:p>
        </w:tc>
        <w:tc>
          <w:tcPr>
            <w:tcW w:w="1860" w:type="dxa"/>
            <w:tcBorders>
              <w:top w:val="single" w:sz="2" w:space="0" w:color="8EAADB" w:themeColor="accent5" w:themeTint="99"/>
              <w:bottom w:val="nil"/>
            </w:tcBorders>
            <w:vAlign w:val="center"/>
          </w:tcPr>
          <w:p w14:paraId="57F8AB84" w14:textId="2033D4FC"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color w:val="auto"/>
                <w:szCs w:val="14"/>
              </w:rPr>
              <w:t>6.569.590</w:t>
            </w:r>
          </w:p>
        </w:tc>
        <w:tc>
          <w:tcPr>
            <w:tcW w:w="1853" w:type="dxa"/>
            <w:tcBorders>
              <w:top w:val="single" w:sz="2" w:space="0" w:color="8EAADB" w:themeColor="accent5" w:themeTint="99"/>
              <w:bottom w:val="nil"/>
            </w:tcBorders>
            <w:vAlign w:val="center"/>
          </w:tcPr>
          <w:p w14:paraId="79D8DC37" w14:textId="30F43CF9"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0244FC">
              <w:rPr>
                <w:rFonts w:cs="Arial"/>
                <w:b/>
                <w:bCs/>
                <w:color w:val="auto"/>
                <w:szCs w:val="14"/>
              </w:rPr>
              <w:t>(41,6)</w:t>
            </w:r>
          </w:p>
        </w:tc>
      </w:tr>
      <w:tr w:rsidR="00F27DC1" w:rsidRPr="001D6BE8" w14:paraId="61AA87E0" w14:textId="77777777" w:rsidTr="009E06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0031FB89" w14:textId="1D1FD6D0" w:rsidR="00F27DC1" w:rsidRPr="002A6B1F" w:rsidRDefault="00F27DC1" w:rsidP="00F27DC1">
            <w:pPr>
              <w:pStyle w:val="08-Tabelageral"/>
              <w:ind w:left="113"/>
              <w:jc w:val="left"/>
              <w:rPr>
                <w:rFonts w:cs="Arial"/>
                <w:b w:val="0"/>
                <w:snapToGrid w:val="0"/>
              </w:rPr>
            </w:pPr>
            <w:proofErr w:type="spellStart"/>
            <w:r>
              <w:rPr>
                <w:rFonts w:cs="Arial"/>
                <w:b w:val="0"/>
              </w:rPr>
              <w:t>Brasilseg</w:t>
            </w:r>
            <w:proofErr w:type="spellEnd"/>
            <w:r>
              <w:rPr>
                <w:rFonts w:cs="Arial"/>
                <w:b w:val="0"/>
              </w:rPr>
              <w:t xml:space="preserve"> Companhia de Seguros S.A.</w:t>
            </w:r>
          </w:p>
        </w:tc>
        <w:tc>
          <w:tcPr>
            <w:tcW w:w="1860" w:type="dxa"/>
            <w:tcBorders>
              <w:top w:val="nil"/>
              <w:bottom w:val="nil"/>
            </w:tcBorders>
            <w:vAlign w:val="center"/>
          </w:tcPr>
          <w:p w14:paraId="188B6AEC" w14:textId="3E0ED962" w:rsidR="00F27DC1" w:rsidRPr="00427968" w:rsidRDefault="00427968"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427968">
              <w:rPr>
                <w:rFonts w:cs="Arial"/>
                <w:color w:val="auto"/>
                <w:szCs w:val="14"/>
              </w:rPr>
              <w:t>1.086.543</w:t>
            </w:r>
          </w:p>
        </w:tc>
        <w:tc>
          <w:tcPr>
            <w:tcW w:w="1860" w:type="dxa"/>
            <w:tcBorders>
              <w:top w:val="nil"/>
              <w:bottom w:val="nil"/>
            </w:tcBorders>
            <w:vAlign w:val="center"/>
          </w:tcPr>
          <w:p w14:paraId="3791A366" w14:textId="3683D5D7" w:rsidR="00F27DC1" w:rsidRPr="002A6B1F"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6080B">
              <w:rPr>
                <w:rFonts w:cs="Arial"/>
                <w:color w:val="auto"/>
                <w:szCs w:val="14"/>
              </w:rPr>
              <w:t>1.072.991</w:t>
            </w:r>
          </w:p>
        </w:tc>
        <w:tc>
          <w:tcPr>
            <w:tcW w:w="1853" w:type="dxa"/>
            <w:tcBorders>
              <w:top w:val="nil"/>
              <w:bottom w:val="nil"/>
            </w:tcBorders>
            <w:vAlign w:val="center"/>
          </w:tcPr>
          <w:p w14:paraId="693642B8" w14:textId="5DB3BDC6" w:rsidR="00F27DC1" w:rsidRPr="000244FC" w:rsidRDefault="000244FC"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0244FC">
              <w:rPr>
                <w:rFonts w:cs="Arial"/>
                <w:color w:val="auto"/>
                <w:szCs w:val="14"/>
              </w:rPr>
              <w:t>1,3</w:t>
            </w:r>
          </w:p>
        </w:tc>
      </w:tr>
      <w:tr w:rsidR="00F27DC1" w:rsidRPr="001D6BE8" w14:paraId="09F61CCD" w14:textId="77777777" w:rsidTr="009E060D">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2B8C3D5" w14:textId="77777777" w:rsidR="00F27DC1" w:rsidRPr="002A6B1F" w:rsidRDefault="00F27DC1" w:rsidP="00F27DC1">
            <w:pPr>
              <w:pStyle w:val="08-Tabelageral"/>
              <w:ind w:left="113"/>
              <w:jc w:val="left"/>
              <w:rPr>
                <w:rFonts w:cs="Arial"/>
                <w:b w:val="0"/>
                <w:snapToGrid w:val="0"/>
              </w:rPr>
            </w:pPr>
            <w:proofErr w:type="spellStart"/>
            <w:r w:rsidRPr="002A6B1F">
              <w:rPr>
                <w:rFonts w:cs="Arial"/>
                <w:b w:val="0"/>
              </w:rPr>
              <w:t>Brasilprev</w:t>
            </w:r>
            <w:proofErr w:type="spellEnd"/>
            <w:r w:rsidRPr="002A6B1F">
              <w:rPr>
                <w:rFonts w:cs="Arial"/>
                <w:b w:val="0"/>
              </w:rPr>
              <w:t xml:space="preserve"> Seguros e Previdência S.A.</w:t>
            </w:r>
          </w:p>
        </w:tc>
        <w:tc>
          <w:tcPr>
            <w:tcW w:w="1860" w:type="dxa"/>
            <w:tcBorders>
              <w:top w:val="nil"/>
              <w:bottom w:val="nil"/>
            </w:tcBorders>
            <w:vAlign w:val="center"/>
          </w:tcPr>
          <w:p w14:paraId="353DB7A5" w14:textId="2915FA37" w:rsidR="00F27DC1" w:rsidRPr="00427968" w:rsidRDefault="00427968"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427968">
              <w:rPr>
                <w:color w:val="auto"/>
              </w:rPr>
              <w:t>686.379</w:t>
            </w:r>
          </w:p>
        </w:tc>
        <w:tc>
          <w:tcPr>
            <w:tcW w:w="1860" w:type="dxa"/>
            <w:tcBorders>
              <w:top w:val="nil"/>
              <w:bottom w:val="nil"/>
            </w:tcBorders>
            <w:vAlign w:val="center"/>
          </w:tcPr>
          <w:p w14:paraId="1BBAF2C3" w14:textId="1E919F4E"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6080B">
              <w:rPr>
                <w:rFonts w:cs="Arial"/>
                <w:color w:val="auto"/>
                <w:szCs w:val="14"/>
              </w:rPr>
              <w:t>1.064.501</w:t>
            </w:r>
          </w:p>
        </w:tc>
        <w:tc>
          <w:tcPr>
            <w:tcW w:w="1853" w:type="dxa"/>
            <w:tcBorders>
              <w:top w:val="nil"/>
              <w:bottom w:val="nil"/>
            </w:tcBorders>
            <w:vAlign w:val="center"/>
          </w:tcPr>
          <w:p w14:paraId="6DFFD0B2" w14:textId="6B502E86"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0244FC">
              <w:rPr>
                <w:rFonts w:cs="Arial"/>
                <w:color w:val="auto"/>
                <w:szCs w:val="14"/>
              </w:rPr>
              <w:t>(35,5)</w:t>
            </w:r>
          </w:p>
        </w:tc>
      </w:tr>
      <w:tr w:rsidR="00F27DC1" w:rsidRPr="001D6BE8" w14:paraId="239251F1" w14:textId="77777777" w:rsidTr="009E06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1BB99BF" w14:textId="77777777" w:rsidR="00F27DC1" w:rsidRPr="002A6B1F" w:rsidRDefault="00F27DC1" w:rsidP="00F27DC1">
            <w:pPr>
              <w:pStyle w:val="08-Tabelageral"/>
              <w:ind w:left="113"/>
              <w:jc w:val="left"/>
              <w:rPr>
                <w:rFonts w:cs="Arial"/>
                <w:b w:val="0"/>
                <w:snapToGrid w:val="0"/>
              </w:rPr>
            </w:pPr>
            <w:r w:rsidRPr="002A6B1F">
              <w:rPr>
                <w:rFonts w:cs="Arial"/>
                <w:b w:val="0"/>
              </w:rPr>
              <w:t>Brasilcap Capitalização S.A.</w:t>
            </w:r>
          </w:p>
        </w:tc>
        <w:tc>
          <w:tcPr>
            <w:tcW w:w="1860" w:type="dxa"/>
            <w:tcBorders>
              <w:top w:val="nil"/>
              <w:bottom w:val="nil"/>
            </w:tcBorders>
            <w:vAlign w:val="center"/>
          </w:tcPr>
          <w:p w14:paraId="550613D8" w14:textId="28FAA29E" w:rsidR="00F27DC1" w:rsidRPr="00427968" w:rsidRDefault="00427968"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427968">
              <w:rPr>
                <w:color w:val="auto"/>
              </w:rPr>
              <w:t>105.780</w:t>
            </w:r>
          </w:p>
        </w:tc>
        <w:tc>
          <w:tcPr>
            <w:tcW w:w="1860" w:type="dxa"/>
            <w:tcBorders>
              <w:top w:val="nil"/>
              <w:bottom w:val="nil"/>
            </w:tcBorders>
            <w:vAlign w:val="center"/>
          </w:tcPr>
          <w:p w14:paraId="65342F0A" w14:textId="38E263A9" w:rsidR="00F27DC1" w:rsidRPr="002A6B1F"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color w:val="auto"/>
                <w:szCs w:val="14"/>
              </w:rPr>
              <w:t>67.265</w:t>
            </w:r>
          </w:p>
        </w:tc>
        <w:tc>
          <w:tcPr>
            <w:tcW w:w="1853" w:type="dxa"/>
            <w:tcBorders>
              <w:top w:val="nil"/>
              <w:bottom w:val="nil"/>
            </w:tcBorders>
            <w:vAlign w:val="center"/>
          </w:tcPr>
          <w:p w14:paraId="1DFD9037" w14:textId="28C0C523" w:rsidR="00F27DC1" w:rsidRPr="000244FC" w:rsidRDefault="000244FC"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0244FC">
              <w:rPr>
                <w:rFonts w:cs="Arial"/>
                <w:color w:val="auto"/>
                <w:szCs w:val="14"/>
              </w:rPr>
              <w:t>57,3</w:t>
            </w:r>
          </w:p>
        </w:tc>
      </w:tr>
      <w:tr w:rsidR="00F27DC1" w:rsidRPr="001D6BE8" w14:paraId="1E3BF9BE" w14:textId="77777777" w:rsidTr="009E060D">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F5E5AB9" w14:textId="4B7C835D" w:rsidR="00F27DC1" w:rsidRPr="002A6B1F" w:rsidRDefault="00F27DC1" w:rsidP="00F27DC1">
            <w:pPr>
              <w:pStyle w:val="08-Tabelageral"/>
              <w:ind w:left="113"/>
              <w:jc w:val="left"/>
              <w:rPr>
                <w:rFonts w:cs="Arial"/>
                <w:b w:val="0"/>
                <w:snapToGrid w:val="0"/>
                <w:vertAlign w:val="superscript"/>
              </w:rPr>
            </w:pPr>
            <w:r w:rsidRPr="002A6B1F">
              <w:rPr>
                <w:rFonts w:cs="Arial"/>
                <w:b w:val="0"/>
              </w:rPr>
              <w:t>IRB</w:t>
            </w:r>
            <w:r>
              <w:rPr>
                <w:rFonts w:cs="Arial"/>
                <w:b w:val="0"/>
              </w:rPr>
              <w:t xml:space="preserve"> </w:t>
            </w:r>
            <w:r w:rsidRPr="002A6B1F">
              <w:rPr>
                <w:rFonts w:cs="Arial"/>
                <w:b w:val="0"/>
              </w:rPr>
              <w:t>Brasil Resseguros S.A.</w:t>
            </w:r>
          </w:p>
        </w:tc>
        <w:tc>
          <w:tcPr>
            <w:tcW w:w="1860" w:type="dxa"/>
            <w:tcBorders>
              <w:top w:val="nil"/>
              <w:bottom w:val="nil"/>
            </w:tcBorders>
            <w:vAlign w:val="center"/>
          </w:tcPr>
          <w:p w14:paraId="21CB52AF" w14:textId="6E827508" w:rsidR="00F27DC1" w:rsidRPr="00427968" w:rsidRDefault="00427968"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sidRPr="00427968">
              <w:rPr>
                <w:rFonts w:cs="Arial"/>
                <w:color w:val="FF0000"/>
                <w:szCs w:val="14"/>
              </w:rPr>
              <w:t>-</w:t>
            </w:r>
          </w:p>
        </w:tc>
        <w:tc>
          <w:tcPr>
            <w:tcW w:w="1860" w:type="dxa"/>
            <w:tcBorders>
              <w:top w:val="nil"/>
              <w:bottom w:val="nil"/>
            </w:tcBorders>
            <w:vAlign w:val="center"/>
          </w:tcPr>
          <w:p w14:paraId="102FD77F" w14:textId="4D255BB5"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6080B">
              <w:rPr>
                <w:rFonts w:cs="Arial"/>
                <w:color w:val="auto"/>
                <w:szCs w:val="14"/>
              </w:rPr>
              <w:t>118.791</w:t>
            </w:r>
          </w:p>
        </w:tc>
        <w:tc>
          <w:tcPr>
            <w:tcW w:w="1853" w:type="dxa"/>
            <w:tcBorders>
              <w:top w:val="nil"/>
              <w:bottom w:val="nil"/>
            </w:tcBorders>
            <w:vAlign w:val="center"/>
          </w:tcPr>
          <w:p w14:paraId="166AE766" w14:textId="6B8C4434"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0244FC">
              <w:rPr>
                <w:rFonts w:cs="Arial"/>
                <w:color w:val="auto"/>
                <w:szCs w:val="14"/>
              </w:rPr>
              <w:t>-</w:t>
            </w:r>
          </w:p>
        </w:tc>
      </w:tr>
      <w:tr w:rsidR="00F27DC1" w:rsidRPr="001D6BE8" w14:paraId="785AB02C" w14:textId="77777777" w:rsidTr="009E06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DE89EA6" w14:textId="77777777" w:rsidR="00F27DC1" w:rsidRPr="002A6B1F" w:rsidRDefault="00F27DC1" w:rsidP="00F27DC1">
            <w:pPr>
              <w:pStyle w:val="08-Tabelageral"/>
              <w:ind w:left="113"/>
              <w:jc w:val="left"/>
              <w:rPr>
                <w:rFonts w:cs="Arial"/>
                <w:b w:val="0"/>
                <w:snapToGrid w:val="0"/>
              </w:rPr>
            </w:pPr>
            <w:proofErr w:type="spellStart"/>
            <w:r w:rsidRPr="002A6B1F">
              <w:rPr>
                <w:rFonts w:cs="Arial"/>
                <w:b w:val="0"/>
              </w:rPr>
              <w:t>Brasildental</w:t>
            </w:r>
            <w:proofErr w:type="spellEnd"/>
            <w:r w:rsidRPr="002A6B1F">
              <w:rPr>
                <w:rFonts w:cs="Arial"/>
                <w:b w:val="0"/>
              </w:rPr>
              <w:t xml:space="preserve"> Operadora de Planos Odontológicos S.A.</w:t>
            </w:r>
          </w:p>
        </w:tc>
        <w:tc>
          <w:tcPr>
            <w:tcW w:w="1860" w:type="dxa"/>
            <w:tcBorders>
              <w:top w:val="nil"/>
              <w:bottom w:val="nil"/>
            </w:tcBorders>
            <w:vAlign w:val="center"/>
          </w:tcPr>
          <w:p w14:paraId="601B4216" w14:textId="1D1C97E1" w:rsidR="00F27DC1" w:rsidRPr="00427968" w:rsidRDefault="00427968"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FF0000"/>
                <w:szCs w:val="14"/>
              </w:rPr>
            </w:pPr>
            <w:r w:rsidRPr="00427968">
              <w:rPr>
                <w:color w:val="auto"/>
              </w:rPr>
              <w:t>17.702</w:t>
            </w:r>
          </w:p>
        </w:tc>
        <w:tc>
          <w:tcPr>
            <w:tcW w:w="1860" w:type="dxa"/>
            <w:tcBorders>
              <w:top w:val="nil"/>
              <w:bottom w:val="nil"/>
            </w:tcBorders>
            <w:vAlign w:val="center"/>
          </w:tcPr>
          <w:p w14:paraId="10C32288" w14:textId="76419CEF" w:rsidR="00F27DC1" w:rsidRPr="002A6B1F"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6080B">
              <w:rPr>
                <w:rFonts w:cs="Arial"/>
                <w:color w:val="auto"/>
                <w:szCs w:val="14"/>
              </w:rPr>
              <w:t>14.485</w:t>
            </w:r>
          </w:p>
        </w:tc>
        <w:tc>
          <w:tcPr>
            <w:tcW w:w="1853" w:type="dxa"/>
            <w:tcBorders>
              <w:top w:val="nil"/>
              <w:bottom w:val="nil"/>
            </w:tcBorders>
            <w:vAlign w:val="center"/>
          </w:tcPr>
          <w:p w14:paraId="29107B66" w14:textId="16C42A1B" w:rsidR="00F27DC1" w:rsidRPr="000244FC" w:rsidRDefault="000244FC"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0244FC">
              <w:rPr>
                <w:rFonts w:cs="Arial"/>
                <w:color w:val="auto"/>
                <w:szCs w:val="14"/>
              </w:rPr>
              <w:t>22,2</w:t>
            </w:r>
          </w:p>
        </w:tc>
      </w:tr>
      <w:tr w:rsidR="00F27DC1" w:rsidRPr="001D6BE8" w14:paraId="0678D61D" w14:textId="77777777" w:rsidTr="009E060D">
        <w:trPr>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A258A0F" w14:textId="77777777" w:rsidR="00F27DC1" w:rsidRPr="002A6B1F" w:rsidRDefault="00F27DC1" w:rsidP="00F27DC1">
            <w:pPr>
              <w:pStyle w:val="08-Tabelageral"/>
              <w:ind w:left="113"/>
              <w:jc w:val="left"/>
              <w:rPr>
                <w:rFonts w:cs="Arial"/>
                <w:b w:val="0"/>
              </w:rPr>
            </w:pPr>
            <w:r w:rsidRPr="002A6B1F">
              <w:rPr>
                <w:rFonts w:cs="Arial"/>
                <w:b w:val="0"/>
              </w:rPr>
              <w:t>BB Corretora de Seguros e Administradora de Bens S.A.</w:t>
            </w:r>
          </w:p>
        </w:tc>
        <w:tc>
          <w:tcPr>
            <w:tcW w:w="1860" w:type="dxa"/>
            <w:tcBorders>
              <w:top w:val="nil"/>
              <w:bottom w:val="nil"/>
            </w:tcBorders>
            <w:vAlign w:val="center"/>
          </w:tcPr>
          <w:p w14:paraId="1D2E47E1" w14:textId="6A0913A3" w:rsidR="00F27DC1" w:rsidRPr="00F27DC1" w:rsidRDefault="00427968"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r>
              <w:rPr>
                <w:rFonts w:cs="Arial"/>
                <w:color w:val="000000"/>
                <w:szCs w:val="14"/>
              </w:rPr>
              <w:t>1.969.105</w:t>
            </w:r>
          </w:p>
        </w:tc>
        <w:tc>
          <w:tcPr>
            <w:tcW w:w="1860" w:type="dxa"/>
            <w:tcBorders>
              <w:top w:val="nil"/>
              <w:bottom w:val="nil"/>
            </w:tcBorders>
            <w:vAlign w:val="center"/>
          </w:tcPr>
          <w:p w14:paraId="138841D5" w14:textId="69373F03"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66080B">
              <w:rPr>
                <w:rFonts w:cs="Arial"/>
                <w:color w:val="auto"/>
                <w:szCs w:val="14"/>
              </w:rPr>
              <w:t>1.912.599</w:t>
            </w:r>
          </w:p>
        </w:tc>
        <w:tc>
          <w:tcPr>
            <w:tcW w:w="1853" w:type="dxa"/>
            <w:tcBorders>
              <w:top w:val="nil"/>
              <w:bottom w:val="nil"/>
            </w:tcBorders>
            <w:vAlign w:val="center"/>
          </w:tcPr>
          <w:p w14:paraId="6D52399B" w14:textId="15C6EED3"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0244FC">
              <w:rPr>
                <w:rFonts w:cs="Arial"/>
                <w:color w:val="auto"/>
                <w:szCs w:val="14"/>
              </w:rPr>
              <w:t>3,0</w:t>
            </w:r>
          </w:p>
        </w:tc>
      </w:tr>
      <w:tr w:rsidR="00F27DC1" w:rsidRPr="001D6BE8" w14:paraId="59D82BDE" w14:textId="77777777" w:rsidTr="009E06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4BAD21A" w14:textId="77777777" w:rsidR="00F27DC1" w:rsidRPr="002A6B1F" w:rsidRDefault="00F27DC1" w:rsidP="00F27DC1">
            <w:pPr>
              <w:pStyle w:val="08-Tabelageral"/>
              <w:ind w:left="113"/>
              <w:jc w:val="left"/>
              <w:rPr>
                <w:rFonts w:cs="Arial"/>
                <w:b w:val="0"/>
              </w:rPr>
            </w:pPr>
            <w:r w:rsidRPr="002A6B1F">
              <w:rPr>
                <w:rFonts w:cs="Arial"/>
                <w:b w:val="0"/>
              </w:rPr>
              <w:t>Outros</w:t>
            </w:r>
          </w:p>
        </w:tc>
        <w:tc>
          <w:tcPr>
            <w:tcW w:w="1860" w:type="dxa"/>
            <w:tcBorders>
              <w:top w:val="nil"/>
              <w:bottom w:val="nil"/>
            </w:tcBorders>
            <w:vAlign w:val="center"/>
          </w:tcPr>
          <w:p w14:paraId="6E1B18CB" w14:textId="7455FB0F" w:rsidR="00F27DC1" w:rsidRPr="005A3E08" w:rsidRDefault="000917B3"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w:t>
            </w:r>
            <w:r w:rsidR="00427968" w:rsidRPr="005A3E08">
              <w:rPr>
                <w:rFonts w:cs="Arial"/>
                <w:color w:val="auto"/>
                <w:szCs w:val="14"/>
              </w:rPr>
              <w:t>32.12</w:t>
            </w:r>
            <w:r w:rsidR="002F0327">
              <w:rPr>
                <w:rFonts w:cs="Arial"/>
                <w:color w:val="auto"/>
                <w:szCs w:val="14"/>
              </w:rPr>
              <w:t>5</w:t>
            </w:r>
            <w:r>
              <w:rPr>
                <w:rFonts w:cs="Arial"/>
                <w:color w:val="auto"/>
                <w:szCs w:val="14"/>
              </w:rPr>
              <w:t>)</w:t>
            </w:r>
          </w:p>
        </w:tc>
        <w:tc>
          <w:tcPr>
            <w:tcW w:w="1860" w:type="dxa"/>
            <w:tcBorders>
              <w:top w:val="nil"/>
              <w:bottom w:val="nil"/>
            </w:tcBorders>
            <w:vAlign w:val="center"/>
          </w:tcPr>
          <w:p w14:paraId="20930C6C" w14:textId="0F439682" w:rsidR="00F27DC1" w:rsidRPr="002A6B1F"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6E6400">
              <w:rPr>
                <w:rFonts w:cs="Arial"/>
                <w:color w:val="auto"/>
                <w:szCs w:val="14"/>
              </w:rPr>
              <w:t>2.3</w:t>
            </w:r>
            <w:r>
              <w:rPr>
                <w:rFonts w:cs="Arial"/>
                <w:color w:val="auto"/>
                <w:szCs w:val="14"/>
              </w:rPr>
              <w:t>18</w:t>
            </w:r>
            <w:r w:rsidRPr="006E6400">
              <w:rPr>
                <w:rFonts w:cs="Arial"/>
                <w:color w:val="auto"/>
                <w:szCs w:val="14"/>
              </w:rPr>
              <w:t>.95</w:t>
            </w:r>
            <w:r w:rsidR="002F0327">
              <w:rPr>
                <w:rFonts w:cs="Arial"/>
                <w:color w:val="auto"/>
                <w:szCs w:val="14"/>
              </w:rPr>
              <w:t>8</w:t>
            </w:r>
          </w:p>
        </w:tc>
        <w:tc>
          <w:tcPr>
            <w:tcW w:w="1853" w:type="dxa"/>
            <w:tcBorders>
              <w:top w:val="nil"/>
              <w:bottom w:val="nil"/>
            </w:tcBorders>
            <w:vAlign w:val="center"/>
          </w:tcPr>
          <w:p w14:paraId="44505BA2" w14:textId="13E795D0" w:rsidR="00F27DC1" w:rsidRPr="000244FC" w:rsidRDefault="000917B3" w:rsidP="000917B3">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w:t>
            </w:r>
          </w:p>
        </w:tc>
      </w:tr>
      <w:tr w:rsidR="00F27DC1" w:rsidRPr="001D6BE8" w14:paraId="3C74C3A4" w14:textId="77777777" w:rsidTr="009E060D">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517D191" w14:textId="77777777" w:rsidR="00F27DC1" w:rsidRPr="002A6B1F" w:rsidRDefault="00F27DC1" w:rsidP="00F27DC1">
            <w:pPr>
              <w:pStyle w:val="08-Tabelageral"/>
              <w:jc w:val="left"/>
              <w:rPr>
                <w:rFonts w:cs="Arial"/>
                <w:snapToGrid w:val="0"/>
              </w:rPr>
            </w:pPr>
            <w:r w:rsidRPr="002A6B1F">
              <w:rPr>
                <w:rFonts w:cs="Arial"/>
              </w:rPr>
              <w:t>Outras Receitas e Despesas</w:t>
            </w:r>
          </w:p>
        </w:tc>
        <w:tc>
          <w:tcPr>
            <w:tcW w:w="1860" w:type="dxa"/>
            <w:tcBorders>
              <w:top w:val="nil"/>
              <w:bottom w:val="nil"/>
            </w:tcBorders>
            <w:vAlign w:val="center"/>
          </w:tcPr>
          <w:p w14:paraId="0DCF936D" w14:textId="49F62C17" w:rsidR="00F27DC1" w:rsidRPr="005A3E08"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5A3E08">
              <w:rPr>
                <w:rFonts w:cs="Arial"/>
                <w:b/>
                <w:bCs/>
                <w:color w:val="auto"/>
                <w:szCs w:val="14"/>
              </w:rPr>
              <w:t>(</w:t>
            </w:r>
            <w:r w:rsidR="00427968" w:rsidRPr="005A3E08">
              <w:rPr>
                <w:rFonts w:cs="Arial"/>
                <w:b/>
                <w:bCs/>
                <w:color w:val="auto"/>
                <w:szCs w:val="14"/>
              </w:rPr>
              <w:t>10.882</w:t>
            </w:r>
            <w:r w:rsidRPr="005A3E08">
              <w:rPr>
                <w:rFonts w:cs="Arial"/>
                <w:b/>
                <w:bCs/>
                <w:color w:val="auto"/>
                <w:szCs w:val="14"/>
              </w:rPr>
              <w:t>)</w:t>
            </w:r>
          </w:p>
        </w:tc>
        <w:tc>
          <w:tcPr>
            <w:tcW w:w="1860" w:type="dxa"/>
            <w:tcBorders>
              <w:top w:val="nil"/>
              <w:bottom w:val="nil"/>
            </w:tcBorders>
            <w:vAlign w:val="center"/>
          </w:tcPr>
          <w:p w14:paraId="6F5777B7" w14:textId="442A69DE"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B21BB">
              <w:rPr>
                <w:rFonts w:cs="Arial"/>
                <w:b/>
                <w:bCs/>
                <w:color w:val="auto"/>
                <w:szCs w:val="14"/>
              </w:rPr>
              <w:t>(</w:t>
            </w:r>
            <w:r>
              <w:rPr>
                <w:rFonts w:cs="Arial"/>
                <w:b/>
                <w:bCs/>
                <w:color w:val="auto"/>
                <w:szCs w:val="14"/>
              </w:rPr>
              <w:t>8.930</w:t>
            </w:r>
            <w:r w:rsidRPr="003B21BB">
              <w:rPr>
                <w:rFonts w:cs="Arial"/>
                <w:b/>
                <w:bCs/>
                <w:color w:val="auto"/>
                <w:szCs w:val="14"/>
              </w:rPr>
              <w:t>)</w:t>
            </w:r>
          </w:p>
        </w:tc>
        <w:tc>
          <w:tcPr>
            <w:tcW w:w="1853" w:type="dxa"/>
            <w:tcBorders>
              <w:top w:val="nil"/>
              <w:bottom w:val="nil"/>
            </w:tcBorders>
            <w:vAlign w:val="center"/>
          </w:tcPr>
          <w:p w14:paraId="09988D63" w14:textId="7E8E2B9E"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0244FC">
              <w:rPr>
                <w:rFonts w:cs="Arial"/>
                <w:b/>
                <w:bCs/>
                <w:color w:val="auto"/>
                <w:szCs w:val="14"/>
              </w:rPr>
              <w:t>21,9</w:t>
            </w:r>
          </w:p>
        </w:tc>
        <w:bookmarkStart w:id="0" w:name="_GoBack"/>
        <w:bookmarkEnd w:id="0"/>
      </w:tr>
      <w:tr w:rsidR="00F27DC1" w:rsidRPr="001D6BE8" w14:paraId="7471221F" w14:textId="77777777" w:rsidTr="009E06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68238A7" w14:textId="77777777" w:rsidR="00F27DC1" w:rsidRPr="002A6B1F" w:rsidRDefault="00F27DC1" w:rsidP="00F27DC1">
            <w:pPr>
              <w:pStyle w:val="08-Tabelageral"/>
              <w:ind w:left="113"/>
              <w:jc w:val="left"/>
              <w:rPr>
                <w:rFonts w:cs="Arial"/>
                <w:b w:val="0"/>
                <w:snapToGrid w:val="0"/>
              </w:rPr>
            </w:pPr>
            <w:r w:rsidRPr="002A6B1F">
              <w:rPr>
                <w:rFonts w:cs="Arial"/>
                <w:b w:val="0"/>
              </w:rPr>
              <w:t>Despesas com pessoal</w:t>
            </w:r>
          </w:p>
        </w:tc>
        <w:tc>
          <w:tcPr>
            <w:tcW w:w="1860" w:type="dxa"/>
            <w:tcBorders>
              <w:top w:val="nil"/>
              <w:bottom w:val="nil"/>
            </w:tcBorders>
            <w:vAlign w:val="center"/>
          </w:tcPr>
          <w:p w14:paraId="2CC442D9" w14:textId="0E46F356" w:rsidR="00F27DC1" w:rsidRPr="005A3E08"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A3E08">
              <w:rPr>
                <w:rFonts w:cs="Arial"/>
                <w:color w:val="auto"/>
                <w:szCs w:val="14"/>
              </w:rPr>
              <w:t>(</w:t>
            </w:r>
            <w:r w:rsidR="00427968" w:rsidRPr="005A3E08">
              <w:rPr>
                <w:rFonts w:cs="Arial"/>
                <w:color w:val="auto"/>
                <w:szCs w:val="14"/>
              </w:rPr>
              <w:t>11.602</w:t>
            </w:r>
            <w:r w:rsidRPr="005A3E08">
              <w:rPr>
                <w:rFonts w:cs="Arial"/>
                <w:color w:val="auto"/>
                <w:szCs w:val="14"/>
              </w:rPr>
              <w:t>)</w:t>
            </w:r>
          </w:p>
        </w:tc>
        <w:tc>
          <w:tcPr>
            <w:tcW w:w="1860" w:type="dxa"/>
            <w:tcBorders>
              <w:top w:val="nil"/>
              <w:bottom w:val="nil"/>
            </w:tcBorders>
            <w:vAlign w:val="center"/>
          </w:tcPr>
          <w:p w14:paraId="0045530E" w14:textId="7DD59336" w:rsidR="00F27DC1" w:rsidRPr="002A6B1F"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21BB">
              <w:rPr>
                <w:rFonts w:cs="Arial"/>
                <w:color w:val="auto"/>
                <w:szCs w:val="14"/>
              </w:rPr>
              <w:t>(</w:t>
            </w:r>
            <w:r>
              <w:rPr>
                <w:rFonts w:cs="Arial"/>
                <w:color w:val="auto"/>
                <w:szCs w:val="14"/>
              </w:rPr>
              <w:t>10.812</w:t>
            </w:r>
            <w:r w:rsidRPr="003B21BB">
              <w:rPr>
                <w:rFonts w:cs="Arial"/>
                <w:color w:val="auto"/>
                <w:szCs w:val="14"/>
              </w:rPr>
              <w:t>)</w:t>
            </w:r>
          </w:p>
        </w:tc>
        <w:tc>
          <w:tcPr>
            <w:tcW w:w="1853" w:type="dxa"/>
            <w:tcBorders>
              <w:top w:val="nil"/>
              <w:bottom w:val="nil"/>
            </w:tcBorders>
            <w:vAlign w:val="center"/>
          </w:tcPr>
          <w:p w14:paraId="7E8FF9DA" w14:textId="7A2FEC31" w:rsidR="00F27DC1" w:rsidRPr="000244FC" w:rsidRDefault="000244FC"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0244FC">
              <w:rPr>
                <w:rFonts w:cs="Arial"/>
                <w:color w:val="auto"/>
                <w:szCs w:val="14"/>
              </w:rPr>
              <w:t>7,3</w:t>
            </w:r>
          </w:p>
        </w:tc>
      </w:tr>
      <w:tr w:rsidR="00F27DC1" w:rsidRPr="001D6BE8" w14:paraId="2653B569" w14:textId="77777777" w:rsidTr="009E060D">
        <w:trPr>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336E624" w14:textId="77777777" w:rsidR="00F27DC1" w:rsidRPr="002A6B1F" w:rsidRDefault="00F27DC1" w:rsidP="00F27DC1">
            <w:pPr>
              <w:pStyle w:val="08-Tabelageral"/>
              <w:ind w:left="113"/>
              <w:jc w:val="left"/>
              <w:rPr>
                <w:rFonts w:cs="Arial"/>
                <w:b w:val="0"/>
              </w:rPr>
            </w:pPr>
            <w:r w:rsidRPr="002A6B1F">
              <w:rPr>
                <w:rFonts w:cs="Arial"/>
                <w:b w:val="0"/>
              </w:rPr>
              <w:t>Despesas administrativas</w:t>
            </w:r>
          </w:p>
        </w:tc>
        <w:tc>
          <w:tcPr>
            <w:tcW w:w="1860" w:type="dxa"/>
            <w:tcBorders>
              <w:top w:val="nil"/>
              <w:bottom w:val="nil"/>
            </w:tcBorders>
            <w:vAlign w:val="center"/>
          </w:tcPr>
          <w:p w14:paraId="5C27B5B0" w14:textId="36A54654" w:rsidR="00F27DC1" w:rsidRPr="005A3E08"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A3E08">
              <w:rPr>
                <w:rFonts w:cs="Arial"/>
                <w:color w:val="auto"/>
                <w:szCs w:val="14"/>
              </w:rPr>
              <w:t>(</w:t>
            </w:r>
            <w:r w:rsidR="00427968" w:rsidRPr="005A3E08">
              <w:rPr>
                <w:rFonts w:cs="Arial"/>
                <w:color w:val="auto"/>
                <w:szCs w:val="14"/>
              </w:rPr>
              <w:t>3.096</w:t>
            </w:r>
            <w:r w:rsidRPr="005A3E08">
              <w:rPr>
                <w:rFonts w:cs="Arial"/>
                <w:color w:val="auto"/>
                <w:szCs w:val="14"/>
              </w:rPr>
              <w:t>)</w:t>
            </w:r>
          </w:p>
        </w:tc>
        <w:tc>
          <w:tcPr>
            <w:tcW w:w="1860" w:type="dxa"/>
            <w:tcBorders>
              <w:top w:val="nil"/>
              <w:bottom w:val="nil"/>
            </w:tcBorders>
            <w:vAlign w:val="center"/>
          </w:tcPr>
          <w:p w14:paraId="7A720D21" w14:textId="37EA8D52"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B21BB">
              <w:rPr>
                <w:rFonts w:cs="Arial"/>
                <w:color w:val="auto"/>
                <w:szCs w:val="14"/>
              </w:rPr>
              <w:t>(</w:t>
            </w:r>
            <w:r>
              <w:rPr>
                <w:rFonts w:cs="Arial"/>
                <w:color w:val="auto"/>
                <w:szCs w:val="14"/>
              </w:rPr>
              <w:t>2.567</w:t>
            </w:r>
            <w:r w:rsidRPr="003B21BB">
              <w:rPr>
                <w:rFonts w:cs="Arial"/>
                <w:color w:val="auto"/>
                <w:szCs w:val="14"/>
              </w:rPr>
              <w:t>)</w:t>
            </w:r>
          </w:p>
        </w:tc>
        <w:tc>
          <w:tcPr>
            <w:tcW w:w="1853" w:type="dxa"/>
            <w:tcBorders>
              <w:top w:val="nil"/>
              <w:bottom w:val="nil"/>
            </w:tcBorders>
            <w:vAlign w:val="center"/>
          </w:tcPr>
          <w:p w14:paraId="046EB649" w14:textId="548A2F67"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0244FC">
              <w:rPr>
                <w:rFonts w:cs="Arial"/>
                <w:color w:val="auto"/>
                <w:szCs w:val="14"/>
              </w:rPr>
              <w:t>20,6</w:t>
            </w:r>
          </w:p>
        </w:tc>
      </w:tr>
      <w:tr w:rsidR="00F27DC1" w:rsidRPr="001D6BE8" w14:paraId="60DA53B0" w14:textId="77777777" w:rsidTr="009E060D">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4633B08" w14:textId="77777777" w:rsidR="00F27DC1" w:rsidRPr="002A6B1F" w:rsidRDefault="00F27DC1" w:rsidP="00F27DC1">
            <w:pPr>
              <w:pStyle w:val="08-Tabelageral"/>
              <w:ind w:left="113"/>
              <w:jc w:val="left"/>
              <w:rPr>
                <w:rFonts w:cs="Arial"/>
                <w:b w:val="0"/>
              </w:rPr>
            </w:pPr>
            <w:r w:rsidRPr="002A6B1F">
              <w:rPr>
                <w:rFonts w:cs="Arial"/>
                <w:b w:val="0"/>
              </w:rPr>
              <w:t>Despesas tributárias</w:t>
            </w:r>
          </w:p>
        </w:tc>
        <w:tc>
          <w:tcPr>
            <w:tcW w:w="1860" w:type="dxa"/>
            <w:tcBorders>
              <w:top w:val="nil"/>
              <w:bottom w:val="nil"/>
            </w:tcBorders>
            <w:vAlign w:val="center"/>
          </w:tcPr>
          <w:p w14:paraId="1DDCA376" w14:textId="73C9213E" w:rsidR="00F27DC1" w:rsidRPr="005A3E08"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A3E08">
              <w:rPr>
                <w:rFonts w:cs="Arial"/>
                <w:color w:val="auto"/>
                <w:szCs w:val="14"/>
              </w:rPr>
              <w:t>(</w:t>
            </w:r>
            <w:r w:rsidR="00427968" w:rsidRPr="005A3E08">
              <w:rPr>
                <w:rFonts w:cs="Arial"/>
                <w:color w:val="auto"/>
                <w:szCs w:val="14"/>
              </w:rPr>
              <w:t>3.645</w:t>
            </w:r>
            <w:r w:rsidRPr="005A3E08">
              <w:rPr>
                <w:rFonts w:cs="Arial"/>
                <w:color w:val="auto"/>
                <w:szCs w:val="14"/>
              </w:rPr>
              <w:t>)</w:t>
            </w:r>
          </w:p>
        </w:tc>
        <w:tc>
          <w:tcPr>
            <w:tcW w:w="1860" w:type="dxa"/>
            <w:tcBorders>
              <w:top w:val="nil"/>
              <w:bottom w:val="nil"/>
            </w:tcBorders>
            <w:vAlign w:val="center"/>
          </w:tcPr>
          <w:p w14:paraId="34779B98" w14:textId="6F1FA7AC" w:rsidR="00F27DC1" w:rsidRPr="002A6B1F"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21BB">
              <w:rPr>
                <w:rFonts w:cs="Arial"/>
                <w:color w:val="auto"/>
                <w:szCs w:val="14"/>
              </w:rPr>
              <w:t>(9.236)</w:t>
            </w:r>
          </w:p>
        </w:tc>
        <w:tc>
          <w:tcPr>
            <w:tcW w:w="1853" w:type="dxa"/>
            <w:tcBorders>
              <w:top w:val="nil"/>
              <w:bottom w:val="nil"/>
            </w:tcBorders>
            <w:vAlign w:val="center"/>
          </w:tcPr>
          <w:p w14:paraId="6B98D2C2" w14:textId="39BFB532" w:rsidR="00F27DC1" w:rsidRPr="000244FC" w:rsidRDefault="000244FC"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0244FC">
              <w:rPr>
                <w:rFonts w:cs="Arial"/>
                <w:color w:val="auto"/>
                <w:szCs w:val="14"/>
              </w:rPr>
              <w:t>(60,5)</w:t>
            </w:r>
          </w:p>
        </w:tc>
      </w:tr>
      <w:tr w:rsidR="00F27DC1" w:rsidRPr="001D6BE8" w14:paraId="268BE48F" w14:textId="77777777" w:rsidTr="009E060D">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2C9607A" w14:textId="77777777" w:rsidR="00F27DC1" w:rsidRPr="002A6B1F" w:rsidRDefault="00F27DC1" w:rsidP="00F27DC1">
            <w:pPr>
              <w:pStyle w:val="08-Tabelageral"/>
              <w:ind w:left="113"/>
              <w:jc w:val="left"/>
              <w:rPr>
                <w:rFonts w:cs="Arial"/>
                <w:b w:val="0"/>
                <w:snapToGrid w:val="0"/>
              </w:rPr>
            </w:pPr>
            <w:r w:rsidRPr="002A6B1F">
              <w:rPr>
                <w:rFonts w:cs="Arial"/>
                <w:b w:val="0"/>
              </w:rPr>
              <w:t>Outras receitas/(despesas) operacionais</w:t>
            </w:r>
          </w:p>
        </w:tc>
        <w:tc>
          <w:tcPr>
            <w:tcW w:w="1860" w:type="dxa"/>
            <w:tcBorders>
              <w:top w:val="nil"/>
              <w:bottom w:val="nil"/>
            </w:tcBorders>
            <w:vAlign w:val="center"/>
          </w:tcPr>
          <w:p w14:paraId="7287047B" w14:textId="1A9C10E5" w:rsidR="00F27DC1" w:rsidRPr="005A3E08" w:rsidRDefault="00427968"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A3E08">
              <w:rPr>
                <w:rFonts w:cs="Arial"/>
                <w:color w:val="auto"/>
                <w:szCs w:val="14"/>
              </w:rPr>
              <w:t>7.461</w:t>
            </w:r>
          </w:p>
        </w:tc>
        <w:tc>
          <w:tcPr>
            <w:tcW w:w="1860" w:type="dxa"/>
            <w:tcBorders>
              <w:top w:val="nil"/>
              <w:bottom w:val="nil"/>
            </w:tcBorders>
            <w:vAlign w:val="center"/>
          </w:tcPr>
          <w:p w14:paraId="40C3CC8F" w14:textId="6DBB41A7"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color w:val="auto"/>
                <w:szCs w:val="14"/>
              </w:rPr>
              <w:t>13.685</w:t>
            </w:r>
          </w:p>
        </w:tc>
        <w:tc>
          <w:tcPr>
            <w:tcW w:w="1853" w:type="dxa"/>
            <w:tcBorders>
              <w:top w:val="nil"/>
              <w:bottom w:val="nil"/>
            </w:tcBorders>
            <w:vAlign w:val="center"/>
          </w:tcPr>
          <w:p w14:paraId="328B56C0" w14:textId="2DFF8DB9"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0244FC">
              <w:rPr>
                <w:rFonts w:cs="Arial"/>
                <w:color w:val="auto"/>
                <w:szCs w:val="14"/>
              </w:rPr>
              <w:t>(45,5)</w:t>
            </w:r>
          </w:p>
        </w:tc>
      </w:tr>
      <w:tr w:rsidR="00F27DC1" w:rsidRPr="001D6BE8" w14:paraId="045B4C1A" w14:textId="77777777" w:rsidTr="009E06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5FCC0F80" w14:textId="77777777" w:rsidR="00F27DC1" w:rsidRPr="002A6B1F" w:rsidRDefault="00F27DC1" w:rsidP="00F27DC1">
            <w:pPr>
              <w:pStyle w:val="08-Tabelageral"/>
              <w:jc w:val="left"/>
              <w:rPr>
                <w:rFonts w:cs="Arial"/>
              </w:rPr>
            </w:pPr>
            <w:r w:rsidRPr="002A6B1F">
              <w:rPr>
                <w:rFonts w:cs="Arial"/>
              </w:rPr>
              <w:t>Resultado financeiro</w:t>
            </w:r>
          </w:p>
        </w:tc>
        <w:tc>
          <w:tcPr>
            <w:tcW w:w="1860" w:type="dxa"/>
            <w:tcBorders>
              <w:top w:val="nil"/>
              <w:bottom w:val="nil"/>
            </w:tcBorders>
            <w:vAlign w:val="center"/>
          </w:tcPr>
          <w:p w14:paraId="327B7B44" w14:textId="263F7C03" w:rsidR="00F27DC1" w:rsidRPr="005A3E08" w:rsidRDefault="00427968" w:rsidP="00F27DC1">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5A3E08">
              <w:rPr>
                <w:rFonts w:cs="Arial"/>
                <w:b/>
                <w:bCs/>
                <w:color w:val="auto"/>
                <w:szCs w:val="14"/>
              </w:rPr>
              <w:t>37.295</w:t>
            </w:r>
          </w:p>
        </w:tc>
        <w:tc>
          <w:tcPr>
            <w:tcW w:w="1860" w:type="dxa"/>
            <w:tcBorders>
              <w:top w:val="nil"/>
              <w:bottom w:val="nil"/>
            </w:tcBorders>
            <w:vAlign w:val="center"/>
          </w:tcPr>
          <w:p w14:paraId="4634AA68" w14:textId="03780D3E" w:rsidR="00F27DC1" w:rsidRPr="002A6B1F"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b/>
                <w:szCs w:val="14"/>
              </w:rPr>
            </w:pPr>
            <w:r w:rsidRPr="003B21BB">
              <w:rPr>
                <w:rFonts w:cs="Arial"/>
                <w:b/>
                <w:bCs/>
                <w:color w:val="auto"/>
                <w:szCs w:val="14"/>
              </w:rPr>
              <w:t>143.472</w:t>
            </w:r>
          </w:p>
        </w:tc>
        <w:tc>
          <w:tcPr>
            <w:tcW w:w="1853" w:type="dxa"/>
            <w:tcBorders>
              <w:top w:val="nil"/>
              <w:bottom w:val="nil"/>
            </w:tcBorders>
            <w:vAlign w:val="center"/>
          </w:tcPr>
          <w:p w14:paraId="6D7A354A" w14:textId="63616D3F" w:rsidR="00F27DC1" w:rsidRPr="000244FC" w:rsidRDefault="000244FC" w:rsidP="00F27DC1">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0244FC">
              <w:rPr>
                <w:rFonts w:cs="Arial"/>
                <w:b/>
                <w:bCs/>
                <w:color w:val="auto"/>
                <w:szCs w:val="14"/>
              </w:rPr>
              <w:t>(74,0)</w:t>
            </w:r>
          </w:p>
        </w:tc>
      </w:tr>
      <w:tr w:rsidR="00F27DC1" w:rsidRPr="001D6BE8" w14:paraId="364A8F95" w14:textId="77777777" w:rsidTr="009E060D">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D832A6E" w14:textId="77777777" w:rsidR="00F27DC1" w:rsidRPr="002A6B1F" w:rsidRDefault="00F27DC1" w:rsidP="00F27DC1">
            <w:pPr>
              <w:pStyle w:val="08-Tabelageral"/>
              <w:ind w:left="113"/>
              <w:jc w:val="left"/>
              <w:rPr>
                <w:rFonts w:cs="Arial"/>
                <w:b w:val="0"/>
              </w:rPr>
            </w:pPr>
            <w:r w:rsidRPr="002A6B1F">
              <w:rPr>
                <w:rFonts w:cs="Arial"/>
                <w:b w:val="0"/>
              </w:rPr>
              <w:t>Receitas financeiras</w:t>
            </w:r>
          </w:p>
        </w:tc>
        <w:tc>
          <w:tcPr>
            <w:tcW w:w="1860" w:type="dxa"/>
            <w:tcBorders>
              <w:top w:val="nil"/>
              <w:bottom w:val="nil"/>
            </w:tcBorders>
            <w:vAlign w:val="center"/>
          </w:tcPr>
          <w:p w14:paraId="6BFFA582" w14:textId="363E7534" w:rsidR="00F27DC1" w:rsidRPr="005A3E08" w:rsidRDefault="00427968"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A3E08">
              <w:rPr>
                <w:rFonts w:cs="Arial"/>
                <w:color w:val="auto"/>
                <w:szCs w:val="14"/>
              </w:rPr>
              <w:t>62</w:t>
            </w:r>
            <w:r w:rsidR="005A3E08" w:rsidRPr="005A3E08">
              <w:rPr>
                <w:rFonts w:cs="Arial"/>
                <w:color w:val="auto"/>
                <w:szCs w:val="14"/>
              </w:rPr>
              <w:t>.764</w:t>
            </w:r>
          </w:p>
        </w:tc>
        <w:tc>
          <w:tcPr>
            <w:tcW w:w="1860" w:type="dxa"/>
            <w:tcBorders>
              <w:top w:val="nil"/>
              <w:bottom w:val="nil"/>
            </w:tcBorders>
            <w:vAlign w:val="center"/>
          </w:tcPr>
          <w:p w14:paraId="497D6D7A" w14:textId="42DE7514"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B21BB">
              <w:rPr>
                <w:rFonts w:cs="Arial"/>
                <w:color w:val="auto"/>
                <w:szCs w:val="14"/>
              </w:rPr>
              <w:t>173.832</w:t>
            </w:r>
          </w:p>
        </w:tc>
        <w:tc>
          <w:tcPr>
            <w:tcW w:w="1853" w:type="dxa"/>
            <w:tcBorders>
              <w:top w:val="nil"/>
              <w:bottom w:val="nil"/>
            </w:tcBorders>
            <w:vAlign w:val="center"/>
          </w:tcPr>
          <w:p w14:paraId="6BDDC7E5" w14:textId="2849C1FF"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0244FC">
              <w:rPr>
                <w:rFonts w:cs="Arial"/>
                <w:color w:val="auto"/>
                <w:szCs w:val="14"/>
              </w:rPr>
              <w:t>(63,9)</w:t>
            </w:r>
          </w:p>
        </w:tc>
      </w:tr>
      <w:tr w:rsidR="00F27DC1" w:rsidRPr="001D6BE8" w14:paraId="00A03983" w14:textId="77777777" w:rsidTr="009E06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573167A" w14:textId="77777777" w:rsidR="00F27DC1" w:rsidRPr="002A6B1F" w:rsidRDefault="00F27DC1" w:rsidP="00F27DC1">
            <w:pPr>
              <w:pStyle w:val="08-Tabelageral"/>
              <w:ind w:left="113"/>
              <w:jc w:val="left"/>
              <w:rPr>
                <w:rFonts w:cs="Arial"/>
                <w:b w:val="0"/>
              </w:rPr>
            </w:pPr>
            <w:r w:rsidRPr="002A6B1F">
              <w:rPr>
                <w:rFonts w:cs="Arial"/>
                <w:b w:val="0"/>
              </w:rPr>
              <w:t>Despesas financeiras</w:t>
            </w:r>
          </w:p>
        </w:tc>
        <w:tc>
          <w:tcPr>
            <w:tcW w:w="1860" w:type="dxa"/>
            <w:tcBorders>
              <w:top w:val="nil"/>
              <w:bottom w:val="nil"/>
            </w:tcBorders>
            <w:vAlign w:val="center"/>
          </w:tcPr>
          <w:p w14:paraId="0B322DE0" w14:textId="0095BE95" w:rsidR="00F27DC1" w:rsidRPr="005A3E08"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A3E08">
              <w:rPr>
                <w:rFonts w:cs="Arial"/>
                <w:color w:val="auto"/>
                <w:szCs w:val="14"/>
              </w:rPr>
              <w:t>(</w:t>
            </w:r>
            <w:r w:rsidR="005A3E08" w:rsidRPr="005A3E08">
              <w:rPr>
                <w:rFonts w:cs="Arial"/>
                <w:color w:val="auto"/>
                <w:szCs w:val="14"/>
              </w:rPr>
              <w:t>25.469</w:t>
            </w:r>
            <w:r w:rsidRPr="005A3E08">
              <w:rPr>
                <w:rFonts w:cs="Arial"/>
                <w:color w:val="auto"/>
                <w:szCs w:val="14"/>
              </w:rPr>
              <w:t>)</w:t>
            </w:r>
          </w:p>
        </w:tc>
        <w:tc>
          <w:tcPr>
            <w:tcW w:w="1860" w:type="dxa"/>
            <w:tcBorders>
              <w:top w:val="nil"/>
              <w:bottom w:val="nil"/>
            </w:tcBorders>
            <w:vAlign w:val="center"/>
          </w:tcPr>
          <w:p w14:paraId="1F169EE7" w14:textId="51E8716B" w:rsidR="00F27DC1" w:rsidRPr="002A6B1F"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21BB">
              <w:rPr>
                <w:rFonts w:cs="Arial"/>
                <w:color w:val="auto"/>
                <w:szCs w:val="14"/>
              </w:rPr>
              <w:t>(30.360)</w:t>
            </w:r>
          </w:p>
        </w:tc>
        <w:tc>
          <w:tcPr>
            <w:tcW w:w="1853" w:type="dxa"/>
            <w:tcBorders>
              <w:top w:val="nil"/>
              <w:bottom w:val="nil"/>
            </w:tcBorders>
            <w:vAlign w:val="center"/>
          </w:tcPr>
          <w:p w14:paraId="41DAC40F" w14:textId="63C9873E" w:rsidR="00F27DC1" w:rsidRPr="000244FC" w:rsidRDefault="000244FC"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0244FC">
              <w:rPr>
                <w:rFonts w:cs="Arial"/>
                <w:color w:val="auto"/>
                <w:szCs w:val="14"/>
              </w:rPr>
              <w:t>(16,1)</w:t>
            </w:r>
          </w:p>
        </w:tc>
      </w:tr>
      <w:tr w:rsidR="00F27DC1" w:rsidRPr="001D6BE8" w14:paraId="72955977" w14:textId="77777777" w:rsidTr="009E060D">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DCB03B3" w14:textId="77777777" w:rsidR="00F27DC1" w:rsidRPr="002A6B1F" w:rsidRDefault="00F27DC1" w:rsidP="00F27DC1">
            <w:pPr>
              <w:pStyle w:val="08-Tabelageral"/>
              <w:jc w:val="left"/>
              <w:rPr>
                <w:rFonts w:cs="Arial"/>
                <w:snapToGrid w:val="0"/>
              </w:rPr>
            </w:pPr>
            <w:r w:rsidRPr="002A6B1F">
              <w:rPr>
                <w:rFonts w:cs="Arial"/>
              </w:rPr>
              <w:t>Resultado antes de imposto de renda e contribuição social</w:t>
            </w:r>
          </w:p>
        </w:tc>
        <w:tc>
          <w:tcPr>
            <w:tcW w:w="1860" w:type="dxa"/>
            <w:tcBorders>
              <w:top w:val="nil"/>
              <w:bottom w:val="nil"/>
            </w:tcBorders>
            <w:vAlign w:val="center"/>
          </w:tcPr>
          <w:p w14:paraId="1059AAD8" w14:textId="05B4A5AF" w:rsidR="00F27DC1" w:rsidRPr="005A3E08" w:rsidRDefault="005A3E08" w:rsidP="00F27DC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5A3E08">
              <w:rPr>
                <w:rFonts w:cs="Arial"/>
                <w:b/>
                <w:bCs/>
                <w:color w:val="auto"/>
                <w:szCs w:val="14"/>
              </w:rPr>
              <w:t>3.859.797</w:t>
            </w:r>
          </w:p>
        </w:tc>
        <w:tc>
          <w:tcPr>
            <w:tcW w:w="1860" w:type="dxa"/>
            <w:tcBorders>
              <w:top w:val="nil"/>
              <w:bottom w:val="nil"/>
            </w:tcBorders>
            <w:vAlign w:val="center"/>
          </w:tcPr>
          <w:p w14:paraId="5AFBE404" w14:textId="7B9542F4"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B21BB">
              <w:rPr>
                <w:rFonts w:cs="Arial"/>
                <w:b/>
                <w:bCs/>
                <w:color w:val="auto"/>
                <w:szCs w:val="14"/>
              </w:rPr>
              <w:t>6.704.132</w:t>
            </w:r>
          </w:p>
        </w:tc>
        <w:tc>
          <w:tcPr>
            <w:tcW w:w="1853" w:type="dxa"/>
            <w:tcBorders>
              <w:top w:val="nil"/>
              <w:bottom w:val="nil"/>
            </w:tcBorders>
            <w:vAlign w:val="center"/>
          </w:tcPr>
          <w:p w14:paraId="0C6750D9" w14:textId="2A560084"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0244FC">
              <w:rPr>
                <w:rFonts w:cs="Arial"/>
                <w:b/>
                <w:bCs/>
                <w:color w:val="auto"/>
                <w:szCs w:val="14"/>
              </w:rPr>
              <w:t>(42,4)</w:t>
            </w:r>
          </w:p>
        </w:tc>
      </w:tr>
      <w:tr w:rsidR="00F27DC1" w:rsidRPr="001D6BE8" w14:paraId="0E2213FF" w14:textId="77777777" w:rsidTr="009E060D">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69612C1" w14:textId="77777777" w:rsidR="00F27DC1" w:rsidRPr="002A6B1F" w:rsidRDefault="00F27DC1" w:rsidP="00F27DC1">
            <w:pPr>
              <w:pStyle w:val="08-Tabelageral"/>
              <w:ind w:left="113"/>
              <w:jc w:val="left"/>
              <w:rPr>
                <w:rFonts w:cs="Arial"/>
                <w:b w:val="0"/>
                <w:snapToGrid w:val="0"/>
              </w:rPr>
            </w:pPr>
            <w:r w:rsidRPr="002A6B1F">
              <w:rPr>
                <w:rFonts w:cs="Arial"/>
                <w:b w:val="0"/>
              </w:rPr>
              <w:t>Imposto de renda e contribuição social</w:t>
            </w:r>
          </w:p>
        </w:tc>
        <w:tc>
          <w:tcPr>
            <w:tcW w:w="1860" w:type="dxa"/>
            <w:tcBorders>
              <w:top w:val="nil"/>
              <w:bottom w:val="nil"/>
            </w:tcBorders>
            <w:vAlign w:val="center"/>
          </w:tcPr>
          <w:p w14:paraId="265A5EF1" w14:textId="413EABB0" w:rsidR="00F27DC1" w:rsidRPr="005A3E08"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5A3E08">
              <w:rPr>
                <w:rFonts w:cs="Arial"/>
                <w:color w:val="auto"/>
                <w:szCs w:val="14"/>
              </w:rPr>
              <w:t>(</w:t>
            </w:r>
            <w:r w:rsidR="005A3E08" w:rsidRPr="005A3E08">
              <w:rPr>
                <w:rFonts w:cs="Arial"/>
                <w:color w:val="auto"/>
                <w:szCs w:val="14"/>
              </w:rPr>
              <w:t>9.026</w:t>
            </w:r>
            <w:r w:rsidRPr="005A3E08">
              <w:rPr>
                <w:rFonts w:cs="Arial"/>
                <w:color w:val="auto"/>
                <w:szCs w:val="14"/>
              </w:rPr>
              <w:t>)</w:t>
            </w:r>
          </w:p>
        </w:tc>
        <w:tc>
          <w:tcPr>
            <w:tcW w:w="1860" w:type="dxa"/>
            <w:tcBorders>
              <w:top w:val="nil"/>
              <w:bottom w:val="nil"/>
            </w:tcBorders>
            <w:vAlign w:val="center"/>
          </w:tcPr>
          <w:p w14:paraId="73F8FB72" w14:textId="4EE998AE" w:rsidR="00F27DC1" w:rsidRPr="002A6B1F"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sidRPr="003B21BB">
              <w:rPr>
                <w:rFonts w:cs="Arial"/>
                <w:color w:val="auto"/>
                <w:szCs w:val="14"/>
              </w:rPr>
              <w:t>(45.351)</w:t>
            </w:r>
          </w:p>
        </w:tc>
        <w:tc>
          <w:tcPr>
            <w:tcW w:w="1853" w:type="dxa"/>
            <w:tcBorders>
              <w:top w:val="nil"/>
              <w:bottom w:val="nil"/>
            </w:tcBorders>
            <w:vAlign w:val="center"/>
          </w:tcPr>
          <w:p w14:paraId="31D33196" w14:textId="52D57895" w:rsidR="00F27DC1" w:rsidRPr="000244FC" w:rsidRDefault="000244FC"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0244FC">
              <w:rPr>
                <w:rFonts w:cs="Arial"/>
                <w:color w:val="auto"/>
                <w:szCs w:val="14"/>
              </w:rPr>
              <w:t>(80,1)</w:t>
            </w:r>
          </w:p>
        </w:tc>
      </w:tr>
      <w:tr w:rsidR="00F27DC1" w:rsidRPr="001D6BE8" w14:paraId="6920772A" w14:textId="77777777" w:rsidTr="009E060D">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4" w:space="0" w:color="9CC2E5" w:themeColor="accent1" w:themeTint="99"/>
            </w:tcBorders>
          </w:tcPr>
          <w:p w14:paraId="4C65E292" w14:textId="77777777" w:rsidR="00F27DC1" w:rsidRPr="002A6B1F" w:rsidRDefault="00F27DC1" w:rsidP="00F27DC1">
            <w:pPr>
              <w:pStyle w:val="08-Tabelageral"/>
              <w:jc w:val="left"/>
              <w:rPr>
                <w:rFonts w:cs="Arial"/>
                <w:snapToGrid w:val="0"/>
              </w:rPr>
            </w:pPr>
            <w:r w:rsidRPr="002A6B1F">
              <w:rPr>
                <w:rFonts w:cs="Arial"/>
              </w:rPr>
              <w:t xml:space="preserve">Lucro líquido </w:t>
            </w:r>
          </w:p>
        </w:tc>
        <w:tc>
          <w:tcPr>
            <w:tcW w:w="1860" w:type="dxa"/>
            <w:tcBorders>
              <w:top w:val="nil"/>
              <w:bottom w:val="single" w:sz="4" w:space="0" w:color="9CC2E5" w:themeColor="accent1" w:themeTint="99"/>
            </w:tcBorders>
            <w:vAlign w:val="center"/>
          </w:tcPr>
          <w:p w14:paraId="7BB1D912" w14:textId="046967C8" w:rsidR="00F27DC1" w:rsidRPr="005A3E08" w:rsidRDefault="005A3E08" w:rsidP="00F27DC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5A3E08">
              <w:rPr>
                <w:rFonts w:cs="Arial"/>
                <w:b/>
                <w:bCs/>
                <w:color w:val="auto"/>
                <w:szCs w:val="14"/>
              </w:rPr>
              <w:t>3.850.771</w:t>
            </w:r>
          </w:p>
        </w:tc>
        <w:tc>
          <w:tcPr>
            <w:tcW w:w="1860" w:type="dxa"/>
            <w:tcBorders>
              <w:top w:val="nil"/>
              <w:bottom w:val="single" w:sz="4" w:space="0" w:color="9CC2E5" w:themeColor="accent1" w:themeTint="99"/>
            </w:tcBorders>
            <w:vAlign w:val="center"/>
          </w:tcPr>
          <w:p w14:paraId="70E1862A" w14:textId="151D7193" w:rsidR="00F27DC1" w:rsidRPr="002A6B1F"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sidRPr="003B21BB">
              <w:rPr>
                <w:rFonts w:cs="Arial"/>
                <w:b/>
                <w:bCs/>
                <w:color w:val="auto"/>
                <w:szCs w:val="14"/>
              </w:rPr>
              <w:t>6.658.781</w:t>
            </w:r>
          </w:p>
        </w:tc>
        <w:tc>
          <w:tcPr>
            <w:tcW w:w="1853" w:type="dxa"/>
            <w:tcBorders>
              <w:top w:val="nil"/>
              <w:bottom w:val="single" w:sz="4" w:space="0" w:color="9CC2E5" w:themeColor="accent1" w:themeTint="99"/>
            </w:tcBorders>
            <w:vAlign w:val="center"/>
          </w:tcPr>
          <w:p w14:paraId="16E4F890" w14:textId="0404C3A5" w:rsidR="00F27DC1" w:rsidRPr="000244FC" w:rsidRDefault="000244FC" w:rsidP="00F27DC1">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0244FC">
              <w:rPr>
                <w:rFonts w:cs="Arial"/>
                <w:b/>
                <w:bCs/>
                <w:color w:val="auto"/>
                <w:szCs w:val="14"/>
              </w:rPr>
              <w:t>(42,2)</w:t>
            </w:r>
          </w:p>
        </w:tc>
      </w:tr>
    </w:tbl>
    <w:p w14:paraId="5A36FA9F" w14:textId="77777777" w:rsidR="009E060D" w:rsidRPr="009E060D" w:rsidRDefault="009E060D" w:rsidP="009E060D">
      <w:pPr>
        <w:rPr>
          <w:lang w:eastAsia="pt-BR"/>
        </w:rPr>
      </w:pPr>
    </w:p>
    <w:p w14:paraId="5F6647DC" w14:textId="4A98F25C" w:rsidR="008B50E2" w:rsidRDefault="008B50E2">
      <w:pPr>
        <w:pStyle w:val="01-Textonormal"/>
        <w:rPr>
          <w:rFonts w:cs="Arial"/>
        </w:rPr>
      </w:pPr>
      <w:r>
        <w:rPr>
          <w:rFonts w:cs="Arial"/>
        </w:rPr>
        <w:t>Em 2020, a BB Seguridade apresentou lucro líquido de R$3.85</w:t>
      </w:r>
      <w:r w:rsidR="002C4409">
        <w:rPr>
          <w:rFonts w:cs="Arial"/>
        </w:rPr>
        <w:t>0</w:t>
      </w:r>
      <w:r>
        <w:rPr>
          <w:rFonts w:cs="Arial"/>
        </w:rPr>
        <w:t>,8 milhões, redução de 42,2%.</w:t>
      </w:r>
      <w:r w:rsidR="004037CC">
        <w:rPr>
          <w:rFonts w:cs="Arial"/>
        </w:rPr>
        <w:t xml:space="preserve"> </w:t>
      </w:r>
      <w:r w:rsidR="00273D83">
        <w:rPr>
          <w:rFonts w:cs="Arial"/>
        </w:rPr>
        <w:t xml:space="preserve">Em </w:t>
      </w:r>
      <w:r w:rsidR="004037CC">
        <w:rPr>
          <w:rFonts w:cs="Arial"/>
        </w:rPr>
        <w:t>2019 e 2020, ocorreram eventos, classificados como extraordinários, descritos a seguir:</w:t>
      </w:r>
    </w:p>
    <w:p w14:paraId="689693C7" w14:textId="689CC87F" w:rsidR="00451A27" w:rsidRPr="00451A27" w:rsidRDefault="00451A27">
      <w:pPr>
        <w:pStyle w:val="01-Textonormal"/>
        <w:rPr>
          <w:rFonts w:cs="Arial"/>
          <w:b/>
          <w:bCs/>
        </w:rPr>
      </w:pPr>
      <w:r w:rsidRPr="00451A27">
        <w:rPr>
          <w:rFonts w:cs="Arial"/>
          <w:b/>
          <w:bCs/>
        </w:rPr>
        <w:t>2020</w:t>
      </w:r>
    </w:p>
    <w:p w14:paraId="59624D8A" w14:textId="0EFEB474" w:rsidR="008B50E2" w:rsidRDefault="004037CC" w:rsidP="008B50E2">
      <w:pPr>
        <w:pStyle w:val="01-Textonormal"/>
        <w:rPr>
          <w:rFonts w:cs="Arial"/>
        </w:rPr>
      </w:pPr>
      <w:r>
        <w:rPr>
          <w:rFonts w:cs="Arial"/>
          <w:b/>
          <w:bCs/>
        </w:rPr>
        <w:t xml:space="preserve">BB Corretora – doação contra Covid-19: </w:t>
      </w:r>
      <w:r>
        <w:rPr>
          <w:rFonts w:cs="Arial"/>
        </w:rPr>
        <w:t>n</w:t>
      </w:r>
      <w:r w:rsidR="008B50E2" w:rsidRPr="008B50E2">
        <w:rPr>
          <w:rFonts w:cs="Arial"/>
        </w:rPr>
        <w:t xml:space="preserve">o </w:t>
      </w:r>
      <w:r w:rsidR="008B50E2">
        <w:rPr>
          <w:rFonts w:cs="Arial"/>
        </w:rPr>
        <w:t>segundo trimestre de 2020</w:t>
      </w:r>
      <w:r w:rsidR="008B50E2" w:rsidRPr="008B50E2">
        <w:rPr>
          <w:rFonts w:cs="Arial"/>
        </w:rPr>
        <w:t>, como parte dos esforços da BB Seguridade para contribuir com as respostas aos impactos da pandemia da Covid-19, o Conselho de Administração aprovou uma doação de até R$40 milhões pela BB Corretora à Fundação Banco do Brasil (FBB), tendo como finalidade exclusiva a aquisição de alimentos e itens de higiene, de limpeza e de proteção individual necessários ao amparo social das populações carentes mais afetadas. Do montante total aprovado, foram requeridos até o final de junho pela FBB cerca de R$37,9 milhões e o saldo de R$2,1 milhões foi desembolsado entre os meses de julho e agosto. Considerando o volume total desembolsado, o impacto negativo no lucro líquido foi de R$26,4 milhões.</w:t>
      </w:r>
    </w:p>
    <w:p w14:paraId="5C5D8AA0" w14:textId="57F22387" w:rsidR="00451A27" w:rsidRPr="00451A27" w:rsidRDefault="00451A27" w:rsidP="008B50E2">
      <w:pPr>
        <w:pStyle w:val="01-Textonormal"/>
        <w:rPr>
          <w:rFonts w:cs="Arial"/>
          <w:b/>
          <w:bCs/>
        </w:rPr>
      </w:pPr>
      <w:r w:rsidRPr="00451A27">
        <w:rPr>
          <w:rFonts w:cs="Arial"/>
          <w:b/>
          <w:bCs/>
        </w:rPr>
        <w:t>2019</w:t>
      </w:r>
    </w:p>
    <w:p w14:paraId="39CC66EC" w14:textId="44F813AA" w:rsidR="007378FC" w:rsidRDefault="004037CC" w:rsidP="008B50E2">
      <w:pPr>
        <w:pStyle w:val="01-Textonormal"/>
        <w:rPr>
          <w:rFonts w:cs="Arial"/>
        </w:rPr>
      </w:pPr>
      <w:r>
        <w:rPr>
          <w:rFonts w:cs="Arial"/>
          <w:b/>
          <w:bCs/>
        </w:rPr>
        <w:t xml:space="preserve">BB Seguros – oferta pública com esforços restritos de distribuição secundária das ações do IRB Brasil-RE: </w:t>
      </w:r>
      <w:r w:rsidR="008B50E2" w:rsidRPr="008B50E2">
        <w:rPr>
          <w:rFonts w:cs="Arial"/>
        </w:rPr>
        <w:t>alienação da totalidade das ações ordinárias do IRB Brasil RE de titularidade da BB Seguros,</w:t>
      </w:r>
      <w:r>
        <w:rPr>
          <w:rFonts w:cs="Arial"/>
        </w:rPr>
        <w:t xml:space="preserve"> em julho de 2019,</w:t>
      </w:r>
      <w:r w:rsidR="008B50E2" w:rsidRPr="008B50E2">
        <w:rPr>
          <w:rFonts w:cs="Arial"/>
        </w:rPr>
        <w:t xml:space="preserve"> produzindo um ganho líquido de R$2,3 bilhões, registrado na linha “Outros” em resultado de investimentos em participações societárias.</w:t>
      </w:r>
      <w:r w:rsidR="007378FC">
        <w:rPr>
          <w:rFonts w:cs="Arial"/>
        </w:rPr>
        <w:t xml:space="preserve"> </w:t>
      </w:r>
    </w:p>
    <w:p w14:paraId="7012573C" w14:textId="4B9502E0" w:rsidR="007378FC" w:rsidRDefault="004037CC" w:rsidP="008B50E2">
      <w:pPr>
        <w:pStyle w:val="01-Textonormal"/>
        <w:rPr>
          <w:rFonts w:cs="Arial"/>
        </w:rPr>
      </w:pPr>
      <w:proofErr w:type="spellStart"/>
      <w:r>
        <w:rPr>
          <w:rFonts w:cs="Arial"/>
          <w:b/>
          <w:bCs/>
        </w:rPr>
        <w:t>Brasilseg</w:t>
      </w:r>
      <w:proofErr w:type="spellEnd"/>
      <w:r>
        <w:rPr>
          <w:rFonts w:cs="Arial"/>
          <w:b/>
          <w:bCs/>
        </w:rPr>
        <w:t xml:space="preserve"> – reversão de Provisão de Prêmios Não Ganhos (“PPNG”): </w:t>
      </w:r>
      <w:r>
        <w:rPr>
          <w:rFonts w:cs="Arial"/>
        </w:rPr>
        <w:t>em</w:t>
      </w:r>
      <w:r w:rsidR="007378FC">
        <w:rPr>
          <w:rFonts w:cs="Arial"/>
        </w:rPr>
        <w:t xml:space="preserve"> </w:t>
      </w:r>
      <w:r>
        <w:rPr>
          <w:rFonts w:cs="Arial"/>
        </w:rPr>
        <w:t>novembro de 2019</w:t>
      </w:r>
      <w:r w:rsidR="007378FC">
        <w:rPr>
          <w:rFonts w:cs="Arial"/>
        </w:rPr>
        <w:t xml:space="preserve">, </w:t>
      </w:r>
      <w:r>
        <w:rPr>
          <w:rFonts w:cs="Arial"/>
        </w:rPr>
        <w:t>foi concluído</w:t>
      </w:r>
      <w:r w:rsidR="007378FC">
        <w:rPr>
          <w:rFonts w:cs="Arial"/>
        </w:rPr>
        <w:t xml:space="preserve"> o trabalho de regularização do saldo de “PPNG, que registrava</w:t>
      </w:r>
      <w:r>
        <w:rPr>
          <w:rFonts w:cs="Arial"/>
        </w:rPr>
        <w:t xml:space="preserve"> um</w:t>
      </w:r>
      <w:r w:rsidR="007378FC">
        <w:rPr>
          <w:rFonts w:cs="Arial"/>
        </w:rPr>
        <w:t xml:space="preserve"> excesso de provisão decorrente do fluxo de endosso de apólices de seguro prestamista</w:t>
      </w:r>
      <w:r>
        <w:rPr>
          <w:rFonts w:cs="Arial"/>
        </w:rPr>
        <w:t>. O</w:t>
      </w:r>
      <w:r w:rsidR="007378FC">
        <w:rPr>
          <w:rFonts w:cs="Arial"/>
        </w:rPr>
        <w:t xml:space="preserve"> excesso de R$121,1 milhões</w:t>
      </w:r>
      <w:r>
        <w:rPr>
          <w:rFonts w:cs="Arial"/>
        </w:rPr>
        <w:t xml:space="preserve"> foi revertido</w:t>
      </w:r>
      <w:r w:rsidR="007378FC">
        <w:rPr>
          <w:rFonts w:cs="Arial"/>
        </w:rPr>
        <w:t xml:space="preserve">, sendo segregado o montante de R$44,5 milhões referente como extraordinário visto que se tratava de parcela relativa a exercícios anteriores. A quantia revertida gerou um impacto positivo de R$16,5 milhões no lucro líquido da </w:t>
      </w:r>
      <w:proofErr w:type="spellStart"/>
      <w:r w:rsidR="007378FC">
        <w:rPr>
          <w:rFonts w:cs="Arial"/>
        </w:rPr>
        <w:t>Brasilseg</w:t>
      </w:r>
      <w:proofErr w:type="spellEnd"/>
      <w:r w:rsidR="007378FC">
        <w:rPr>
          <w:rFonts w:cs="Arial"/>
        </w:rPr>
        <w:t xml:space="preserve"> e de R$12,4 milhões na BB Seguridade. </w:t>
      </w:r>
    </w:p>
    <w:p w14:paraId="2B459D12" w14:textId="76B874FA" w:rsidR="008B50E2" w:rsidRDefault="004037CC" w:rsidP="008B50E2">
      <w:pPr>
        <w:pStyle w:val="01-Textonormal"/>
        <w:rPr>
          <w:rFonts w:cs="Arial"/>
        </w:rPr>
      </w:pPr>
      <w:proofErr w:type="spellStart"/>
      <w:r>
        <w:rPr>
          <w:rFonts w:cs="Arial"/>
          <w:b/>
          <w:bCs/>
        </w:rPr>
        <w:t>Brasilprev</w:t>
      </w:r>
      <w:proofErr w:type="spellEnd"/>
      <w:r>
        <w:rPr>
          <w:rFonts w:cs="Arial"/>
          <w:b/>
          <w:bCs/>
        </w:rPr>
        <w:t xml:space="preserve"> – reversão de Provisão para Despesas Relacionadas (“PDR”):</w:t>
      </w:r>
      <w:r w:rsidR="007378FC">
        <w:rPr>
          <w:rFonts w:cs="Arial"/>
        </w:rPr>
        <w:t xml:space="preserve"> </w:t>
      </w:r>
      <w:r>
        <w:rPr>
          <w:rFonts w:cs="Arial"/>
        </w:rPr>
        <w:t xml:space="preserve">em novembro de 2019, </w:t>
      </w:r>
      <w:r w:rsidR="007378FC">
        <w:rPr>
          <w:rFonts w:cs="Arial"/>
        </w:rPr>
        <w:t xml:space="preserve">foi realizada </w:t>
      </w:r>
      <w:r>
        <w:rPr>
          <w:rFonts w:cs="Arial"/>
        </w:rPr>
        <w:t>um</w:t>
      </w:r>
      <w:r w:rsidR="007378FC">
        <w:rPr>
          <w:rFonts w:cs="Arial"/>
        </w:rPr>
        <w:t xml:space="preserve">a revisão de premissas da PDR, incorporando o resultado de estudos atuariais sobre a variável que se refere ao percentual de clientes que optam por receber a sua reserva acumulada na forma de benefício. Com isso, o lucro líquido da </w:t>
      </w:r>
      <w:proofErr w:type="spellStart"/>
      <w:r w:rsidR="007378FC">
        <w:rPr>
          <w:rFonts w:cs="Arial"/>
        </w:rPr>
        <w:t>Brasilprev</w:t>
      </w:r>
      <w:proofErr w:type="spellEnd"/>
      <w:r w:rsidR="007378FC">
        <w:rPr>
          <w:rFonts w:cs="Arial"/>
        </w:rPr>
        <w:t xml:space="preserve"> foi positivamente impactado em R$26,2 milhões, beneficiando o lucro líquido da BB Seguridade em R$19,7 milhões.</w:t>
      </w:r>
    </w:p>
    <w:p w14:paraId="1D6C8825" w14:textId="7399F06B" w:rsidR="0017410B" w:rsidRDefault="0017410B" w:rsidP="008B50E2">
      <w:pPr>
        <w:pStyle w:val="01-Textonormal"/>
        <w:rPr>
          <w:rFonts w:cs="Arial"/>
        </w:rPr>
      </w:pPr>
    </w:p>
    <w:p w14:paraId="73A91BB3" w14:textId="39989258" w:rsidR="0017410B" w:rsidRDefault="0017410B" w:rsidP="008B50E2">
      <w:pPr>
        <w:pStyle w:val="01-Textonormal"/>
        <w:rPr>
          <w:rFonts w:cs="Arial"/>
        </w:rPr>
      </w:pPr>
    </w:p>
    <w:p w14:paraId="2D331E99" w14:textId="1D29AB40" w:rsidR="0017410B" w:rsidRDefault="0017410B" w:rsidP="008B50E2">
      <w:pPr>
        <w:pStyle w:val="01-Textonormal"/>
        <w:rPr>
          <w:rFonts w:cs="Arial"/>
        </w:rPr>
      </w:pPr>
    </w:p>
    <w:p w14:paraId="629B7DA8" w14:textId="023073D8" w:rsidR="0017410B" w:rsidRDefault="0017410B" w:rsidP="008B50E2">
      <w:pPr>
        <w:pStyle w:val="01-Textonormal"/>
        <w:rPr>
          <w:rFonts w:cs="Arial"/>
        </w:rPr>
      </w:pPr>
    </w:p>
    <w:p w14:paraId="17D8E8D5" w14:textId="68EEB912" w:rsidR="0017410B" w:rsidRDefault="0017410B" w:rsidP="008B50E2">
      <w:pPr>
        <w:pStyle w:val="01-Textonormal"/>
        <w:rPr>
          <w:rFonts w:cs="Arial"/>
        </w:rPr>
      </w:pPr>
      <w:bookmarkStart w:id="1" w:name="_Hlk63054176"/>
      <w:r w:rsidRPr="009E060D">
        <w:rPr>
          <w:rFonts w:cs="Arial"/>
          <w:sz w:val="14"/>
          <w:szCs w:val="14"/>
        </w:rPr>
        <w:t xml:space="preserve">Tabela </w:t>
      </w:r>
      <w:r w:rsidRPr="009E060D">
        <w:rPr>
          <w:rFonts w:cs="Arial"/>
          <w:b/>
          <w:sz w:val="14"/>
          <w:szCs w:val="14"/>
        </w:rPr>
        <w:fldChar w:fldCharType="begin"/>
      </w:r>
      <w:r w:rsidRPr="009E060D">
        <w:rPr>
          <w:rFonts w:cs="Arial"/>
          <w:sz w:val="14"/>
          <w:szCs w:val="14"/>
        </w:rPr>
        <w:instrText xml:space="preserve"> SEQ Tabela \* ARABIC </w:instrText>
      </w:r>
      <w:r w:rsidRPr="009E060D">
        <w:rPr>
          <w:rFonts w:cs="Arial"/>
          <w:b/>
          <w:sz w:val="14"/>
          <w:szCs w:val="14"/>
        </w:rPr>
        <w:fldChar w:fldCharType="separate"/>
      </w:r>
      <w:r w:rsidR="0068396B">
        <w:rPr>
          <w:rFonts w:cs="Arial"/>
          <w:noProof/>
          <w:sz w:val="14"/>
          <w:szCs w:val="14"/>
        </w:rPr>
        <w:t>2</w:t>
      </w:r>
      <w:r w:rsidRPr="009E060D">
        <w:rPr>
          <w:rFonts w:cs="Arial"/>
          <w:b/>
          <w:noProof/>
          <w:sz w:val="14"/>
          <w:szCs w:val="14"/>
        </w:rPr>
        <w:fldChar w:fldCharType="end"/>
      </w:r>
      <w:r w:rsidRPr="002A6B1F">
        <w:rPr>
          <w:sz w:val="14"/>
        </w:rPr>
        <w:t xml:space="preserve"> –</w:t>
      </w:r>
      <w:r>
        <w:rPr>
          <w:sz w:val="14"/>
        </w:rPr>
        <w:t xml:space="preserve"> Eventos Extraordinários</w:t>
      </w:r>
    </w:p>
    <w:tbl>
      <w:tblPr>
        <w:tblStyle w:val="TabeladeLista6Colorida-nfase5"/>
        <w:tblW w:w="9639" w:type="dxa"/>
        <w:tblLook w:val="04A0" w:firstRow="1" w:lastRow="0" w:firstColumn="1" w:lastColumn="0" w:noHBand="0" w:noVBand="1"/>
      </w:tblPr>
      <w:tblGrid>
        <w:gridCol w:w="4066"/>
        <w:gridCol w:w="1860"/>
        <w:gridCol w:w="1860"/>
        <w:gridCol w:w="1853"/>
      </w:tblGrid>
      <w:tr w:rsidR="0017410B" w:rsidRPr="00201B3F" w14:paraId="3B7A27D1" w14:textId="77777777" w:rsidTr="0017410B">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shd w:val="clear" w:color="auto" w:fill="D9E2F3" w:themeFill="accent5" w:themeFillTint="33"/>
            <w:vAlign w:val="center"/>
          </w:tcPr>
          <w:p w14:paraId="7F826982" w14:textId="77777777" w:rsidR="0017410B" w:rsidRPr="00201B3F" w:rsidRDefault="0017410B" w:rsidP="0017410B">
            <w:pPr>
              <w:pStyle w:val="08-Tabelageral"/>
              <w:jc w:val="left"/>
              <w:rPr>
                <w:rFonts w:cs="Arial"/>
              </w:rPr>
            </w:pPr>
          </w:p>
        </w:tc>
        <w:tc>
          <w:tcPr>
            <w:tcW w:w="3720" w:type="dxa"/>
            <w:gridSpan w:val="2"/>
            <w:tcBorders>
              <w:top w:val="single" w:sz="2" w:space="0" w:color="8EAADB" w:themeColor="accent5" w:themeTint="99"/>
              <w:bottom w:val="nil"/>
            </w:tcBorders>
            <w:shd w:val="clear" w:color="auto" w:fill="D9E2F3" w:themeFill="accent5" w:themeFillTint="33"/>
            <w:vAlign w:val="center"/>
          </w:tcPr>
          <w:p w14:paraId="491697D0" w14:textId="77777777" w:rsidR="0017410B" w:rsidRPr="009C4EEC" w:rsidRDefault="0017410B" w:rsidP="0017410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Pr>
                <w:rFonts w:cs="Arial"/>
              </w:rPr>
              <w:t>Controlador</w:t>
            </w:r>
          </w:p>
        </w:tc>
        <w:tc>
          <w:tcPr>
            <w:tcW w:w="1853" w:type="dxa"/>
            <w:vMerge w:val="restart"/>
            <w:tcBorders>
              <w:top w:val="single" w:sz="2" w:space="0" w:color="8EAADB" w:themeColor="accent5" w:themeTint="99"/>
            </w:tcBorders>
            <w:shd w:val="clear" w:color="auto" w:fill="D9E2F3" w:themeFill="accent5" w:themeFillTint="33"/>
            <w:vAlign w:val="center"/>
          </w:tcPr>
          <w:p w14:paraId="02CADC82" w14:textId="77777777" w:rsidR="0017410B" w:rsidRPr="00201B3F" w:rsidRDefault="0017410B" w:rsidP="0017410B">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2A6B1F">
              <w:rPr>
                <w:rFonts w:cs="Arial"/>
              </w:rPr>
              <w:t>Var.%</w:t>
            </w:r>
          </w:p>
        </w:tc>
      </w:tr>
      <w:tr w:rsidR="0017410B" w:rsidRPr="001D6BE8" w14:paraId="65C6D405" w14:textId="77777777" w:rsidTr="001741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single" w:sz="2" w:space="0" w:color="8EAADB" w:themeColor="accent5" w:themeTint="99"/>
            </w:tcBorders>
          </w:tcPr>
          <w:p w14:paraId="5856466E" w14:textId="77777777" w:rsidR="0017410B" w:rsidRPr="00C806B0" w:rsidRDefault="0017410B" w:rsidP="0017410B">
            <w:pPr>
              <w:pStyle w:val="08-Tabelageral"/>
              <w:jc w:val="left"/>
              <w:rPr>
                <w:rFonts w:cs="Arial"/>
                <w:bCs w:val="0"/>
                <w:szCs w:val="14"/>
              </w:rPr>
            </w:pPr>
          </w:p>
        </w:tc>
        <w:tc>
          <w:tcPr>
            <w:tcW w:w="1860" w:type="dxa"/>
            <w:tcBorders>
              <w:top w:val="nil"/>
              <w:bottom w:val="single" w:sz="2" w:space="0" w:color="8EAADB" w:themeColor="accent5" w:themeTint="99"/>
            </w:tcBorders>
            <w:vAlign w:val="center"/>
          </w:tcPr>
          <w:p w14:paraId="00D8E213" w14:textId="77777777" w:rsidR="0017410B" w:rsidRPr="00B13B33" w:rsidRDefault="0017410B" w:rsidP="0017410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2020</w:t>
            </w:r>
          </w:p>
        </w:tc>
        <w:tc>
          <w:tcPr>
            <w:tcW w:w="1860" w:type="dxa"/>
            <w:tcBorders>
              <w:top w:val="nil"/>
              <w:bottom w:val="single" w:sz="2" w:space="0" w:color="8EAADB" w:themeColor="accent5" w:themeTint="99"/>
            </w:tcBorders>
            <w:vAlign w:val="center"/>
          </w:tcPr>
          <w:p w14:paraId="1B65ACE6" w14:textId="77777777" w:rsidR="0017410B" w:rsidRPr="00B13B33" w:rsidRDefault="0017410B" w:rsidP="0017410B">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2019</w:t>
            </w:r>
          </w:p>
        </w:tc>
        <w:tc>
          <w:tcPr>
            <w:tcW w:w="1853" w:type="dxa"/>
            <w:vMerge/>
            <w:tcBorders>
              <w:bottom w:val="single" w:sz="2" w:space="0" w:color="8EAADB" w:themeColor="accent5" w:themeTint="99"/>
            </w:tcBorders>
            <w:vAlign w:val="center"/>
          </w:tcPr>
          <w:p w14:paraId="26A6BDA9" w14:textId="77777777" w:rsidR="0017410B" w:rsidRPr="002A6B1F"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b/>
              </w:rPr>
            </w:pPr>
          </w:p>
        </w:tc>
      </w:tr>
      <w:tr w:rsidR="0017410B" w:rsidRPr="001D6BE8" w14:paraId="5E69CD10" w14:textId="77777777" w:rsidTr="0017410B">
        <w:trPr>
          <w:trHeight w:hRule="exact" w:val="35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bottom w:val="nil"/>
            </w:tcBorders>
            <w:vAlign w:val="center"/>
          </w:tcPr>
          <w:p w14:paraId="17C0C149" w14:textId="77777777" w:rsidR="0017410B" w:rsidRPr="002A6B1F" w:rsidRDefault="0017410B" w:rsidP="0017410B">
            <w:pPr>
              <w:pStyle w:val="08-Tabelageral"/>
              <w:jc w:val="left"/>
              <w:rPr>
                <w:rFonts w:cs="Arial"/>
                <w:snapToGrid w:val="0"/>
              </w:rPr>
            </w:pPr>
            <w:r>
              <w:rPr>
                <w:rFonts w:cs="Arial"/>
              </w:rPr>
              <w:t>Lucro líquido ajustado</w:t>
            </w:r>
          </w:p>
        </w:tc>
        <w:tc>
          <w:tcPr>
            <w:tcW w:w="1860" w:type="dxa"/>
            <w:tcBorders>
              <w:top w:val="single" w:sz="2" w:space="0" w:color="8EAADB" w:themeColor="accent5" w:themeTint="99"/>
              <w:bottom w:val="nil"/>
            </w:tcBorders>
            <w:vAlign w:val="center"/>
          </w:tcPr>
          <w:p w14:paraId="58C3DA3F" w14:textId="77777777" w:rsidR="0017410B" w:rsidRPr="0066080B"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000000"/>
                <w:szCs w:val="14"/>
              </w:rPr>
              <w:t>3.877.171</w:t>
            </w:r>
          </w:p>
        </w:tc>
        <w:tc>
          <w:tcPr>
            <w:tcW w:w="1860" w:type="dxa"/>
            <w:tcBorders>
              <w:top w:val="single" w:sz="2" w:space="0" w:color="8EAADB" w:themeColor="accent5" w:themeTint="99"/>
              <w:bottom w:val="nil"/>
            </w:tcBorders>
            <w:vAlign w:val="center"/>
          </w:tcPr>
          <w:p w14:paraId="6C987CB9" w14:textId="77777777" w:rsidR="0017410B" w:rsidRPr="002A6B1F"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r>
              <w:rPr>
                <w:rFonts w:cs="Arial"/>
                <w:b/>
                <w:bCs/>
                <w:color w:val="auto"/>
                <w:szCs w:val="14"/>
              </w:rPr>
              <w:t>4.306.266</w:t>
            </w:r>
          </w:p>
        </w:tc>
        <w:tc>
          <w:tcPr>
            <w:tcW w:w="1853" w:type="dxa"/>
            <w:tcBorders>
              <w:top w:val="single" w:sz="2" w:space="0" w:color="8EAADB" w:themeColor="accent5" w:themeTint="99"/>
              <w:bottom w:val="nil"/>
            </w:tcBorders>
            <w:vAlign w:val="center"/>
          </w:tcPr>
          <w:p w14:paraId="30F5BD3E" w14:textId="77777777" w:rsidR="0017410B" w:rsidRPr="00605543"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Pr>
                <w:rFonts w:cs="Arial"/>
                <w:b/>
                <w:bCs/>
                <w:color w:val="auto"/>
                <w:szCs w:val="14"/>
              </w:rPr>
              <w:t>(10,0)</w:t>
            </w:r>
          </w:p>
        </w:tc>
      </w:tr>
      <w:tr w:rsidR="0017410B" w:rsidRPr="001D6BE8" w14:paraId="08BC547B" w14:textId="77777777" w:rsidTr="001741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1BECBAFA" w14:textId="77777777" w:rsidR="0017410B" w:rsidRPr="00675F21" w:rsidRDefault="0017410B" w:rsidP="0017410B">
            <w:pPr>
              <w:pStyle w:val="08-Tabelageral"/>
              <w:ind w:left="113"/>
              <w:jc w:val="left"/>
              <w:rPr>
                <w:rFonts w:cs="Arial"/>
                <w:snapToGrid w:val="0"/>
              </w:rPr>
            </w:pPr>
            <w:r w:rsidRPr="00675F21">
              <w:rPr>
                <w:rFonts w:cs="Arial"/>
              </w:rPr>
              <w:t>Evento</w:t>
            </w:r>
            <w:r>
              <w:rPr>
                <w:rFonts w:cs="Arial"/>
              </w:rPr>
              <w:t>s</w:t>
            </w:r>
            <w:r w:rsidRPr="00675F21">
              <w:rPr>
                <w:rFonts w:cs="Arial"/>
              </w:rPr>
              <w:t xml:space="preserve"> Extraordinário</w:t>
            </w:r>
            <w:r>
              <w:rPr>
                <w:rFonts w:cs="Arial"/>
              </w:rPr>
              <w:t>s</w:t>
            </w:r>
          </w:p>
        </w:tc>
        <w:tc>
          <w:tcPr>
            <w:tcW w:w="1860" w:type="dxa"/>
            <w:tcBorders>
              <w:top w:val="nil"/>
              <w:bottom w:val="nil"/>
            </w:tcBorders>
            <w:vAlign w:val="center"/>
          </w:tcPr>
          <w:p w14:paraId="63CDCC54" w14:textId="77777777" w:rsidR="0017410B" w:rsidRPr="00BA653A"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BA653A">
              <w:rPr>
                <w:rFonts w:cs="Arial"/>
                <w:b/>
                <w:bCs/>
                <w:color w:val="auto"/>
                <w:szCs w:val="14"/>
              </w:rPr>
              <w:t>(26.400)</w:t>
            </w:r>
          </w:p>
        </w:tc>
        <w:tc>
          <w:tcPr>
            <w:tcW w:w="1860" w:type="dxa"/>
            <w:tcBorders>
              <w:top w:val="nil"/>
              <w:bottom w:val="nil"/>
            </w:tcBorders>
            <w:vAlign w:val="center"/>
          </w:tcPr>
          <w:p w14:paraId="6924A59A" w14:textId="77777777" w:rsidR="0017410B" w:rsidRPr="00BA653A"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b/>
                <w:bCs/>
                <w:szCs w:val="14"/>
              </w:rPr>
            </w:pPr>
            <w:r w:rsidRPr="00BA653A">
              <w:rPr>
                <w:rFonts w:cs="Arial"/>
                <w:b/>
                <w:bCs/>
                <w:szCs w:val="14"/>
              </w:rPr>
              <w:t>2.352.515</w:t>
            </w:r>
          </w:p>
        </w:tc>
        <w:tc>
          <w:tcPr>
            <w:tcW w:w="1853" w:type="dxa"/>
            <w:tcBorders>
              <w:top w:val="nil"/>
              <w:bottom w:val="nil"/>
            </w:tcBorders>
            <w:vAlign w:val="center"/>
          </w:tcPr>
          <w:p w14:paraId="3DF20526" w14:textId="77777777" w:rsidR="0017410B" w:rsidRPr="00BA653A"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rPr>
            </w:pPr>
            <w:r w:rsidRPr="00BA653A">
              <w:rPr>
                <w:rFonts w:cs="Arial"/>
                <w:b/>
                <w:bCs/>
                <w:color w:val="auto"/>
                <w:szCs w:val="14"/>
              </w:rPr>
              <w:t>-</w:t>
            </w:r>
          </w:p>
        </w:tc>
      </w:tr>
      <w:tr w:rsidR="0017410B" w:rsidRPr="001D6BE8" w14:paraId="516268F5" w14:textId="77777777" w:rsidTr="0017410B">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3C01A5B6" w14:textId="77777777" w:rsidR="0017410B" w:rsidRPr="00573220" w:rsidRDefault="0017410B" w:rsidP="0017410B">
            <w:pPr>
              <w:pStyle w:val="08-Tabelageral"/>
              <w:ind w:left="113"/>
              <w:jc w:val="left"/>
              <w:rPr>
                <w:rFonts w:cs="Arial"/>
                <w:b w:val="0"/>
              </w:rPr>
            </w:pPr>
            <w:r w:rsidRPr="00573220">
              <w:rPr>
                <w:rFonts w:cs="Arial"/>
                <w:b w:val="0"/>
              </w:rPr>
              <w:t>BB Seguros: Desinvestimento IRB Brasil RE</w:t>
            </w:r>
          </w:p>
        </w:tc>
        <w:tc>
          <w:tcPr>
            <w:tcW w:w="1860" w:type="dxa"/>
            <w:tcBorders>
              <w:top w:val="nil"/>
              <w:bottom w:val="nil"/>
            </w:tcBorders>
            <w:vAlign w:val="center"/>
          </w:tcPr>
          <w:p w14:paraId="263F0558" w14:textId="77777777" w:rsidR="0017410B" w:rsidRPr="00573220"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860" w:type="dxa"/>
            <w:tcBorders>
              <w:top w:val="nil"/>
              <w:bottom w:val="nil"/>
            </w:tcBorders>
            <w:vAlign w:val="center"/>
          </w:tcPr>
          <w:p w14:paraId="5ABCCCB8" w14:textId="77777777" w:rsidR="0017410B"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2.320.461</w:t>
            </w:r>
          </w:p>
        </w:tc>
        <w:tc>
          <w:tcPr>
            <w:tcW w:w="1853" w:type="dxa"/>
            <w:tcBorders>
              <w:top w:val="nil"/>
              <w:bottom w:val="nil"/>
            </w:tcBorders>
            <w:vAlign w:val="center"/>
          </w:tcPr>
          <w:p w14:paraId="1806A130" w14:textId="77777777" w:rsidR="0017410B"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r>
      <w:tr w:rsidR="0017410B" w:rsidRPr="001D6BE8" w14:paraId="01F6C397" w14:textId="77777777" w:rsidTr="001741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47615386" w14:textId="77777777" w:rsidR="0017410B" w:rsidRPr="00BA653A" w:rsidRDefault="0017410B" w:rsidP="0017410B">
            <w:pPr>
              <w:pStyle w:val="08-Tabelageral"/>
              <w:ind w:left="113"/>
              <w:jc w:val="left"/>
              <w:rPr>
                <w:rFonts w:cs="Arial"/>
                <w:b w:val="0"/>
                <w:bCs w:val="0"/>
              </w:rPr>
            </w:pPr>
            <w:proofErr w:type="spellStart"/>
            <w:r>
              <w:rPr>
                <w:rFonts w:cs="Arial"/>
                <w:b w:val="0"/>
                <w:bCs w:val="0"/>
              </w:rPr>
              <w:t>Brasilseg</w:t>
            </w:r>
            <w:proofErr w:type="spellEnd"/>
            <w:r>
              <w:rPr>
                <w:rFonts w:cs="Arial"/>
                <w:b w:val="0"/>
                <w:bCs w:val="0"/>
              </w:rPr>
              <w:t>: reversão de PPNG de seguros endossados</w:t>
            </w:r>
          </w:p>
        </w:tc>
        <w:tc>
          <w:tcPr>
            <w:tcW w:w="1860" w:type="dxa"/>
            <w:tcBorders>
              <w:top w:val="nil"/>
              <w:bottom w:val="nil"/>
            </w:tcBorders>
            <w:vAlign w:val="center"/>
          </w:tcPr>
          <w:p w14:paraId="7BCE1152" w14:textId="77777777" w:rsidR="0017410B"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w:t>
            </w:r>
          </w:p>
        </w:tc>
        <w:tc>
          <w:tcPr>
            <w:tcW w:w="1860" w:type="dxa"/>
            <w:tcBorders>
              <w:top w:val="nil"/>
              <w:bottom w:val="nil"/>
            </w:tcBorders>
            <w:vAlign w:val="center"/>
          </w:tcPr>
          <w:p w14:paraId="2B7B683B" w14:textId="77777777" w:rsidR="0017410B"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rPr>
            </w:pPr>
            <w:r>
              <w:rPr>
                <w:rFonts w:cs="Arial"/>
              </w:rPr>
              <w:t>12.375</w:t>
            </w:r>
          </w:p>
        </w:tc>
        <w:tc>
          <w:tcPr>
            <w:tcW w:w="1853" w:type="dxa"/>
            <w:tcBorders>
              <w:top w:val="nil"/>
              <w:bottom w:val="nil"/>
            </w:tcBorders>
            <w:vAlign w:val="center"/>
          </w:tcPr>
          <w:p w14:paraId="385A7993" w14:textId="77777777" w:rsidR="0017410B"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w:t>
            </w:r>
          </w:p>
        </w:tc>
      </w:tr>
      <w:tr w:rsidR="0017410B" w:rsidRPr="001D6BE8" w14:paraId="119A272D" w14:textId="77777777" w:rsidTr="0017410B">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72BA1A65" w14:textId="77777777" w:rsidR="0017410B" w:rsidRPr="00BA653A" w:rsidRDefault="0017410B" w:rsidP="0017410B">
            <w:pPr>
              <w:pStyle w:val="08-Tabelageral"/>
              <w:ind w:left="113"/>
              <w:jc w:val="left"/>
              <w:rPr>
                <w:rFonts w:cs="Arial"/>
                <w:b w:val="0"/>
                <w:bCs w:val="0"/>
              </w:rPr>
            </w:pPr>
            <w:proofErr w:type="spellStart"/>
            <w:r>
              <w:rPr>
                <w:rFonts w:cs="Arial"/>
                <w:b w:val="0"/>
                <w:bCs w:val="0"/>
              </w:rPr>
              <w:t>Brasilprev</w:t>
            </w:r>
            <w:proofErr w:type="spellEnd"/>
            <w:r>
              <w:rPr>
                <w:rFonts w:cs="Arial"/>
                <w:b w:val="0"/>
                <w:bCs w:val="0"/>
              </w:rPr>
              <w:t>: reversão de PDR</w:t>
            </w:r>
          </w:p>
        </w:tc>
        <w:tc>
          <w:tcPr>
            <w:tcW w:w="1860" w:type="dxa"/>
            <w:tcBorders>
              <w:top w:val="nil"/>
              <w:bottom w:val="nil"/>
            </w:tcBorders>
            <w:vAlign w:val="center"/>
          </w:tcPr>
          <w:p w14:paraId="68938AC7" w14:textId="77777777" w:rsidR="0017410B"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b/>
              </w:rPr>
            </w:pPr>
            <w:r>
              <w:rPr>
                <w:rFonts w:cs="Arial"/>
                <w:b/>
              </w:rPr>
              <w:t>-</w:t>
            </w:r>
          </w:p>
        </w:tc>
        <w:tc>
          <w:tcPr>
            <w:tcW w:w="1860" w:type="dxa"/>
            <w:tcBorders>
              <w:top w:val="nil"/>
              <w:bottom w:val="nil"/>
            </w:tcBorders>
            <w:vAlign w:val="center"/>
          </w:tcPr>
          <w:p w14:paraId="7F3FEF66" w14:textId="77777777" w:rsidR="0017410B"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rPr>
            </w:pPr>
            <w:r>
              <w:rPr>
                <w:rFonts w:cs="Arial"/>
              </w:rPr>
              <w:t>19.679</w:t>
            </w:r>
          </w:p>
        </w:tc>
        <w:tc>
          <w:tcPr>
            <w:tcW w:w="1853" w:type="dxa"/>
            <w:tcBorders>
              <w:top w:val="nil"/>
              <w:bottom w:val="nil"/>
            </w:tcBorders>
            <w:vAlign w:val="center"/>
          </w:tcPr>
          <w:p w14:paraId="52D0069A" w14:textId="77777777" w:rsidR="0017410B"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w:t>
            </w:r>
          </w:p>
        </w:tc>
      </w:tr>
      <w:tr w:rsidR="0017410B" w:rsidRPr="001D6BE8" w14:paraId="3DC503DE" w14:textId="77777777" w:rsidTr="0017410B">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tcPr>
          <w:p w14:paraId="61DDAC08" w14:textId="77777777" w:rsidR="0017410B" w:rsidRPr="002A6B1F" w:rsidRDefault="0017410B" w:rsidP="0017410B">
            <w:pPr>
              <w:pStyle w:val="08-Tabelageral"/>
              <w:ind w:left="113"/>
              <w:jc w:val="left"/>
              <w:rPr>
                <w:rFonts w:cs="Arial"/>
                <w:b w:val="0"/>
                <w:snapToGrid w:val="0"/>
              </w:rPr>
            </w:pPr>
            <w:r>
              <w:rPr>
                <w:rFonts w:cs="Arial"/>
                <w:b w:val="0"/>
              </w:rPr>
              <w:t>BB Corretora: Doação contra Covid-19</w:t>
            </w:r>
          </w:p>
        </w:tc>
        <w:tc>
          <w:tcPr>
            <w:tcW w:w="1860" w:type="dxa"/>
            <w:tcBorders>
              <w:top w:val="nil"/>
              <w:bottom w:val="nil"/>
            </w:tcBorders>
            <w:vAlign w:val="center"/>
          </w:tcPr>
          <w:p w14:paraId="101DA213" w14:textId="77777777" w:rsidR="0017410B" w:rsidRPr="0066080B"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rPr>
              <w:t>(26.400)</w:t>
            </w:r>
          </w:p>
        </w:tc>
        <w:tc>
          <w:tcPr>
            <w:tcW w:w="1860" w:type="dxa"/>
            <w:tcBorders>
              <w:top w:val="nil"/>
              <w:bottom w:val="nil"/>
            </w:tcBorders>
            <w:vAlign w:val="center"/>
          </w:tcPr>
          <w:p w14:paraId="5BDF6D58" w14:textId="77777777" w:rsidR="0017410B" w:rsidRPr="002A6B1F"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szCs w:val="14"/>
              </w:rPr>
            </w:pPr>
            <w:r>
              <w:rPr>
                <w:rFonts w:cs="Arial"/>
              </w:rPr>
              <w:t>-</w:t>
            </w:r>
          </w:p>
        </w:tc>
        <w:tc>
          <w:tcPr>
            <w:tcW w:w="1853" w:type="dxa"/>
            <w:tcBorders>
              <w:top w:val="nil"/>
              <w:bottom w:val="nil"/>
            </w:tcBorders>
            <w:vAlign w:val="center"/>
          </w:tcPr>
          <w:p w14:paraId="2572BCE2" w14:textId="77777777" w:rsidR="0017410B" w:rsidRPr="00605543" w:rsidRDefault="0017410B" w:rsidP="0017410B">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Pr>
                <w:rFonts w:cs="Arial"/>
                <w:color w:val="auto"/>
                <w:szCs w:val="14"/>
              </w:rPr>
              <w:t>-</w:t>
            </w:r>
          </w:p>
        </w:tc>
      </w:tr>
      <w:tr w:rsidR="0017410B" w:rsidRPr="001D6BE8" w14:paraId="520D5FC0" w14:textId="77777777" w:rsidTr="0017410B">
        <w:trPr>
          <w:trHeight w:hRule="exact" w:val="357"/>
        </w:trPr>
        <w:tc>
          <w:tcPr>
            <w:cnfStyle w:val="001000000000" w:firstRow="0" w:lastRow="0" w:firstColumn="1" w:lastColumn="0" w:oddVBand="0" w:evenVBand="0" w:oddHBand="0" w:evenHBand="0" w:firstRowFirstColumn="0" w:firstRowLastColumn="0" w:lastRowFirstColumn="0" w:lastRowLastColumn="0"/>
            <w:tcW w:w="4066" w:type="dxa"/>
            <w:tcBorders>
              <w:top w:val="nil"/>
              <w:bottom w:val="nil"/>
            </w:tcBorders>
            <w:vAlign w:val="center"/>
          </w:tcPr>
          <w:p w14:paraId="4A32265A" w14:textId="77777777" w:rsidR="0017410B" w:rsidRPr="00675F21" w:rsidRDefault="0017410B" w:rsidP="0017410B">
            <w:pPr>
              <w:pStyle w:val="08-Tabelageral"/>
              <w:jc w:val="left"/>
              <w:rPr>
                <w:rFonts w:cs="Arial"/>
                <w:snapToGrid w:val="0"/>
              </w:rPr>
            </w:pPr>
            <w:r>
              <w:rPr>
                <w:rFonts w:cs="Arial"/>
              </w:rPr>
              <w:t xml:space="preserve">Lucro líquido </w:t>
            </w:r>
          </w:p>
        </w:tc>
        <w:tc>
          <w:tcPr>
            <w:tcW w:w="1860" w:type="dxa"/>
            <w:tcBorders>
              <w:top w:val="nil"/>
              <w:bottom w:val="nil"/>
            </w:tcBorders>
            <w:vAlign w:val="center"/>
          </w:tcPr>
          <w:p w14:paraId="00F62836" w14:textId="77777777" w:rsidR="0017410B" w:rsidRPr="0066080B"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5A3E08">
              <w:rPr>
                <w:rFonts w:cs="Arial"/>
                <w:b/>
                <w:bCs/>
                <w:color w:val="auto"/>
                <w:szCs w:val="14"/>
              </w:rPr>
              <w:t>3.850.771</w:t>
            </w:r>
          </w:p>
        </w:tc>
        <w:tc>
          <w:tcPr>
            <w:tcW w:w="1860" w:type="dxa"/>
            <w:tcBorders>
              <w:top w:val="nil"/>
              <w:bottom w:val="nil"/>
            </w:tcBorders>
            <w:vAlign w:val="center"/>
          </w:tcPr>
          <w:p w14:paraId="7E71471A" w14:textId="77777777" w:rsidR="0017410B" w:rsidRPr="002A6B1F"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r w:rsidRPr="003B21BB">
              <w:rPr>
                <w:rFonts w:cs="Arial"/>
                <w:b/>
                <w:bCs/>
                <w:color w:val="auto"/>
                <w:szCs w:val="14"/>
              </w:rPr>
              <w:t>6.658.781</w:t>
            </w:r>
          </w:p>
        </w:tc>
        <w:tc>
          <w:tcPr>
            <w:tcW w:w="1853" w:type="dxa"/>
            <w:tcBorders>
              <w:top w:val="nil"/>
              <w:bottom w:val="nil"/>
            </w:tcBorders>
            <w:vAlign w:val="center"/>
          </w:tcPr>
          <w:p w14:paraId="5AC1A615" w14:textId="77777777" w:rsidR="0017410B" w:rsidRPr="00675F21" w:rsidRDefault="0017410B" w:rsidP="0017410B">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rPr>
            </w:pPr>
            <w:r w:rsidRPr="000244FC">
              <w:rPr>
                <w:rFonts w:cs="Arial"/>
                <w:b/>
                <w:bCs/>
                <w:color w:val="auto"/>
                <w:szCs w:val="14"/>
              </w:rPr>
              <w:t>(42,2)</w:t>
            </w:r>
          </w:p>
        </w:tc>
      </w:tr>
      <w:bookmarkEnd w:id="1"/>
    </w:tbl>
    <w:p w14:paraId="51214E41" w14:textId="77777777" w:rsidR="00CB06D1" w:rsidRDefault="00CB06D1" w:rsidP="008B50E2">
      <w:pPr>
        <w:pStyle w:val="01-Textonormal"/>
        <w:rPr>
          <w:rFonts w:cs="Arial"/>
        </w:rPr>
      </w:pPr>
    </w:p>
    <w:p w14:paraId="161811F5" w14:textId="30979244" w:rsidR="008B50E2" w:rsidRPr="008B50E2" w:rsidRDefault="008B50E2" w:rsidP="008B50E2">
      <w:pPr>
        <w:pStyle w:val="01-Textonormal"/>
        <w:rPr>
          <w:rFonts w:cs="Arial"/>
        </w:rPr>
      </w:pPr>
      <w:r w:rsidRPr="008B50E2">
        <w:rPr>
          <w:rFonts w:cs="Arial"/>
        </w:rPr>
        <w:t xml:space="preserve">Descontando os eventos </w:t>
      </w:r>
      <w:r w:rsidR="004037CC" w:rsidRPr="008B50E2">
        <w:rPr>
          <w:rFonts w:cs="Arial"/>
        </w:rPr>
        <w:t xml:space="preserve">classificados como extraordinários </w:t>
      </w:r>
      <w:r w:rsidRPr="008B50E2">
        <w:rPr>
          <w:rFonts w:cs="Arial"/>
        </w:rPr>
        <w:t>mencionados acima</w:t>
      </w:r>
      <w:r w:rsidR="004037CC">
        <w:rPr>
          <w:rFonts w:cs="Arial"/>
        </w:rPr>
        <w:t>,</w:t>
      </w:r>
      <w:r w:rsidRPr="008B50E2">
        <w:rPr>
          <w:rFonts w:cs="Arial"/>
        </w:rPr>
        <w:t xml:space="preserve"> que afetaram as receitas de investimentos em participações societárias, o lucro líquido ajustado </w:t>
      </w:r>
      <w:r>
        <w:rPr>
          <w:rFonts w:cs="Arial"/>
        </w:rPr>
        <w:t>contraiu 10,0</w:t>
      </w:r>
      <w:r w:rsidRPr="008B50E2">
        <w:rPr>
          <w:rFonts w:cs="Arial"/>
        </w:rPr>
        <w:t>%, atingindo R$</w:t>
      </w:r>
      <w:r>
        <w:rPr>
          <w:rFonts w:cs="Arial"/>
        </w:rPr>
        <w:t>3</w:t>
      </w:r>
      <w:r w:rsidRPr="008B50E2">
        <w:rPr>
          <w:rFonts w:cs="Arial"/>
        </w:rPr>
        <w:t>.</w:t>
      </w:r>
      <w:r>
        <w:rPr>
          <w:rFonts w:cs="Arial"/>
        </w:rPr>
        <w:t>877,2</w:t>
      </w:r>
      <w:r w:rsidRPr="008B50E2">
        <w:rPr>
          <w:rFonts w:cs="Arial"/>
        </w:rPr>
        <w:t xml:space="preserve"> milhões. </w:t>
      </w:r>
      <w:r w:rsidR="002C4409">
        <w:rPr>
          <w:rFonts w:cs="Arial"/>
        </w:rPr>
        <w:t>Dentre os</w:t>
      </w:r>
      <w:r w:rsidRPr="008B50E2">
        <w:rPr>
          <w:rFonts w:cs="Arial"/>
        </w:rPr>
        <w:t xml:space="preserve"> fatores que explicam a </w:t>
      </w:r>
      <w:r w:rsidR="002C4409">
        <w:rPr>
          <w:rFonts w:cs="Arial"/>
        </w:rPr>
        <w:t>redução</w:t>
      </w:r>
      <w:r w:rsidRPr="008B50E2">
        <w:rPr>
          <w:rFonts w:cs="Arial"/>
        </w:rPr>
        <w:t xml:space="preserve"> de R$</w:t>
      </w:r>
      <w:r w:rsidR="002C4409">
        <w:rPr>
          <w:rFonts w:cs="Arial"/>
        </w:rPr>
        <w:t>429,1</w:t>
      </w:r>
      <w:r w:rsidRPr="008B50E2">
        <w:rPr>
          <w:rFonts w:cs="Arial"/>
        </w:rPr>
        <w:t xml:space="preserve"> milhões</w:t>
      </w:r>
      <w:r w:rsidR="002C4409">
        <w:rPr>
          <w:rFonts w:cs="Arial"/>
        </w:rPr>
        <w:t xml:space="preserve"> </w:t>
      </w:r>
      <w:r w:rsidR="003B01A1">
        <w:rPr>
          <w:rFonts w:cs="Arial"/>
        </w:rPr>
        <w:t>do lucro líquido</w:t>
      </w:r>
      <w:r w:rsidR="00C33285">
        <w:rPr>
          <w:rFonts w:cs="Arial"/>
        </w:rPr>
        <w:t xml:space="preserve"> </w:t>
      </w:r>
      <w:r w:rsidR="003B01A1">
        <w:rPr>
          <w:rFonts w:cs="Arial"/>
        </w:rPr>
        <w:t>d</w:t>
      </w:r>
      <w:r w:rsidR="002C4409">
        <w:rPr>
          <w:rFonts w:cs="Arial"/>
        </w:rPr>
        <w:t xml:space="preserve">o ano, </w:t>
      </w:r>
      <w:r w:rsidR="003B01A1">
        <w:rPr>
          <w:rFonts w:cs="Arial"/>
        </w:rPr>
        <w:t xml:space="preserve">em bases recorrentes, </w:t>
      </w:r>
      <w:r w:rsidR="002C4409">
        <w:rPr>
          <w:rFonts w:cs="Arial"/>
        </w:rPr>
        <w:t>destacam-se</w:t>
      </w:r>
      <w:r w:rsidRPr="008B50E2">
        <w:rPr>
          <w:rFonts w:cs="Arial"/>
        </w:rPr>
        <w:t>:</w:t>
      </w:r>
    </w:p>
    <w:p w14:paraId="065D2ECA" w14:textId="4820D75A" w:rsidR="002C4409" w:rsidRPr="002C4409" w:rsidRDefault="002C4409" w:rsidP="0017410B">
      <w:pPr>
        <w:pStyle w:val="01-Textonormal"/>
        <w:numPr>
          <w:ilvl w:val="0"/>
          <w:numId w:val="31"/>
        </w:numPr>
        <w:rPr>
          <w:rFonts w:cs="Arial"/>
        </w:rPr>
      </w:pPr>
      <w:proofErr w:type="spellStart"/>
      <w:r w:rsidRPr="002C4409">
        <w:rPr>
          <w:rFonts w:cs="Arial"/>
          <w:b/>
          <w:bCs/>
        </w:rPr>
        <w:t>Brasilprev</w:t>
      </w:r>
      <w:proofErr w:type="spellEnd"/>
      <w:r w:rsidRPr="002C4409">
        <w:rPr>
          <w:rFonts w:cs="Arial"/>
          <w:b/>
          <w:bCs/>
        </w:rPr>
        <w:t xml:space="preserve"> (-R$358,</w:t>
      </w:r>
      <w:r w:rsidR="00273D83">
        <w:rPr>
          <w:rFonts w:cs="Arial"/>
          <w:b/>
          <w:bCs/>
        </w:rPr>
        <w:t>4</w:t>
      </w:r>
      <w:r w:rsidRPr="002C4409">
        <w:rPr>
          <w:rFonts w:cs="Arial"/>
          <w:b/>
          <w:bCs/>
        </w:rPr>
        <w:t xml:space="preserve"> milhões):</w:t>
      </w:r>
      <w:r w:rsidRPr="002C4409">
        <w:rPr>
          <w:rFonts w:cs="Arial"/>
        </w:rPr>
        <w:t xml:space="preserve"> em função do resultado financeiro negativo no ano, </w:t>
      </w:r>
      <w:r w:rsidRPr="002C4409">
        <w:rPr>
          <w:bCs/>
        </w:rPr>
        <w:t xml:space="preserve">motivado pelo diferencial nos índices de inflação que atualizaram os ativos (IPCA e IGP-M acumulado entre </w:t>
      </w:r>
      <w:r w:rsidR="0089001E">
        <w:rPr>
          <w:bCs/>
        </w:rPr>
        <w:t xml:space="preserve">janeiro e dezembro </w:t>
      </w:r>
      <w:r>
        <w:rPr>
          <w:bCs/>
        </w:rPr>
        <w:t>de 2020</w:t>
      </w:r>
      <w:r w:rsidRPr="002C4409">
        <w:rPr>
          <w:bCs/>
        </w:rPr>
        <w:t>) e passivos (IGP-M com defasagem média de um mês) dos planos de benefício definido</w:t>
      </w:r>
      <w:r>
        <w:rPr>
          <w:bCs/>
        </w:rPr>
        <w:t>;</w:t>
      </w:r>
    </w:p>
    <w:p w14:paraId="5876BB7A" w14:textId="659453BC" w:rsidR="002C4409" w:rsidRPr="002C4409" w:rsidRDefault="002C4409" w:rsidP="0017410B">
      <w:pPr>
        <w:pStyle w:val="01-Textonormal"/>
        <w:numPr>
          <w:ilvl w:val="0"/>
          <w:numId w:val="31"/>
        </w:numPr>
        <w:rPr>
          <w:rFonts w:cs="Arial"/>
        </w:rPr>
      </w:pPr>
      <w:r w:rsidRPr="002C4409">
        <w:rPr>
          <w:rFonts w:cs="Arial"/>
          <w:b/>
          <w:bCs/>
        </w:rPr>
        <w:t>Resultado de equivalência do IRB Brasil RE (-R$118,8 milhões):</w:t>
      </w:r>
      <w:r w:rsidRPr="002C4409">
        <w:rPr>
          <w:rFonts w:cs="Arial"/>
        </w:rPr>
        <w:t xml:space="preserve"> operação alienada em julho de 2019; e</w:t>
      </w:r>
    </w:p>
    <w:p w14:paraId="5E032610" w14:textId="2009A30F" w:rsidR="002C4409" w:rsidRPr="002C4409" w:rsidRDefault="002C4409" w:rsidP="002C4409">
      <w:pPr>
        <w:pStyle w:val="01-Textonormal"/>
        <w:numPr>
          <w:ilvl w:val="0"/>
          <w:numId w:val="31"/>
        </w:numPr>
        <w:rPr>
          <w:rFonts w:cs="Arial"/>
        </w:rPr>
      </w:pPr>
      <w:r w:rsidRPr="002C4409">
        <w:rPr>
          <w:rFonts w:cs="Arial"/>
          <w:b/>
          <w:bCs/>
        </w:rPr>
        <w:t>Resultado financeiro líquido da holding (-R$7</w:t>
      </w:r>
      <w:r w:rsidR="009C73C9">
        <w:rPr>
          <w:rFonts w:cs="Arial"/>
          <w:b/>
          <w:bCs/>
        </w:rPr>
        <w:t>3</w:t>
      </w:r>
      <w:r w:rsidRPr="002C4409">
        <w:rPr>
          <w:rFonts w:cs="Arial"/>
          <w:b/>
          <w:bCs/>
        </w:rPr>
        <w:t>,6 milhões):</w:t>
      </w:r>
      <w:r w:rsidRPr="002C4409">
        <w:rPr>
          <w:rFonts w:cs="Arial"/>
        </w:rPr>
        <w:t xml:space="preserve"> </w:t>
      </w:r>
      <w:r w:rsidR="00674500" w:rsidRPr="00674500">
        <w:t xml:space="preserve">impactado </w:t>
      </w:r>
      <w:r w:rsidR="00A91516">
        <w:t>pela redução no saldo de aplicações financeiras</w:t>
      </w:r>
      <w:r w:rsidR="00674500" w:rsidRPr="00674500">
        <w:t xml:space="preserve">, decorrente da </w:t>
      </w:r>
      <w:r w:rsidR="00A91516">
        <w:t>restituição</w:t>
      </w:r>
      <w:r w:rsidR="00674500" w:rsidRPr="00674500">
        <w:t xml:space="preserve"> de capital</w:t>
      </w:r>
      <w:r w:rsidR="00A91516">
        <w:t xml:space="preserve"> aos acionistas</w:t>
      </w:r>
      <w:r w:rsidR="00674500" w:rsidRPr="00674500">
        <w:t xml:space="preserve"> e da distribuição dos recursos provenientes da alienação da participação no IRB</w:t>
      </w:r>
      <w:r w:rsidR="00674500">
        <w:t xml:space="preserve"> Brasil</w:t>
      </w:r>
      <w:r w:rsidR="00674500" w:rsidRPr="00674500">
        <w:t>, e pela redução da taxa Selic</w:t>
      </w:r>
      <w:r w:rsidR="00674500">
        <w:t>.</w:t>
      </w:r>
    </w:p>
    <w:p w14:paraId="01B1FF43" w14:textId="6D8E4502" w:rsidR="00BA653A" w:rsidRPr="0089001E" w:rsidRDefault="002C4409" w:rsidP="0089001E">
      <w:pPr>
        <w:pStyle w:val="01-Textonormal"/>
        <w:rPr>
          <w:rFonts w:cs="Arial"/>
        </w:rPr>
      </w:pPr>
      <w:r w:rsidRPr="002C4409">
        <w:rPr>
          <w:rFonts w:cs="Arial"/>
        </w:rPr>
        <w:t>Por outro lado, os efeitos acima foram parcialmente compensados pelo crescimento do resultado pr</w:t>
      </w:r>
      <w:r w:rsidR="0017410B">
        <w:rPr>
          <w:rFonts w:cs="Arial"/>
        </w:rPr>
        <w:t>o</w:t>
      </w:r>
      <w:r w:rsidRPr="002C4409">
        <w:rPr>
          <w:rFonts w:cs="Arial"/>
        </w:rPr>
        <w:t xml:space="preserve">veniente da BB Corretora (+R$82,9 milhões), com incremento das receitas de corretagem e melhora da margem operacional, e pelo aumento dos resultados advindos da Brasilcap (+R$38,5 milhões) e </w:t>
      </w:r>
      <w:r w:rsidR="0017410B">
        <w:rPr>
          <w:rFonts w:cs="Arial"/>
        </w:rPr>
        <w:t xml:space="preserve">da </w:t>
      </w:r>
      <w:proofErr w:type="spellStart"/>
      <w:r w:rsidRPr="002C4409">
        <w:rPr>
          <w:rFonts w:cs="Arial"/>
        </w:rPr>
        <w:t>Brasilseg</w:t>
      </w:r>
      <w:proofErr w:type="spellEnd"/>
      <w:r w:rsidRPr="002C4409">
        <w:rPr>
          <w:rFonts w:cs="Arial"/>
        </w:rPr>
        <w:t xml:space="preserve"> (+R$25,9 milhões)</w:t>
      </w:r>
      <w:r w:rsidR="0017410B">
        <w:rPr>
          <w:rFonts w:cs="Arial"/>
        </w:rPr>
        <w:t>.</w:t>
      </w:r>
      <w:r w:rsidR="0089001E">
        <w:rPr>
          <w:rFonts w:cs="Arial"/>
        </w:rPr>
        <w:t xml:space="preserve"> </w:t>
      </w:r>
      <w:r w:rsidR="0017410B">
        <w:rPr>
          <w:rFonts w:cs="Arial"/>
        </w:rPr>
        <w:t xml:space="preserve">Os desempenhos </w:t>
      </w:r>
      <w:r w:rsidR="0089001E">
        <w:rPr>
          <w:rFonts w:cs="Arial"/>
        </w:rPr>
        <w:t xml:space="preserve">individuais </w:t>
      </w:r>
      <w:r w:rsidR="0017410B">
        <w:rPr>
          <w:rFonts w:cs="Arial"/>
        </w:rPr>
        <w:t>das investidas serão detalhados</w:t>
      </w:r>
      <w:r w:rsidR="00A91516">
        <w:rPr>
          <w:rFonts w:cs="Arial"/>
        </w:rPr>
        <w:t xml:space="preserve"> com maior profundidade</w:t>
      </w:r>
      <w:r w:rsidR="0017410B">
        <w:rPr>
          <w:rFonts w:cs="Arial"/>
        </w:rPr>
        <w:t xml:space="preserve"> a seguir.</w:t>
      </w:r>
      <w:r w:rsidR="00BA653A">
        <w:rPr>
          <w:b/>
          <w:sz w:val="14"/>
        </w:rPr>
        <w:tab/>
      </w:r>
      <w:r w:rsidR="00BA653A">
        <w:rPr>
          <w:b/>
          <w:sz w:val="14"/>
        </w:rPr>
        <w:tab/>
      </w:r>
    </w:p>
    <w:p w14:paraId="276F6481" w14:textId="5445DBFB" w:rsidR="00DD308B" w:rsidRPr="00DD308B" w:rsidRDefault="00A91516" w:rsidP="00A91516">
      <w:pPr>
        <w:pStyle w:val="05-Textonormal"/>
        <w:rPr>
          <w:rFonts w:cs="Arial"/>
        </w:rPr>
      </w:pPr>
      <w:r>
        <w:rPr>
          <w:rFonts w:cs="Arial"/>
        </w:rPr>
        <w:t>A linha de outras receitas e despesas cresceu</w:t>
      </w:r>
      <w:r w:rsidR="008330E6">
        <w:rPr>
          <w:rFonts w:cs="Arial"/>
        </w:rPr>
        <w:t xml:space="preserve"> 21,9% </w:t>
      </w:r>
      <w:r w:rsidR="004D6DAC">
        <w:rPr>
          <w:rFonts w:cs="Arial"/>
        </w:rPr>
        <w:t xml:space="preserve">no ano. Cabe ressaltar que em 2019 </w:t>
      </w:r>
      <w:r w:rsidR="00AB7742">
        <w:rPr>
          <w:rFonts w:cs="Arial"/>
        </w:rPr>
        <w:t xml:space="preserve">a </w:t>
      </w:r>
      <w:r>
        <w:rPr>
          <w:rFonts w:cs="Arial"/>
        </w:rPr>
        <w:t>rubrica foi</w:t>
      </w:r>
      <w:r w:rsidR="004D6DAC">
        <w:rPr>
          <w:rFonts w:cs="Arial"/>
        </w:rPr>
        <w:t xml:space="preserve"> beneficiada por um </w:t>
      </w:r>
      <w:r w:rsidR="00A371E3">
        <w:rPr>
          <w:rFonts w:cs="Arial"/>
        </w:rPr>
        <w:t xml:space="preserve">volume </w:t>
      </w:r>
      <w:r w:rsidR="004D6DAC">
        <w:rPr>
          <w:rFonts w:cs="Arial"/>
        </w:rPr>
        <w:t xml:space="preserve">mais elevado </w:t>
      </w:r>
      <w:r w:rsidR="00A371E3">
        <w:rPr>
          <w:rFonts w:cs="Arial"/>
        </w:rPr>
        <w:t>de receitas reconhecidas do programa de ADR Nível 1</w:t>
      </w:r>
      <w:r w:rsidR="004D6DAC">
        <w:rPr>
          <w:rFonts w:cs="Arial"/>
        </w:rPr>
        <w:t xml:space="preserve">, </w:t>
      </w:r>
      <w:r>
        <w:rPr>
          <w:rFonts w:cs="Arial"/>
        </w:rPr>
        <w:t xml:space="preserve">registrado em outras receitas operacionais, </w:t>
      </w:r>
      <w:r w:rsidR="004D6DAC">
        <w:rPr>
          <w:rFonts w:cs="Arial"/>
        </w:rPr>
        <w:t>em função do</w:t>
      </w:r>
      <w:r w:rsidR="00A371E3">
        <w:rPr>
          <w:rFonts w:cs="Arial"/>
        </w:rPr>
        <w:t xml:space="preserve"> recebimento de valores quando do término do contrato</w:t>
      </w:r>
      <w:r w:rsidR="004D6DAC">
        <w:rPr>
          <w:rFonts w:cs="Arial"/>
        </w:rPr>
        <w:t xml:space="preserve"> </w:t>
      </w:r>
      <w:r w:rsidR="00A371E3">
        <w:rPr>
          <w:rFonts w:cs="Arial"/>
        </w:rPr>
        <w:t>com o banco depositário anterior (Deutsche Bank)</w:t>
      </w:r>
      <w:r w:rsidR="004D6DAC">
        <w:rPr>
          <w:rFonts w:cs="Arial"/>
        </w:rPr>
        <w:t xml:space="preserve"> em abril de 2019, e pela reversão de </w:t>
      </w:r>
      <w:r w:rsidR="004D6DAC" w:rsidRPr="00DD308B">
        <w:rPr>
          <w:rFonts w:cs="Arial"/>
        </w:rPr>
        <w:t xml:space="preserve">R$1,8 milhão </w:t>
      </w:r>
      <w:r>
        <w:rPr>
          <w:rFonts w:cs="Arial"/>
        </w:rPr>
        <w:t xml:space="preserve">na despesa de pessoal, </w:t>
      </w:r>
      <w:r w:rsidR="004D6DAC">
        <w:rPr>
          <w:rFonts w:cs="Arial"/>
        </w:rPr>
        <w:t xml:space="preserve">referente à </w:t>
      </w:r>
      <w:r w:rsidR="004D6DAC" w:rsidRPr="00DD308B">
        <w:rPr>
          <w:rFonts w:cs="Arial"/>
        </w:rPr>
        <w:t>provisão constituída para aquisição de ações relativas a parcelas diferidas dos programas de remuneração variável dos administradores dos exercícios de 2014 e 2015, os quais se encerraram no 1T19</w:t>
      </w:r>
      <w:r w:rsidR="004D6DAC">
        <w:rPr>
          <w:rFonts w:cs="Arial"/>
        </w:rPr>
        <w:t xml:space="preserve">. </w:t>
      </w:r>
      <w:r>
        <w:rPr>
          <w:rFonts w:cs="Arial"/>
        </w:rPr>
        <w:t xml:space="preserve">As despesas tributárias de PIS e </w:t>
      </w:r>
      <w:proofErr w:type="spellStart"/>
      <w:r>
        <w:rPr>
          <w:rFonts w:cs="Arial"/>
        </w:rPr>
        <w:t>Cofins</w:t>
      </w:r>
      <w:proofErr w:type="spellEnd"/>
      <w:r>
        <w:rPr>
          <w:rFonts w:cs="Arial"/>
        </w:rPr>
        <w:t xml:space="preserve"> incidentes essencialmente sobre as receitas financeiras retraíram 60,5%, </w:t>
      </w:r>
      <w:r w:rsidR="00DD308B" w:rsidRPr="00DD308B">
        <w:rPr>
          <w:rFonts w:cs="Arial"/>
        </w:rPr>
        <w:t>em função da redução da taxa Selic e do saldo médio de aplicações financeiras</w:t>
      </w:r>
      <w:r w:rsidR="00397AF8">
        <w:rPr>
          <w:rFonts w:cs="Arial"/>
        </w:rPr>
        <w:t>.</w:t>
      </w:r>
    </w:p>
    <w:p w14:paraId="0B219005" w14:textId="77777777" w:rsidR="00BA653A" w:rsidRPr="00B35AB8" w:rsidRDefault="00BA653A" w:rsidP="005507F9">
      <w:pPr>
        <w:pStyle w:val="05-Textonormal"/>
        <w:rPr>
          <w:rFonts w:cs="Arial"/>
        </w:rPr>
      </w:pPr>
    </w:p>
    <w:p w14:paraId="4CB7CEEA" w14:textId="77777777" w:rsidR="005507F9" w:rsidRPr="005507F9" w:rsidRDefault="005507F9" w:rsidP="002E067B">
      <w:pPr>
        <w:pStyle w:val="01-TtulodeNota"/>
        <w:rPr>
          <w:color w:val="1F4E79" w:themeColor="accent1" w:themeShade="80"/>
        </w:rPr>
      </w:pPr>
      <w:r w:rsidRPr="005507F9">
        <w:rPr>
          <w:color w:val="1F4E79" w:themeColor="accent1" w:themeShade="80"/>
        </w:rPr>
        <w:t>Participações acionárias</w:t>
      </w:r>
    </w:p>
    <w:p w14:paraId="4289CA37" w14:textId="7B2D6554" w:rsidR="005507F9" w:rsidRDefault="005507F9" w:rsidP="005507F9">
      <w:pPr>
        <w:pStyle w:val="05-Textonormal"/>
        <w:rPr>
          <w:rFonts w:cs="Arial"/>
        </w:rPr>
      </w:pPr>
      <w:r w:rsidRPr="00BA7D25">
        <w:rPr>
          <w:rFonts w:cs="Arial"/>
        </w:rPr>
        <w:t xml:space="preserve">Atendendo ao art. 243 da Lei 6.404/76, o quadro a seguir relaciona os investimentos da BB Seguridade em </w:t>
      </w:r>
      <w:r w:rsidR="00323DE1">
        <w:rPr>
          <w:rFonts w:cs="Arial"/>
        </w:rPr>
        <w:t>empresas investidas</w:t>
      </w:r>
      <w:r w:rsidRPr="00BA7D25">
        <w:rPr>
          <w:rFonts w:cs="Arial"/>
        </w:rPr>
        <w:t>, bem como as modificações ocorridas durante o exercício:</w:t>
      </w:r>
    </w:p>
    <w:p w14:paraId="17952F38" w14:textId="2B9374FB" w:rsidR="00881997" w:rsidRDefault="00881997">
      <w:pPr>
        <w:spacing w:after="160" w:line="259" w:lineRule="auto"/>
        <w:rPr>
          <w:rFonts w:ascii="Arial" w:eastAsia="Times New Roman" w:hAnsi="Arial" w:cs="Arial"/>
          <w:spacing w:val="-2"/>
          <w:sz w:val="18"/>
          <w:szCs w:val="18"/>
          <w:lang w:eastAsia="pt-BR"/>
        </w:rPr>
      </w:pPr>
      <w:r>
        <w:rPr>
          <w:rFonts w:cs="Arial"/>
        </w:rPr>
        <w:br w:type="page"/>
      </w:r>
    </w:p>
    <w:p w14:paraId="1B33E272" w14:textId="0082A28F" w:rsidR="00A53DC3" w:rsidRDefault="00A53DC3" w:rsidP="00A53DC3">
      <w:pPr>
        <w:pStyle w:val="01-TtulodeNota"/>
        <w:rPr>
          <w:b w:val="0"/>
          <w:sz w:val="14"/>
        </w:rPr>
      </w:pPr>
      <w:r w:rsidRPr="009E060D">
        <w:rPr>
          <w:rFonts w:cs="Arial"/>
          <w:b w:val="0"/>
          <w:sz w:val="14"/>
          <w:szCs w:val="14"/>
        </w:rPr>
        <w:t xml:space="preserve">Tabela </w:t>
      </w:r>
      <w:r w:rsidRPr="009E060D">
        <w:rPr>
          <w:rFonts w:cs="Arial"/>
          <w:b w:val="0"/>
          <w:sz w:val="14"/>
          <w:szCs w:val="14"/>
        </w:rPr>
        <w:fldChar w:fldCharType="begin"/>
      </w:r>
      <w:r w:rsidRPr="009E060D">
        <w:rPr>
          <w:rFonts w:cs="Arial"/>
          <w:b w:val="0"/>
          <w:sz w:val="14"/>
          <w:szCs w:val="14"/>
        </w:rPr>
        <w:instrText xml:space="preserve"> SEQ Tabela \* ARABIC </w:instrText>
      </w:r>
      <w:r w:rsidRPr="009E060D">
        <w:rPr>
          <w:rFonts w:cs="Arial"/>
          <w:b w:val="0"/>
          <w:sz w:val="14"/>
          <w:szCs w:val="14"/>
        </w:rPr>
        <w:fldChar w:fldCharType="separate"/>
      </w:r>
      <w:r w:rsidR="0068396B">
        <w:rPr>
          <w:rFonts w:cs="Arial"/>
          <w:b w:val="0"/>
          <w:noProof/>
          <w:sz w:val="14"/>
          <w:szCs w:val="14"/>
        </w:rPr>
        <w:t>3</w:t>
      </w:r>
      <w:r w:rsidRPr="009E060D">
        <w:rPr>
          <w:rFonts w:cs="Arial"/>
          <w:b w:val="0"/>
          <w:noProof/>
          <w:sz w:val="14"/>
          <w:szCs w:val="14"/>
        </w:rPr>
        <w:fldChar w:fldCharType="end"/>
      </w:r>
      <w:r w:rsidRPr="002A6B1F">
        <w:rPr>
          <w:b w:val="0"/>
          <w:sz w:val="14"/>
        </w:rPr>
        <w:t xml:space="preserve"> – Desempenho econômico-financeiro | </w:t>
      </w:r>
      <w:r w:rsidR="00DE7760">
        <w:rPr>
          <w:b w:val="0"/>
          <w:sz w:val="14"/>
        </w:rPr>
        <w:t>Participações Acionárias</w:t>
      </w:r>
    </w:p>
    <w:tbl>
      <w:tblPr>
        <w:tblStyle w:val="TabeladeLista6Colorida-nfase5"/>
        <w:tblW w:w="9639" w:type="dxa"/>
        <w:tblLook w:val="04A0" w:firstRow="1" w:lastRow="0" w:firstColumn="1" w:lastColumn="0" w:noHBand="0" w:noVBand="1"/>
      </w:tblPr>
      <w:tblGrid>
        <w:gridCol w:w="2101"/>
        <w:gridCol w:w="1407"/>
        <w:gridCol w:w="1408"/>
        <w:gridCol w:w="1404"/>
        <w:gridCol w:w="1405"/>
        <w:gridCol w:w="1914"/>
      </w:tblGrid>
      <w:tr w:rsidR="00A53DC3" w:rsidRPr="00201B3F" w14:paraId="60993659" w14:textId="77777777" w:rsidTr="00D7056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bottom w:val="nil"/>
            </w:tcBorders>
            <w:shd w:val="clear" w:color="auto" w:fill="D9E2F3" w:themeFill="accent5" w:themeFillTint="33"/>
            <w:vAlign w:val="center"/>
          </w:tcPr>
          <w:p w14:paraId="6234E461" w14:textId="77777777" w:rsidR="00A53DC3" w:rsidRPr="00201B3F" w:rsidRDefault="00A53DC3" w:rsidP="00D7056E">
            <w:pPr>
              <w:pStyle w:val="08-Tabelageral"/>
              <w:jc w:val="left"/>
              <w:rPr>
                <w:rFonts w:cs="Arial"/>
              </w:rPr>
            </w:pPr>
          </w:p>
        </w:tc>
        <w:tc>
          <w:tcPr>
            <w:tcW w:w="1407" w:type="dxa"/>
            <w:tcBorders>
              <w:top w:val="single" w:sz="2" w:space="0" w:color="8EAADB" w:themeColor="accent5" w:themeTint="99"/>
              <w:bottom w:val="nil"/>
            </w:tcBorders>
            <w:shd w:val="clear" w:color="auto" w:fill="D9E2F3" w:themeFill="accent5" w:themeFillTint="33"/>
            <w:vAlign w:val="center"/>
          </w:tcPr>
          <w:p w14:paraId="222A45C4" w14:textId="77777777" w:rsidR="00A53DC3" w:rsidRPr="002A6B1F" w:rsidRDefault="00A53DC3" w:rsidP="00D7056E">
            <w:pPr>
              <w:pStyle w:val="08-Tabelageral"/>
              <w:cnfStyle w:val="100000000000" w:firstRow="1" w:lastRow="0" w:firstColumn="0" w:lastColumn="0" w:oddVBand="0" w:evenVBand="0" w:oddHBand="0" w:evenHBand="0" w:firstRowFirstColumn="0" w:firstRowLastColumn="0" w:lastRowFirstColumn="0" w:lastRowLastColumn="0"/>
              <w:rPr>
                <w:rFonts w:cs="Arial"/>
                <w:b w:val="0"/>
              </w:rPr>
            </w:pPr>
          </w:p>
        </w:tc>
        <w:tc>
          <w:tcPr>
            <w:tcW w:w="1408" w:type="dxa"/>
            <w:tcBorders>
              <w:top w:val="single" w:sz="2" w:space="0" w:color="8EAADB" w:themeColor="accent5" w:themeTint="99"/>
              <w:bottom w:val="nil"/>
            </w:tcBorders>
            <w:shd w:val="clear" w:color="auto" w:fill="D9E2F3" w:themeFill="accent5" w:themeFillTint="33"/>
            <w:vAlign w:val="center"/>
          </w:tcPr>
          <w:p w14:paraId="4AC33297" w14:textId="77777777" w:rsidR="00A53DC3" w:rsidRPr="004A3EB4" w:rsidRDefault="00A53DC3" w:rsidP="00D7056E">
            <w:pPr>
              <w:pStyle w:val="08-Tabelageral"/>
              <w:cnfStyle w:val="100000000000" w:firstRow="1" w:lastRow="0" w:firstColumn="0" w:lastColumn="0" w:oddVBand="0" w:evenVBand="0" w:oddHBand="0" w:evenHBand="0" w:firstRowFirstColumn="0" w:firstRowLastColumn="0" w:lastRowFirstColumn="0" w:lastRowLastColumn="0"/>
              <w:rPr>
                <w:rFonts w:cs="Arial"/>
              </w:rPr>
            </w:pPr>
            <w:r w:rsidRPr="004A3EB4">
              <w:rPr>
                <w:rFonts w:cs="Arial"/>
              </w:rPr>
              <w:t>Participação (%)</w:t>
            </w:r>
          </w:p>
        </w:tc>
        <w:tc>
          <w:tcPr>
            <w:tcW w:w="2809" w:type="dxa"/>
            <w:gridSpan w:val="2"/>
            <w:tcBorders>
              <w:top w:val="single" w:sz="2" w:space="0" w:color="8EAADB" w:themeColor="accent5" w:themeTint="99"/>
              <w:bottom w:val="nil"/>
            </w:tcBorders>
            <w:shd w:val="clear" w:color="auto" w:fill="D9E2F3" w:themeFill="accent5" w:themeFillTint="33"/>
            <w:vAlign w:val="center"/>
          </w:tcPr>
          <w:p w14:paraId="3D78A226" w14:textId="77777777" w:rsidR="00A53DC3" w:rsidRPr="004A3EB4" w:rsidRDefault="00A53DC3" w:rsidP="00D7056E">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sidRPr="004A3EB4">
              <w:rPr>
                <w:rFonts w:cs="Arial"/>
              </w:rPr>
              <w:t>Saldo do Investimento</w:t>
            </w:r>
          </w:p>
        </w:tc>
        <w:tc>
          <w:tcPr>
            <w:tcW w:w="1914" w:type="dxa"/>
            <w:tcBorders>
              <w:top w:val="single" w:sz="2" w:space="0" w:color="8EAADB" w:themeColor="accent5" w:themeTint="99"/>
              <w:bottom w:val="nil"/>
            </w:tcBorders>
            <w:shd w:val="clear" w:color="auto" w:fill="D9E2F3" w:themeFill="accent5" w:themeFillTint="33"/>
            <w:vAlign w:val="center"/>
          </w:tcPr>
          <w:p w14:paraId="57F156BB" w14:textId="77777777" w:rsidR="00A53DC3" w:rsidRPr="00201B3F" w:rsidRDefault="00A53DC3" w:rsidP="00D7056E">
            <w:pPr>
              <w:pStyle w:val="08-Tabelageral"/>
              <w:ind w:right="-57"/>
              <w:cnfStyle w:val="100000000000" w:firstRow="1" w:lastRow="0" w:firstColumn="0" w:lastColumn="0" w:oddVBand="0" w:evenVBand="0" w:oddHBand="0" w:evenHBand="0" w:firstRowFirstColumn="0" w:firstRowLastColumn="0" w:lastRowFirstColumn="0" w:lastRowLastColumn="0"/>
              <w:rPr>
                <w:rFonts w:cs="Arial"/>
              </w:rPr>
            </w:pPr>
            <w:r>
              <w:rPr>
                <w:rFonts w:cs="Arial"/>
              </w:rPr>
              <w:t>Resultado de Participação</w:t>
            </w:r>
          </w:p>
        </w:tc>
      </w:tr>
      <w:tr w:rsidR="00A53DC3" w:rsidRPr="001D6BE8" w14:paraId="52661EF2"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bottom w:val="single" w:sz="2" w:space="0" w:color="8EAADB" w:themeColor="accent5" w:themeTint="99"/>
            </w:tcBorders>
            <w:vAlign w:val="center"/>
          </w:tcPr>
          <w:p w14:paraId="70C6DC2E" w14:textId="77777777" w:rsidR="00A53DC3" w:rsidRPr="00C806B0" w:rsidRDefault="00A53DC3" w:rsidP="00D7056E">
            <w:pPr>
              <w:pStyle w:val="08-Tabelageral"/>
              <w:jc w:val="left"/>
              <w:rPr>
                <w:rFonts w:cs="Arial"/>
                <w:bCs w:val="0"/>
                <w:szCs w:val="14"/>
              </w:rPr>
            </w:pPr>
          </w:p>
        </w:tc>
        <w:tc>
          <w:tcPr>
            <w:tcW w:w="1407" w:type="dxa"/>
            <w:tcBorders>
              <w:top w:val="nil"/>
              <w:bottom w:val="single" w:sz="2" w:space="0" w:color="8EAADB" w:themeColor="accent5" w:themeTint="99"/>
            </w:tcBorders>
            <w:vAlign w:val="center"/>
          </w:tcPr>
          <w:p w14:paraId="17F9C77A" w14:textId="77777777" w:rsidR="00A53DC3" w:rsidRPr="002A6B1F" w:rsidRDefault="00A53DC3" w:rsidP="00D7056E">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Atividade</w:t>
            </w:r>
          </w:p>
        </w:tc>
        <w:tc>
          <w:tcPr>
            <w:tcW w:w="1408" w:type="dxa"/>
            <w:tcBorders>
              <w:top w:val="nil"/>
              <w:bottom w:val="single" w:sz="2" w:space="0" w:color="8EAADB" w:themeColor="accent5" w:themeTint="99"/>
            </w:tcBorders>
            <w:vAlign w:val="center"/>
          </w:tcPr>
          <w:p w14:paraId="6466430C" w14:textId="14673539" w:rsidR="00A53DC3" w:rsidRPr="002A6B1F" w:rsidRDefault="00A53DC3" w:rsidP="00D7056E">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w:t>
            </w:r>
            <w:r w:rsidR="00F27DC1">
              <w:rPr>
                <w:rFonts w:cs="Arial"/>
                <w:b/>
              </w:rPr>
              <w:t>20</w:t>
            </w:r>
          </w:p>
        </w:tc>
        <w:tc>
          <w:tcPr>
            <w:tcW w:w="1404" w:type="dxa"/>
            <w:tcBorders>
              <w:top w:val="nil"/>
              <w:bottom w:val="single" w:sz="2" w:space="0" w:color="8EAADB" w:themeColor="accent5" w:themeTint="99"/>
            </w:tcBorders>
            <w:vAlign w:val="center"/>
          </w:tcPr>
          <w:p w14:paraId="4227183F" w14:textId="01926883" w:rsidR="00A53DC3" w:rsidRPr="002A6B1F" w:rsidRDefault="00A53DC3" w:rsidP="00D7056E">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w:t>
            </w:r>
            <w:r w:rsidR="00F27DC1">
              <w:rPr>
                <w:rFonts w:cs="Arial"/>
                <w:b/>
              </w:rPr>
              <w:t>20</w:t>
            </w:r>
          </w:p>
        </w:tc>
        <w:tc>
          <w:tcPr>
            <w:tcW w:w="1405" w:type="dxa"/>
            <w:tcBorders>
              <w:top w:val="nil"/>
              <w:bottom w:val="single" w:sz="2" w:space="0" w:color="8EAADB" w:themeColor="accent5" w:themeTint="99"/>
            </w:tcBorders>
            <w:vAlign w:val="center"/>
          </w:tcPr>
          <w:p w14:paraId="70DA1083" w14:textId="2A39A89B" w:rsidR="00A53DC3" w:rsidRPr="002A6B1F" w:rsidRDefault="00A53DC3" w:rsidP="00D7056E">
            <w:pPr>
              <w:pStyle w:val="08-Tabelageral"/>
              <w:ind w:right="-57"/>
              <w:cnfStyle w:val="000000100000" w:firstRow="0" w:lastRow="0" w:firstColumn="0" w:lastColumn="0" w:oddVBand="0" w:evenVBand="0" w:oddHBand="1" w:evenHBand="0" w:firstRowFirstColumn="0" w:firstRowLastColumn="0" w:lastRowFirstColumn="0" w:lastRowLastColumn="0"/>
              <w:rPr>
                <w:rFonts w:cs="Arial"/>
                <w:b/>
              </w:rPr>
            </w:pPr>
            <w:r>
              <w:rPr>
                <w:rFonts w:cs="Arial"/>
                <w:b/>
              </w:rPr>
              <w:t>31.12.201</w:t>
            </w:r>
            <w:r w:rsidR="00F27DC1">
              <w:rPr>
                <w:rFonts w:cs="Arial"/>
                <w:b/>
              </w:rPr>
              <w:t>9</w:t>
            </w:r>
          </w:p>
        </w:tc>
        <w:tc>
          <w:tcPr>
            <w:tcW w:w="1914" w:type="dxa"/>
            <w:tcBorders>
              <w:top w:val="nil"/>
              <w:bottom w:val="single" w:sz="2" w:space="0" w:color="8EAADB" w:themeColor="accent5" w:themeTint="99"/>
            </w:tcBorders>
            <w:vAlign w:val="center"/>
          </w:tcPr>
          <w:p w14:paraId="78B85371" w14:textId="75CE23FB" w:rsidR="00A53DC3" w:rsidRPr="002A6B1F" w:rsidRDefault="00A53DC3" w:rsidP="00D7056E">
            <w:pPr>
              <w:pStyle w:val="08-Tabelageral"/>
              <w:cnfStyle w:val="000000100000" w:firstRow="0" w:lastRow="0" w:firstColumn="0" w:lastColumn="0" w:oddVBand="0" w:evenVBand="0" w:oddHBand="1" w:evenHBand="0" w:firstRowFirstColumn="0" w:firstRowLastColumn="0" w:lastRowFirstColumn="0" w:lastRowLastColumn="0"/>
              <w:rPr>
                <w:rFonts w:cs="Arial"/>
                <w:b/>
              </w:rPr>
            </w:pPr>
            <w:r>
              <w:rPr>
                <w:rFonts w:cs="Arial"/>
                <w:b/>
              </w:rPr>
              <w:t>Exercício/20</w:t>
            </w:r>
            <w:r w:rsidR="00F27DC1">
              <w:rPr>
                <w:rFonts w:cs="Arial"/>
                <w:b/>
              </w:rPr>
              <w:t>20</w:t>
            </w:r>
          </w:p>
        </w:tc>
      </w:tr>
      <w:tr w:rsidR="00A53DC3" w:rsidRPr="001D6BE8" w14:paraId="24E00AD8" w14:textId="77777777" w:rsidTr="00D7056E">
        <w:trPr>
          <w:trHeight w:hRule="exact" w:val="298"/>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bottom w:val="nil"/>
            </w:tcBorders>
            <w:vAlign w:val="center"/>
          </w:tcPr>
          <w:p w14:paraId="32BDFE5C" w14:textId="77777777" w:rsidR="00A53DC3" w:rsidRPr="004A3EB4" w:rsidRDefault="00A53DC3" w:rsidP="00D7056E">
            <w:pPr>
              <w:pStyle w:val="08-Tabelageral"/>
              <w:jc w:val="left"/>
              <w:rPr>
                <w:rFonts w:cs="Arial"/>
                <w:snapToGrid w:val="0"/>
              </w:rPr>
            </w:pPr>
            <w:r w:rsidRPr="004A3EB4">
              <w:rPr>
                <w:rFonts w:cs="Arial"/>
              </w:rPr>
              <w:t>Participações societárias</w:t>
            </w:r>
          </w:p>
        </w:tc>
        <w:tc>
          <w:tcPr>
            <w:tcW w:w="1407" w:type="dxa"/>
            <w:tcBorders>
              <w:top w:val="single" w:sz="2" w:space="0" w:color="8EAADB" w:themeColor="accent5" w:themeTint="99"/>
              <w:bottom w:val="nil"/>
            </w:tcBorders>
            <w:vAlign w:val="center"/>
          </w:tcPr>
          <w:p w14:paraId="3DD3DE19" w14:textId="77777777" w:rsidR="00A53DC3" w:rsidRPr="004A3EB4" w:rsidRDefault="00A53DC3" w:rsidP="00D7056E">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color w:val="FF0000"/>
                <w:szCs w:val="14"/>
              </w:rPr>
            </w:pPr>
          </w:p>
        </w:tc>
        <w:tc>
          <w:tcPr>
            <w:tcW w:w="1408" w:type="dxa"/>
            <w:tcBorders>
              <w:top w:val="single" w:sz="2" w:space="0" w:color="8EAADB" w:themeColor="accent5" w:themeTint="99"/>
              <w:bottom w:val="nil"/>
            </w:tcBorders>
            <w:vAlign w:val="center"/>
          </w:tcPr>
          <w:p w14:paraId="03FC3449" w14:textId="77777777" w:rsidR="00A53DC3" w:rsidRPr="004A3EB4" w:rsidRDefault="00A53DC3" w:rsidP="00D7056E">
            <w:pPr>
              <w:pStyle w:val="08-Tabelageral"/>
              <w:cnfStyle w:val="000000000000" w:firstRow="0" w:lastRow="0" w:firstColumn="0" w:lastColumn="0" w:oddVBand="0" w:evenVBand="0" w:oddHBand="0" w:evenHBand="0" w:firstRowFirstColumn="0" w:firstRowLastColumn="0" w:lastRowFirstColumn="0" w:lastRowLastColumn="0"/>
              <w:rPr>
                <w:rFonts w:cs="Arial"/>
                <w:bCs/>
                <w:color w:val="FF0000"/>
                <w:szCs w:val="14"/>
              </w:rPr>
            </w:pPr>
          </w:p>
        </w:tc>
        <w:tc>
          <w:tcPr>
            <w:tcW w:w="1404" w:type="dxa"/>
            <w:tcBorders>
              <w:top w:val="single" w:sz="2" w:space="0" w:color="8EAADB" w:themeColor="accent5" w:themeTint="99"/>
              <w:bottom w:val="nil"/>
            </w:tcBorders>
            <w:vAlign w:val="center"/>
          </w:tcPr>
          <w:p w14:paraId="7D6E87C4" w14:textId="77777777" w:rsidR="00A53DC3" w:rsidRPr="004A3EB4" w:rsidRDefault="00A53DC3" w:rsidP="00D7056E">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p>
        </w:tc>
        <w:tc>
          <w:tcPr>
            <w:tcW w:w="1405" w:type="dxa"/>
            <w:tcBorders>
              <w:top w:val="single" w:sz="2" w:space="0" w:color="8EAADB" w:themeColor="accent5" w:themeTint="99"/>
              <w:bottom w:val="nil"/>
            </w:tcBorders>
            <w:vAlign w:val="center"/>
          </w:tcPr>
          <w:p w14:paraId="145B73B3" w14:textId="77777777" w:rsidR="00A53DC3" w:rsidRPr="004A3EB4" w:rsidRDefault="00A53DC3" w:rsidP="00D7056E">
            <w:pPr>
              <w:pStyle w:val="08-Tabelageral"/>
              <w:cnfStyle w:val="000000000000" w:firstRow="0" w:lastRow="0" w:firstColumn="0" w:lastColumn="0" w:oddVBand="0" w:evenVBand="0" w:oddHBand="0" w:evenHBand="0" w:firstRowFirstColumn="0" w:firstRowLastColumn="0" w:lastRowFirstColumn="0" w:lastRowLastColumn="0"/>
              <w:rPr>
                <w:rFonts w:cs="Arial"/>
                <w:szCs w:val="14"/>
              </w:rPr>
            </w:pPr>
          </w:p>
        </w:tc>
        <w:tc>
          <w:tcPr>
            <w:tcW w:w="1914" w:type="dxa"/>
            <w:tcBorders>
              <w:top w:val="single" w:sz="2" w:space="0" w:color="8EAADB" w:themeColor="accent5" w:themeTint="99"/>
              <w:bottom w:val="nil"/>
            </w:tcBorders>
            <w:vAlign w:val="center"/>
          </w:tcPr>
          <w:p w14:paraId="1372597F" w14:textId="77777777" w:rsidR="00A53DC3" w:rsidRPr="004A3EB4" w:rsidRDefault="00A53DC3" w:rsidP="00D7056E">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rPr>
            </w:pPr>
          </w:p>
        </w:tc>
      </w:tr>
      <w:tr w:rsidR="00F27DC1" w:rsidRPr="004A3EB4" w14:paraId="0477C84F"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420CD2AA" w14:textId="77777777" w:rsidR="00F27DC1" w:rsidRPr="004A3EB4" w:rsidRDefault="00F27DC1" w:rsidP="00F27DC1">
            <w:pPr>
              <w:pStyle w:val="08-Tabelageral"/>
              <w:jc w:val="left"/>
              <w:rPr>
                <w:rFonts w:cs="Arial"/>
                <w:snapToGrid w:val="0"/>
              </w:rPr>
            </w:pPr>
            <w:r w:rsidRPr="004A3EB4">
              <w:rPr>
                <w:rFonts w:cs="Arial"/>
              </w:rPr>
              <w:t>BB Seguros</w:t>
            </w:r>
          </w:p>
        </w:tc>
        <w:tc>
          <w:tcPr>
            <w:tcW w:w="1407" w:type="dxa"/>
            <w:tcBorders>
              <w:top w:val="nil"/>
              <w:bottom w:val="nil"/>
            </w:tcBorders>
            <w:vAlign w:val="center"/>
          </w:tcPr>
          <w:p w14:paraId="00FAA791" w14:textId="77777777" w:rsidR="00F27DC1" w:rsidRPr="004A3EB4" w:rsidRDefault="00F27DC1" w:rsidP="00F27DC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sidRPr="004A3EB4">
              <w:rPr>
                <w:rFonts w:cs="Arial"/>
                <w:b/>
              </w:rPr>
              <w:t>Holding</w:t>
            </w:r>
          </w:p>
        </w:tc>
        <w:tc>
          <w:tcPr>
            <w:tcW w:w="1408" w:type="dxa"/>
            <w:tcBorders>
              <w:top w:val="nil"/>
              <w:bottom w:val="nil"/>
            </w:tcBorders>
            <w:vAlign w:val="center"/>
          </w:tcPr>
          <w:p w14:paraId="2AFB170E" w14:textId="77777777" w:rsidR="00F27DC1" w:rsidRPr="004A3EB4"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4A3EB4">
              <w:rPr>
                <w:rFonts w:cs="Arial"/>
                <w:b/>
              </w:rPr>
              <w:t>100,00%</w:t>
            </w:r>
          </w:p>
        </w:tc>
        <w:tc>
          <w:tcPr>
            <w:tcW w:w="1404" w:type="dxa"/>
            <w:tcBorders>
              <w:top w:val="nil"/>
              <w:bottom w:val="nil"/>
            </w:tcBorders>
            <w:vAlign w:val="center"/>
          </w:tcPr>
          <w:p w14:paraId="7DB04275" w14:textId="42E5B8CB" w:rsidR="00F27DC1" w:rsidRPr="005B06C1" w:rsidRDefault="005B06C1" w:rsidP="00F27DC1">
            <w:pPr>
              <w:pStyle w:val="08-Tabelageral"/>
              <w:cnfStyle w:val="000000100000" w:firstRow="0" w:lastRow="0" w:firstColumn="0" w:lastColumn="0" w:oddVBand="0" w:evenVBand="0" w:oddHBand="1" w:evenHBand="0" w:firstRowFirstColumn="0" w:firstRowLastColumn="0" w:lastRowFirstColumn="0" w:lastRowLastColumn="0"/>
              <w:rPr>
                <w:rFonts w:cs="Arial"/>
                <w:b/>
                <w:color w:val="FF0000"/>
              </w:rPr>
            </w:pPr>
            <w:r w:rsidRPr="005B06C1">
              <w:rPr>
                <w:rFonts w:cs="Arial"/>
                <w:b/>
                <w:color w:val="auto"/>
              </w:rPr>
              <w:t>5.924.821</w:t>
            </w:r>
          </w:p>
        </w:tc>
        <w:tc>
          <w:tcPr>
            <w:tcW w:w="1405" w:type="dxa"/>
            <w:tcBorders>
              <w:top w:val="nil"/>
              <w:bottom w:val="nil"/>
            </w:tcBorders>
            <w:vAlign w:val="center"/>
          </w:tcPr>
          <w:p w14:paraId="6DF28E0E" w14:textId="54A0233A" w:rsidR="00F27DC1" w:rsidRPr="004A3EB4"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b/>
              </w:rPr>
            </w:pPr>
            <w:r w:rsidRPr="00F2289B">
              <w:rPr>
                <w:rFonts w:cs="Arial"/>
                <w:b/>
                <w:color w:val="auto"/>
              </w:rPr>
              <w:t>5.431.395</w:t>
            </w:r>
          </w:p>
        </w:tc>
        <w:tc>
          <w:tcPr>
            <w:tcW w:w="1914" w:type="dxa"/>
            <w:tcBorders>
              <w:top w:val="nil"/>
              <w:bottom w:val="nil"/>
            </w:tcBorders>
            <w:vAlign w:val="center"/>
          </w:tcPr>
          <w:p w14:paraId="0D40A7F3" w14:textId="2CBEC28F" w:rsidR="00F27DC1" w:rsidRPr="005B06C1" w:rsidRDefault="005B06C1" w:rsidP="00F27DC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14"/>
                <w:szCs w:val="14"/>
                <w:lang w:eastAsia="pt-BR"/>
              </w:rPr>
            </w:pPr>
            <w:r w:rsidRPr="005B06C1">
              <w:rPr>
                <w:rFonts w:ascii="Arial" w:hAnsi="Arial" w:cs="Arial"/>
                <w:b/>
                <w:bCs/>
                <w:color w:val="auto"/>
                <w:sz w:val="14"/>
                <w:szCs w:val="14"/>
              </w:rPr>
              <w:t>1.864.279</w:t>
            </w:r>
          </w:p>
        </w:tc>
      </w:tr>
      <w:tr w:rsidR="00F27DC1" w:rsidRPr="004A3EB4" w14:paraId="2A5D54F3"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024C2691" w14:textId="77777777" w:rsidR="00F27DC1" w:rsidRPr="004A3EB4" w:rsidRDefault="00F27DC1" w:rsidP="00F27DC1">
            <w:pPr>
              <w:pStyle w:val="08-Tabelageral"/>
              <w:ind w:left="113"/>
              <w:jc w:val="left"/>
              <w:rPr>
                <w:rFonts w:cs="Arial"/>
                <w:b w:val="0"/>
                <w:snapToGrid w:val="0"/>
              </w:rPr>
            </w:pPr>
            <w:proofErr w:type="spellStart"/>
            <w:r w:rsidRPr="004A3EB4">
              <w:rPr>
                <w:rFonts w:cs="Arial"/>
                <w:b w:val="0"/>
              </w:rPr>
              <w:t>Brasilseg</w:t>
            </w:r>
            <w:proofErr w:type="spellEnd"/>
          </w:p>
        </w:tc>
        <w:tc>
          <w:tcPr>
            <w:tcW w:w="1407" w:type="dxa"/>
            <w:tcBorders>
              <w:top w:val="nil"/>
              <w:bottom w:val="nil"/>
            </w:tcBorders>
            <w:vAlign w:val="center"/>
          </w:tcPr>
          <w:p w14:paraId="3E702E11" w14:textId="77777777" w:rsidR="00F27DC1" w:rsidRPr="004A3EB4" w:rsidRDefault="00F27DC1" w:rsidP="00F27DC1">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4A3EB4">
              <w:rPr>
                <w:rFonts w:cs="Arial"/>
              </w:rPr>
              <w:t>Seguros</w:t>
            </w:r>
          </w:p>
        </w:tc>
        <w:tc>
          <w:tcPr>
            <w:tcW w:w="1408" w:type="dxa"/>
            <w:tcBorders>
              <w:top w:val="nil"/>
              <w:bottom w:val="nil"/>
            </w:tcBorders>
            <w:vAlign w:val="center"/>
          </w:tcPr>
          <w:p w14:paraId="70A40E27" w14:textId="77777777" w:rsidR="00F27DC1" w:rsidRPr="004A3EB4"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A3EB4">
              <w:rPr>
                <w:rFonts w:cs="Arial"/>
              </w:rPr>
              <w:t>74,99%</w:t>
            </w:r>
          </w:p>
        </w:tc>
        <w:tc>
          <w:tcPr>
            <w:tcW w:w="1404" w:type="dxa"/>
            <w:tcBorders>
              <w:top w:val="nil"/>
              <w:bottom w:val="nil"/>
            </w:tcBorders>
            <w:vAlign w:val="center"/>
          </w:tcPr>
          <w:p w14:paraId="60BFE60D" w14:textId="168E3E90" w:rsidR="00F27DC1" w:rsidRPr="00F629C5" w:rsidRDefault="00F629C5"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F629C5">
              <w:rPr>
                <w:rFonts w:cs="Arial"/>
                <w:color w:val="auto"/>
                <w:szCs w:val="14"/>
              </w:rPr>
              <w:t>2.245.714</w:t>
            </w:r>
          </w:p>
        </w:tc>
        <w:tc>
          <w:tcPr>
            <w:tcW w:w="1405" w:type="dxa"/>
            <w:tcBorders>
              <w:top w:val="nil"/>
              <w:bottom w:val="nil"/>
            </w:tcBorders>
            <w:vAlign w:val="center"/>
          </w:tcPr>
          <w:p w14:paraId="3CE9728A" w14:textId="6EC92587" w:rsidR="00F27DC1" w:rsidRPr="004A3EB4"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2289B">
              <w:rPr>
                <w:rFonts w:cs="Arial"/>
                <w:color w:val="auto"/>
              </w:rPr>
              <w:t>2.028.605</w:t>
            </w:r>
          </w:p>
        </w:tc>
        <w:tc>
          <w:tcPr>
            <w:tcW w:w="1914" w:type="dxa"/>
            <w:tcBorders>
              <w:top w:val="nil"/>
              <w:bottom w:val="nil"/>
            </w:tcBorders>
            <w:vAlign w:val="center"/>
          </w:tcPr>
          <w:p w14:paraId="62DBEE99" w14:textId="2333A980" w:rsidR="00F27DC1" w:rsidRPr="005B06C1" w:rsidRDefault="005B06C1" w:rsidP="00F27DC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color w:val="auto"/>
                <w:sz w:val="14"/>
                <w:szCs w:val="14"/>
                <w:lang w:eastAsia="pt-BR"/>
              </w:rPr>
            </w:pPr>
            <w:r w:rsidRPr="005B06C1">
              <w:rPr>
                <w:rFonts w:ascii="Arial" w:hAnsi="Arial" w:cs="Arial"/>
                <w:color w:val="auto"/>
                <w:sz w:val="14"/>
                <w:szCs w:val="14"/>
              </w:rPr>
              <w:t>1.086.543</w:t>
            </w:r>
          </w:p>
        </w:tc>
      </w:tr>
      <w:tr w:rsidR="00F27DC1" w:rsidRPr="004A3EB4" w14:paraId="2CC4A51F"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5990C14C" w14:textId="77777777" w:rsidR="00F27DC1" w:rsidRPr="004A3EB4" w:rsidRDefault="00F27DC1" w:rsidP="00F27DC1">
            <w:pPr>
              <w:pStyle w:val="08-Tabelageral"/>
              <w:ind w:left="113"/>
              <w:jc w:val="left"/>
              <w:rPr>
                <w:rFonts w:cs="Arial"/>
                <w:b w:val="0"/>
                <w:snapToGrid w:val="0"/>
              </w:rPr>
            </w:pPr>
            <w:proofErr w:type="spellStart"/>
            <w:r w:rsidRPr="004A3EB4">
              <w:rPr>
                <w:rFonts w:cs="Arial"/>
                <w:b w:val="0"/>
              </w:rPr>
              <w:t>Brasilprev</w:t>
            </w:r>
            <w:proofErr w:type="spellEnd"/>
          </w:p>
        </w:tc>
        <w:tc>
          <w:tcPr>
            <w:tcW w:w="1407" w:type="dxa"/>
            <w:tcBorders>
              <w:top w:val="nil"/>
              <w:bottom w:val="nil"/>
            </w:tcBorders>
            <w:vAlign w:val="center"/>
          </w:tcPr>
          <w:p w14:paraId="21546457" w14:textId="77777777" w:rsidR="00F27DC1" w:rsidRPr="004A3EB4" w:rsidRDefault="00F27DC1" w:rsidP="00F27DC1">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4A3EB4">
              <w:rPr>
                <w:rFonts w:cs="Arial"/>
              </w:rPr>
              <w:t>Previdência</w:t>
            </w:r>
          </w:p>
        </w:tc>
        <w:tc>
          <w:tcPr>
            <w:tcW w:w="1408" w:type="dxa"/>
            <w:tcBorders>
              <w:top w:val="nil"/>
              <w:bottom w:val="nil"/>
            </w:tcBorders>
            <w:vAlign w:val="center"/>
          </w:tcPr>
          <w:p w14:paraId="3D9A2E61" w14:textId="77777777" w:rsidR="00F27DC1" w:rsidRPr="004A3EB4"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A3EB4">
              <w:rPr>
                <w:rFonts w:cs="Arial"/>
              </w:rPr>
              <w:t>74,99%</w:t>
            </w:r>
          </w:p>
        </w:tc>
        <w:tc>
          <w:tcPr>
            <w:tcW w:w="1404" w:type="dxa"/>
            <w:tcBorders>
              <w:top w:val="nil"/>
              <w:bottom w:val="nil"/>
            </w:tcBorders>
            <w:vAlign w:val="center"/>
          </w:tcPr>
          <w:p w14:paraId="5EF211BC" w14:textId="131B5291" w:rsidR="00F27DC1" w:rsidRPr="00F629C5" w:rsidRDefault="00F629C5"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F629C5">
              <w:rPr>
                <w:color w:val="auto"/>
              </w:rPr>
              <w:t>3.338.239</w:t>
            </w:r>
          </w:p>
        </w:tc>
        <w:tc>
          <w:tcPr>
            <w:tcW w:w="1405" w:type="dxa"/>
            <w:tcBorders>
              <w:top w:val="nil"/>
              <w:bottom w:val="nil"/>
            </w:tcBorders>
            <w:vAlign w:val="center"/>
          </w:tcPr>
          <w:p w14:paraId="079F329D" w14:textId="79977C52" w:rsidR="00F27DC1" w:rsidRPr="004A3EB4"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2289B">
              <w:rPr>
                <w:rFonts w:cs="Arial"/>
                <w:color w:val="auto"/>
              </w:rPr>
              <w:t>2.440.155</w:t>
            </w:r>
          </w:p>
        </w:tc>
        <w:tc>
          <w:tcPr>
            <w:tcW w:w="1914" w:type="dxa"/>
            <w:tcBorders>
              <w:top w:val="nil"/>
              <w:bottom w:val="nil"/>
            </w:tcBorders>
            <w:vAlign w:val="center"/>
          </w:tcPr>
          <w:p w14:paraId="0165784C" w14:textId="25306AD8" w:rsidR="00F27DC1" w:rsidRPr="005B06C1" w:rsidRDefault="005B06C1" w:rsidP="00F27DC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color w:val="auto"/>
                <w:sz w:val="14"/>
                <w:szCs w:val="14"/>
                <w:lang w:eastAsia="pt-BR"/>
              </w:rPr>
            </w:pPr>
            <w:r w:rsidRPr="005B06C1">
              <w:rPr>
                <w:rFonts w:ascii="Arial" w:hAnsi="Arial" w:cs="Arial"/>
                <w:color w:val="auto"/>
                <w:sz w:val="14"/>
                <w:szCs w:val="14"/>
              </w:rPr>
              <w:t>686.379</w:t>
            </w:r>
          </w:p>
        </w:tc>
      </w:tr>
      <w:tr w:rsidR="00F27DC1" w:rsidRPr="004A3EB4" w14:paraId="79F3C009"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0EFF61DE" w14:textId="77777777" w:rsidR="00F27DC1" w:rsidRPr="004A3EB4" w:rsidRDefault="00F27DC1" w:rsidP="00F27DC1">
            <w:pPr>
              <w:pStyle w:val="08-Tabelageral"/>
              <w:ind w:left="113"/>
              <w:jc w:val="left"/>
              <w:rPr>
                <w:rFonts w:cs="Arial"/>
                <w:b w:val="0"/>
                <w:snapToGrid w:val="0"/>
                <w:vertAlign w:val="superscript"/>
              </w:rPr>
            </w:pPr>
            <w:r w:rsidRPr="004A3EB4">
              <w:rPr>
                <w:rFonts w:cs="Arial"/>
                <w:b w:val="0"/>
              </w:rPr>
              <w:t>Brasilcap</w:t>
            </w:r>
          </w:p>
        </w:tc>
        <w:tc>
          <w:tcPr>
            <w:tcW w:w="1407" w:type="dxa"/>
            <w:tcBorders>
              <w:top w:val="nil"/>
              <w:bottom w:val="nil"/>
            </w:tcBorders>
            <w:vAlign w:val="center"/>
          </w:tcPr>
          <w:p w14:paraId="765A4B30" w14:textId="77777777" w:rsidR="00F27DC1" w:rsidRPr="004A3EB4" w:rsidRDefault="00F27DC1" w:rsidP="00F27DC1">
            <w:pPr>
              <w:pStyle w:val="08-Tabelageral"/>
              <w:jc w:val="center"/>
              <w:cnfStyle w:val="000000000000" w:firstRow="0" w:lastRow="0" w:firstColumn="0" w:lastColumn="0" w:oddVBand="0" w:evenVBand="0" w:oddHBand="0" w:evenHBand="0" w:firstRowFirstColumn="0" w:firstRowLastColumn="0" w:lastRowFirstColumn="0" w:lastRowLastColumn="0"/>
              <w:rPr>
                <w:rFonts w:cs="Arial"/>
              </w:rPr>
            </w:pPr>
            <w:r w:rsidRPr="004A3EB4">
              <w:rPr>
                <w:rFonts w:cs="Arial"/>
              </w:rPr>
              <w:t>Capitalização</w:t>
            </w:r>
          </w:p>
        </w:tc>
        <w:tc>
          <w:tcPr>
            <w:tcW w:w="1408" w:type="dxa"/>
            <w:tcBorders>
              <w:top w:val="nil"/>
              <w:bottom w:val="nil"/>
            </w:tcBorders>
            <w:vAlign w:val="center"/>
          </w:tcPr>
          <w:p w14:paraId="01036837" w14:textId="77777777" w:rsidR="00F27DC1" w:rsidRPr="004A3EB4"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4A3EB4">
              <w:rPr>
                <w:rFonts w:cs="Arial"/>
              </w:rPr>
              <w:t>66,66%</w:t>
            </w:r>
          </w:p>
        </w:tc>
        <w:tc>
          <w:tcPr>
            <w:tcW w:w="1404" w:type="dxa"/>
            <w:tcBorders>
              <w:top w:val="nil"/>
              <w:bottom w:val="nil"/>
            </w:tcBorders>
            <w:vAlign w:val="center"/>
          </w:tcPr>
          <w:p w14:paraId="7AC1B3E9" w14:textId="3174212E" w:rsidR="00F27DC1" w:rsidRPr="00F629C5" w:rsidRDefault="00F629C5" w:rsidP="00F27DC1">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F629C5">
              <w:rPr>
                <w:color w:val="auto"/>
              </w:rPr>
              <w:t>470.327</w:t>
            </w:r>
          </w:p>
        </w:tc>
        <w:tc>
          <w:tcPr>
            <w:tcW w:w="1405" w:type="dxa"/>
            <w:tcBorders>
              <w:top w:val="nil"/>
              <w:bottom w:val="nil"/>
            </w:tcBorders>
            <w:vAlign w:val="center"/>
          </w:tcPr>
          <w:p w14:paraId="741FD8BF" w14:textId="066CE655" w:rsidR="00F27DC1" w:rsidRPr="004A3EB4"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rPr>
            </w:pPr>
            <w:r w:rsidRPr="00F2289B">
              <w:rPr>
                <w:rFonts w:cs="Arial"/>
                <w:color w:val="auto"/>
              </w:rPr>
              <w:t>431.932</w:t>
            </w:r>
          </w:p>
        </w:tc>
        <w:tc>
          <w:tcPr>
            <w:tcW w:w="1914" w:type="dxa"/>
            <w:tcBorders>
              <w:top w:val="nil"/>
              <w:bottom w:val="nil"/>
            </w:tcBorders>
            <w:vAlign w:val="center"/>
          </w:tcPr>
          <w:p w14:paraId="04CAFA5F" w14:textId="788C001A" w:rsidR="00F27DC1" w:rsidRPr="005B06C1" w:rsidRDefault="005B06C1" w:rsidP="00F27DC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color w:val="auto"/>
                <w:sz w:val="14"/>
                <w:szCs w:val="14"/>
                <w:lang w:eastAsia="pt-BR"/>
              </w:rPr>
            </w:pPr>
            <w:r w:rsidRPr="005B06C1">
              <w:rPr>
                <w:rFonts w:ascii="Arial" w:hAnsi="Arial" w:cs="Arial"/>
                <w:color w:val="auto"/>
                <w:sz w:val="14"/>
                <w:szCs w:val="14"/>
              </w:rPr>
              <w:t>10</w:t>
            </w:r>
            <w:r w:rsidR="009C73C9">
              <w:rPr>
                <w:rFonts w:ascii="Arial" w:hAnsi="Arial" w:cs="Arial"/>
                <w:color w:val="auto"/>
                <w:sz w:val="14"/>
                <w:szCs w:val="14"/>
              </w:rPr>
              <w:t>5</w:t>
            </w:r>
            <w:r w:rsidRPr="005B06C1">
              <w:rPr>
                <w:rFonts w:ascii="Arial" w:hAnsi="Arial" w:cs="Arial"/>
                <w:color w:val="auto"/>
                <w:sz w:val="14"/>
                <w:szCs w:val="14"/>
              </w:rPr>
              <w:t>.780</w:t>
            </w:r>
          </w:p>
        </w:tc>
      </w:tr>
      <w:tr w:rsidR="00F27DC1" w:rsidRPr="004A3EB4" w14:paraId="24B2F454"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668AFCC9" w14:textId="77777777" w:rsidR="00F27DC1" w:rsidRPr="004A3EB4" w:rsidRDefault="00F27DC1" w:rsidP="00F27DC1">
            <w:pPr>
              <w:pStyle w:val="08-Tabelageral"/>
              <w:ind w:left="113"/>
              <w:jc w:val="left"/>
              <w:rPr>
                <w:rFonts w:cs="Arial"/>
                <w:b w:val="0"/>
              </w:rPr>
            </w:pPr>
            <w:proofErr w:type="spellStart"/>
            <w:r w:rsidRPr="004A3EB4">
              <w:rPr>
                <w:rFonts w:cs="Arial"/>
                <w:b w:val="0"/>
              </w:rPr>
              <w:t>Brasildental</w:t>
            </w:r>
            <w:proofErr w:type="spellEnd"/>
          </w:p>
        </w:tc>
        <w:tc>
          <w:tcPr>
            <w:tcW w:w="1407" w:type="dxa"/>
            <w:tcBorders>
              <w:top w:val="nil"/>
              <w:bottom w:val="nil"/>
            </w:tcBorders>
            <w:vAlign w:val="center"/>
          </w:tcPr>
          <w:p w14:paraId="7D109D48" w14:textId="77777777" w:rsidR="00F27DC1" w:rsidRPr="004A3EB4" w:rsidRDefault="00F27DC1" w:rsidP="00F27DC1">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4A3EB4">
              <w:rPr>
                <w:rFonts w:cs="Arial"/>
              </w:rPr>
              <w:t>Odontológico</w:t>
            </w:r>
          </w:p>
        </w:tc>
        <w:tc>
          <w:tcPr>
            <w:tcW w:w="1408" w:type="dxa"/>
            <w:tcBorders>
              <w:top w:val="nil"/>
              <w:bottom w:val="nil"/>
            </w:tcBorders>
            <w:vAlign w:val="center"/>
          </w:tcPr>
          <w:p w14:paraId="016ED370" w14:textId="77777777" w:rsidR="00F27DC1" w:rsidRPr="004A3EB4"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A3EB4">
              <w:rPr>
                <w:rFonts w:cs="Arial"/>
              </w:rPr>
              <w:t>74,99%</w:t>
            </w:r>
          </w:p>
        </w:tc>
        <w:tc>
          <w:tcPr>
            <w:tcW w:w="1404" w:type="dxa"/>
            <w:tcBorders>
              <w:top w:val="nil"/>
              <w:bottom w:val="nil"/>
            </w:tcBorders>
            <w:vAlign w:val="center"/>
          </w:tcPr>
          <w:p w14:paraId="13B221F8" w14:textId="480DF75A" w:rsidR="00F27DC1" w:rsidRPr="00F629C5" w:rsidRDefault="00F629C5"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F629C5">
              <w:rPr>
                <w:color w:val="auto"/>
              </w:rPr>
              <w:t>15.582</w:t>
            </w:r>
          </w:p>
        </w:tc>
        <w:tc>
          <w:tcPr>
            <w:tcW w:w="1405" w:type="dxa"/>
            <w:tcBorders>
              <w:top w:val="nil"/>
              <w:bottom w:val="nil"/>
            </w:tcBorders>
            <w:vAlign w:val="center"/>
          </w:tcPr>
          <w:p w14:paraId="33CDD600" w14:textId="2A903F3B" w:rsidR="00F27DC1" w:rsidRPr="004A3EB4"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2289B">
              <w:rPr>
                <w:rFonts w:cs="Arial"/>
                <w:color w:val="auto"/>
              </w:rPr>
              <w:t>12.880</w:t>
            </w:r>
          </w:p>
        </w:tc>
        <w:tc>
          <w:tcPr>
            <w:tcW w:w="1914" w:type="dxa"/>
            <w:tcBorders>
              <w:top w:val="nil"/>
              <w:bottom w:val="nil"/>
            </w:tcBorders>
            <w:vAlign w:val="center"/>
          </w:tcPr>
          <w:p w14:paraId="7A979819" w14:textId="292F0BA4" w:rsidR="00F27DC1" w:rsidRPr="005B06C1" w:rsidRDefault="005B06C1" w:rsidP="00F27DC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color w:val="auto"/>
                <w:sz w:val="14"/>
                <w:szCs w:val="14"/>
                <w:lang w:eastAsia="pt-BR"/>
              </w:rPr>
            </w:pPr>
            <w:r w:rsidRPr="005B06C1">
              <w:rPr>
                <w:rFonts w:ascii="Arial" w:hAnsi="Arial" w:cs="Arial"/>
                <w:color w:val="auto"/>
                <w:sz w:val="14"/>
                <w:szCs w:val="14"/>
                <w:lang w:eastAsia="pt-BR"/>
              </w:rPr>
              <w:t>17.702</w:t>
            </w:r>
          </w:p>
        </w:tc>
      </w:tr>
      <w:tr w:rsidR="00F27DC1" w:rsidRPr="004A3EB4" w14:paraId="4E4955F0" w14:textId="77777777" w:rsidTr="00D7056E">
        <w:trPr>
          <w:trHeight w:hRule="exact" w:val="266"/>
        </w:trPr>
        <w:tc>
          <w:tcPr>
            <w:cnfStyle w:val="001000000000" w:firstRow="0" w:lastRow="0" w:firstColumn="1" w:lastColumn="0" w:oddVBand="0" w:evenVBand="0" w:oddHBand="0" w:evenHBand="0" w:firstRowFirstColumn="0" w:firstRowLastColumn="0" w:lastRowFirstColumn="0" w:lastRowLastColumn="0"/>
            <w:tcW w:w="2101" w:type="dxa"/>
            <w:tcBorders>
              <w:top w:val="nil"/>
              <w:bottom w:val="nil"/>
            </w:tcBorders>
            <w:vAlign w:val="center"/>
          </w:tcPr>
          <w:p w14:paraId="0053F257" w14:textId="77777777" w:rsidR="00F27DC1" w:rsidRPr="004A3EB4" w:rsidRDefault="00F27DC1" w:rsidP="00F27DC1">
            <w:pPr>
              <w:pStyle w:val="08-Tabelageral"/>
              <w:tabs>
                <w:tab w:val="left" w:pos="1141"/>
              </w:tabs>
              <w:jc w:val="left"/>
              <w:rPr>
                <w:rFonts w:cs="Arial"/>
                <w:snapToGrid w:val="0"/>
              </w:rPr>
            </w:pPr>
            <w:r w:rsidRPr="004A3EB4">
              <w:rPr>
                <w:rFonts w:cs="Arial"/>
              </w:rPr>
              <w:t>BB Corretora</w:t>
            </w:r>
          </w:p>
        </w:tc>
        <w:tc>
          <w:tcPr>
            <w:tcW w:w="1407" w:type="dxa"/>
            <w:tcBorders>
              <w:top w:val="nil"/>
              <w:bottom w:val="nil"/>
            </w:tcBorders>
            <w:vAlign w:val="center"/>
          </w:tcPr>
          <w:p w14:paraId="2F84B372" w14:textId="77777777" w:rsidR="00F27DC1" w:rsidRPr="005B06C1" w:rsidRDefault="00F27DC1" w:rsidP="00F27DC1">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rPr>
            </w:pPr>
            <w:r w:rsidRPr="005B06C1">
              <w:rPr>
                <w:rFonts w:cs="Arial"/>
                <w:b/>
                <w:bCs/>
              </w:rPr>
              <w:t>Corretora</w:t>
            </w:r>
          </w:p>
        </w:tc>
        <w:tc>
          <w:tcPr>
            <w:tcW w:w="1408" w:type="dxa"/>
            <w:tcBorders>
              <w:top w:val="nil"/>
              <w:bottom w:val="nil"/>
            </w:tcBorders>
            <w:vAlign w:val="center"/>
          </w:tcPr>
          <w:p w14:paraId="10E4ECF7" w14:textId="77777777" w:rsidR="00F27DC1" w:rsidRPr="005B06C1"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5B06C1">
              <w:rPr>
                <w:rFonts w:cs="Arial"/>
                <w:b/>
                <w:bCs/>
              </w:rPr>
              <w:t>100,00%</w:t>
            </w:r>
          </w:p>
        </w:tc>
        <w:tc>
          <w:tcPr>
            <w:tcW w:w="1404" w:type="dxa"/>
            <w:tcBorders>
              <w:top w:val="nil"/>
              <w:bottom w:val="nil"/>
            </w:tcBorders>
            <w:vAlign w:val="center"/>
          </w:tcPr>
          <w:p w14:paraId="39638BB5" w14:textId="77777777" w:rsidR="00F27DC1" w:rsidRPr="005B06C1"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rPr>
            </w:pPr>
            <w:r w:rsidRPr="005B06C1">
              <w:rPr>
                <w:rFonts w:cs="Arial"/>
                <w:b/>
                <w:bCs/>
                <w:color w:val="auto"/>
              </w:rPr>
              <w:t>46.908</w:t>
            </w:r>
          </w:p>
        </w:tc>
        <w:tc>
          <w:tcPr>
            <w:tcW w:w="1405" w:type="dxa"/>
            <w:tcBorders>
              <w:top w:val="nil"/>
              <w:bottom w:val="nil"/>
            </w:tcBorders>
            <w:vAlign w:val="center"/>
          </w:tcPr>
          <w:p w14:paraId="3AF37FA3" w14:textId="14621A59" w:rsidR="00F27DC1" w:rsidRPr="005B06C1" w:rsidRDefault="00F27DC1" w:rsidP="00F27DC1">
            <w:pPr>
              <w:pStyle w:val="08-Tabelageral"/>
              <w:cnfStyle w:val="000000000000" w:firstRow="0" w:lastRow="0" w:firstColumn="0" w:lastColumn="0" w:oddVBand="0" w:evenVBand="0" w:oddHBand="0" w:evenHBand="0" w:firstRowFirstColumn="0" w:firstRowLastColumn="0" w:lastRowFirstColumn="0" w:lastRowLastColumn="0"/>
              <w:rPr>
                <w:rFonts w:cs="Arial"/>
                <w:b/>
                <w:bCs/>
              </w:rPr>
            </w:pPr>
            <w:r w:rsidRPr="005B06C1">
              <w:rPr>
                <w:rFonts w:cs="Arial"/>
                <w:b/>
                <w:bCs/>
                <w:color w:val="auto"/>
              </w:rPr>
              <w:t>46.908</w:t>
            </w:r>
          </w:p>
        </w:tc>
        <w:tc>
          <w:tcPr>
            <w:tcW w:w="1914" w:type="dxa"/>
            <w:tcBorders>
              <w:top w:val="nil"/>
              <w:bottom w:val="nil"/>
            </w:tcBorders>
            <w:vAlign w:val="center"/>
          </w:tcPr>
          <w:p w14:paraId="2A7464BC" w14:textId="0265CE28" w:rsidR="00F27DC1" w:rsidRPr="005B06C1" w:rsidRDefault="005B06C1" w:rsidP="00F27DC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14"/>
                <w:szCs w:val="14"/>
                <w:lang w:eastAsia="pt-BR"/>
              </w:rPr>
            </w:pPr>
            <w:r w:rsidRPr="005B06C1">
              <w:rPr>
                <w:rFonts w:ascii="Arial" w:hAnsi="Arial" w:cs="Arial"/>
                <w:b/>
                <w:bCs/>
                <w:color w:val="auto"/>
                <w:sz w:val="14"/>
                <w:szCs w:val="14"/>
              </w:rPr>
              <w:t>1.969.105</w:t>
            </w:r>
          </w:p>
        </w:tc>
      </w:tr>
      <w:tr w:rsidR="00F27DC1" w:rsidRPr="004A3EB4" w14:paraId="3078631A"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bottom w:val="single" w:sz="2" w:space="0" w:color="9CC2E5" w:themeColor="accent1" w:themeTint="99"/>
            </w:tcBorders>
          </w:tcPr>
          <w:p w14:paraId="6E72C9A0" w14:textId="77777777" w:rsidR="00F27DC1" w:rsidRPr="004A3EB4" w:rsidRDefault="00F27DC1" w:rsidP="00F27DC1">
            <w:pPr>
              <w:pStyle w:val="08-Tabelageral"/>
              <w:ind w:left="113"/>
              <w:jc w:val="left"/>
              <w:rPr>
                <w:rFonts w:cs="Arial"/>
                <w:b w:val="0"/>
              </w:rPr>
            </w:pPr>
            <w:proofErr w:type="spellStart"/>
            <w:r w:rsidRPr="004A3EB4">
              <w:rPr>
                <w:rFonts w:cs="Arial"/>
                <w:b w:val="0"/>
              </w:rPr>
              <w:t>Ciclic</w:t>
            </w:r>
            <w:proofErr w:type="spellEnd"/>
          </w:p>
        </w:tc>
        <w:tc>
          <w:tcPr>
            <w:tcW w:w="1407" w:type="dxa"/>
            <w:tcBorders>
              <w:top w:val="nil"/>
              <w:bottom w:val="single" w:sz="2" w:space="0" w:color="9CC2E5" w:themeColor="accent1" w:themeTint="99"/>
            </w:tcBorders>
            <w:vAlign w:val="center"/>
          </w:tcPr>
          <w:p w14:paraId="44ADFF7A" w14:textId="77777777" w:rsidR="00F27DC1" w:rsidRPr="004A3EB4" w:rsidRDefault="00F27DC1" w:rsidP="00F27DC1">
            <w:pPr>
              <w:pStyle w:val="08-Tabelageral"/>
              <w:jc w:val="center"/>
              <w:cnfStyle w:val="000000100000" w:firstRow="0" w:lastRow="0" w:firstColumn="0" w:lastColumn="0" w:oddVBand="0" w:evenVBand="0" w:oddHBand="1" w:evenHBand="0" w:firstRowFirstColumn="0" w:firstRowLastColumn="0" w:lastRowFirstColumn="0" w:lastRowLastColumn="0"/>
              <w:rPr>
                <w:rFonts w:cs="Arial"/>
              </w:rPr>
            </w:pPr>
            <w:r w:rsidRPr="004A3EB4">
              <w:rPr>
                <w:rFonts w:cs="Arial"/>
              </w:rPr>
              <w:t>Corretora</w:t>
            </w:r>
          </w:p>
        </w:tc>
        <w:tc>
          <w:tcPr>
            <w:tcW w:w="1408" w:type="dxa"/>
            <w:tcBorders>
              <w:top w:val="nil"/>
              <w:bottom w:val="single" w:sz="2" w:space="0" w:color="9CC2E5" w:themeColor="accent1" w:themeTint="99"/>
            </w:tcBorders>
            <w:vAlign w:val="center"/>
          </w:tcPr>
          <w:p w14:paraId="622ECB01" w14:textId="77777777" w:rsidR="00F27DC1" w:rsidRPr="004A3EB4"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4A3EB4">
              <w:rPr>
                <w:rFonts w:cs="Arial"/>
              </w:rPr>
              <w:t>74,99%</w:t>
            </w:r>
          </w:p>
        </w:tc>
        <w:tc>
          <w:tcPr>
            <w:tcW w:w="1404" w:type="dxa"/>
            <w:tcBorders>
              <w:top w:val="nil"/>
              <w:bottom w:val="single" w:sz="2" w:space="0" w:color="9CC2E5" w:themeColor="accent1" w:themeTint="99"/>
            </w:tcBorders>
            <w:vAlign w:val="center"/>
          </w:tcPr>
          <w:p w14:paraId="382EBD7B" w14:textId="6A1AF192" w:rsidR="00F27DC1" w:rsidRPr="00F629C5" w:rsidRDefault="00F629C5" w:rsidP="00F27DC1">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F629C5">
              <w:rPr>
                <w:color w:val="auto"/>
              </w:rPr>
              <w:t>14.483</w:t>
            </w:r>
          </w:p>
        </w:tc>
        <w:tc>
          <w:tcPr>
            <w:tcW w:w="1405" w:type="dxa"/>
            <w:tcBorders>
              <w:top w:val="nil"/>
              <w:bottom w:val="single" w:sz="2" w:space="0" w:color="9CC2E5" w:themeColor="accent1" w:themeTint="99"/>
            </w:tcBorders>
            <w:vAlign w:val="center"/>
          </w:tcPr>
          <w:p w14:paraId="7427E289" w14:textId="253B055B" w:rsidR="00F27DC1" w:rsidRPr="004A3EB4" w:rsidRDefault="00F27DC1" w:rsidP="00F27DC1">
            <w:pPr>
              <w:pStyle w:val="08-Tabelageral"/>
              <w:cnfStyle w:val="000000100000" w:firstRow="0" w:lastRow="0" w:firstColumn="0" w:lastColumn="0" w:oddVBand="0" w:evenVBand="0" w:oddHBand="1" w:evenHBand="0" w:firstRowFirstColumn="0" w:firstRowLastColumn="0" w:lastRowFirstColumn="0" w:lastRowLastColumn="0"/>
              <w:rPr>
                <w:rFonts w:cs="Arial"/>
              </w:rPr>
            </w:pPr>
            <w:r w:rsidRPr="00F2289B">
              <w:rPr>
                <w:rFonts w:cs="Arial"/>
                <w:color w:val="auto"/>
              </w:rPr>
              <w:t>4.798</w:t>
            </w:r>
          </w:p>
        </w:tc>
        <w:tc>
          <w:tcPr>
            <w:tcW w:w="1914" w:type="dxa"/>
            <w:tcBorders>
              <w:top w:val="nil"/>
              <w:bottom w:val="single" w:sz="2" w:space="0" w:color="9CC2E5" w:themeColor="accent1" w:themeTint="99"/>
            </w:tcBorders>
            <w:vAlign w:val="center"/>
          </w:tcPr>
          <w:p w14:paraId="392A8D38" w14:textId="47973E1B" w:rsidR="00F27DC1" w:rsidRPr="005B06C1" w:rsidRDefault="00F27DC1" w:rsidP="00F27DC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color w:val="auto"/>
                <w:sz w:val="14"/>
                <w:szCs w:val="14"/>
                <w:lang w:eastAsia="pt-BR"/>
              </w:rPr>
            </w:pPr>
            <w:r w:rsidRPr="005B06C1">
              <w:rPr>
                <w:rFonts w:ascii="Arial" w:hAnsi="Arial" w:cs="Arial"/>
                <w:color w:val="auto"/>
                <w:sz w:val="14"/>
                <w:szCs w:val="14"/>
              </w:rPr>
              <w:t>(</w:t>
            </w:r>
            <w:r w:rsidR="005B06C1" w:rsidRPr="005B06C1">
              <w:rPr>
                <w:rFonts w:ascii="Arial" w:hAnsi="Arial" w:cs="Arial"/>
                <w:color w:val="auto"/>
                <w:sz w:val="14"/>
                <w:szCs w:val="14"/>
              </w:rPr>
              <w:t>15.914</w:t>
            </w:r>
            <w:r w:rsidRPr="005B06C1">
              <w:rPr>
                <w:rFonts w:ascii="Arial" w:hAnsi="Arial" w:cs="Arial"/>
                <w:color w:val="auto"/>
                <w:sz w:val="14"/>
                <w:szCs w:val="14"/>
              </w:rPr>
              <w:t>)</w:t>
            </w:r>
          </w:p>
        </w:tc>
      </w:tr>
    </w:tbl>
    <w:p w14:paraId="4843EAE6" w14:textId="77777777" w:rsidR="00E82B32" w:rsidRPr="00E82B32" w:rsidRDefault="00E82B32" w:rsidP="005507F9">
      <w:pPr>
        <w:pStyle w:val="03-SubttulodeNota"/>
        <w:keepNext/>
        <w:spacing w:line="276" w:lineRule="auto"/>
        <w:rPr>
          <w:color w:val="1F4E79" w:themeColor="accent1" w:themeShade="80"/>
          <w:sz w:val="10"/>
          <w:szCs w:val="10"/>
        </w:rPr>
      </w:pPr>
    </w:p>
    <w:p w14:paraId="76220057" w14:textId="64025356" w:rsidR="00F926DB" w:rsidRDefault="00F926DB" w:rsidP="005507F9">
      <w:pPr>
        <w:pStyle w:val="03-SubttulodeNota"/>
        <w:keepNext/>
        <w:spacing w:line="276" w:lineRule="auto"/>
        <w:rPr>
          <w:color w:val="1F4E79" w:themeColor="accent1" w:themeShade="80"/>
        </w:rPr>
      </w:pPr>
      <w:r>
        <w:rPr>
          <w:color w:val="1F4E79" w:themeColor="accent1" w:themeShade="80"/>
        </w:rPr>
        <w:t xml:space="preserve">Mudanças no investimento na </w:t>
      </w:r>
      <w:proofErr w:type="spellStart"/>
      <w:r>
        <w:rPr>
          <w:color w:val="1F4E79" w:themeColor="accent1" w:themeShade="80"/>
        </w:rPr>
        <w:t>Brasilprev</w:t>
      </w:r>
      <w:proofErr w:type="spellEnd"/>
      <w:r>
        <w:rPr>
          <w:color w:val="1F4E79" w:themeColor="accent1" w:themeShade="80"/>
        </w:rPr>
        <w:t xml:space="preserve"> </w:t>
      </w:r>
    </w:p>
    <w:p w14:paraId="3DFA40D2" w14:textId="77777777" w:rsidR="008E2FB8" w:rsidRDefault="008E2FB8" w:rsidP="008E2FB8">
      <w:pPr>
        <w:spacing w:after="0"/>
        <w:jc w:val="both"/>
        <w:rPr>
          <w:rFonts w:ascii="Arial" w:eastAsia="Times New Roman" w:hAnsi="Arial" w:cs="Arial"/>
          <w:spacing w:val="-2"/>
          <w:sz w:val="18"/>
          <w:szCs w:val="18"/>
          <w:lang w:eastAsia="pt-BR"/>
        </w:rPr>
      </w:pPr>
      <w:r w:rsidRPr="00A91516">
        <w:rPr>
          <w:rFonts w:ascii="Arial" w:eastAsia="Times New Roman" w:hAnsi="Arial" w:cs="Arial"/>
          <w:spacing w:val="-2"/>
          <w:sz w:val="18"/>
          <w:szCs w:val="18"/>
          <w:lang w:eastAsia="pt-BR"/>
        </w:rPr>
        <w:t xml:space="preserve">Em 30 de dezembro de 2020 foi aprovado um reforço de capital na </w:t>
      </w:r>
      <w:proofErr w:type="spellStart"/>
      <w:r w:rsidRPr="00A91516">
        <w:rPr>
          <w:rFonts w:ascii="Arial" w:eastAsia="Times New Roman" w:hAnsi="Arial" w:cs="Arial"/>
          <w:spacing w:val="-2"/>
          <w:sz w:val="18"/>
          <w:szCs w:val="18"/>
          <w:lang w:eastAsia="pt-BR"/>
        </w:rPr>
        <w:t>Brasilprev</w:t>
      </w:r>
      <w:proofErr w:type="spellEnd"/>
      <w:r w:rsidRPr="00A91516">
        <w:rPr>
          <w:rFonts w:ascii="Arial" w:eastAsia="Times New Roman" w:hAnsi="Arial" w:cs="Arial"/>
          <w:spacing w:val="-2"/>
          <w:sz w:val="18"/>
          <w:szCs w:val="18"/>
          <w:lang w:eastAsia="pt-BR"/>
        </w:rPr>
        <w:t xml:space="preserve">, no montante de R$1,2 bilhão. O reforço se fez necessário em virtude da forte alta do IGP-M, ocorrida principalmente no segundo semestre de 2020, fato que, concomitantemente com o fechamento da curva de longo prazo </w:t>
      </w:r>
      <w:r>
        <w:rPr>
          <w:rFonts w:ascii="Arial" w:eastAsia="Times New Roman" w:hAnsi="Arial" w:cs="Arial"/>
          <w:spacing w:val="-2"/>
          <w:sz w:val="18"/>
          <w:szCs w:val="18"/>
          <w:lang w:eastAsia="pt-BR"/>
        </w:rPr>
        <w:t>da estrutura a termo de taxa de juros em IGP-M</w:t>
      </w:r>
      <w:r w:rsidRPr="00A91516">
        <w:rPr>
          <w:rFonts w:ascii="Arial" w:eastAsia="Times New Roman" w:hAnsi="Arial" w:cs="Arial"/>
          <w:spacing w:val="-2"/>
          <w:sz w:val="18"/>
          <w:szCs w:val="18"/>
          <w:lang w:eastAsia="pt-BR"/>
        </w:rPr>
        <w:t xml:space="preserve"> (ETTJ IGP-M), resultou na elevação do passivo dos planos tradicionais da </w:t>
      </w:r>
      <w:proofErr w:type="spellStart"/>
      <w:r w:rsidRPr="00A91516">
        <w:rPr>
          <w:rFonts w:ascii="Arial" w:eastAsia="Times New Roman" w:hAnsi="Arial" w:cs="Arial"/>
          <w:spacing w:val="-2"/>
          <w:sz w:val="18"/>
          <w:szCs w:val="18"/>
          <w:lang w:eastAsia="pt-BR"/>
        </w:rPr>
        <w:t>Brasilprev</w:t>
      </w:r>
      <w:proofErr w:type="spellEnd"/>
      <w:r w:rsidRPr="00A91516">
        <w:rPr>
          <w:rFonts w:ascii="Arial" w:eastAsia="Times New Roman" w:hAnsi="Arial" w:cs="Arial"/>
          <w:spacing w:val="-2"/>
          <w:sz w:val="18"/>
          <w:szCs w:val="18"/>
          <w:lang w:eastAsia="pt-BR"/>
        </w:rPr>
        <w:t xml:space="preserve"> atrelados a este índice, sem a respectiva valorização proporcional dos ativos de cobertura. Essa combinação de fatores resultou em elevação do </w:t>
      </w:r>
      <w:r>
        <w:rPr>
          <w:rFonts w:ascii="Arial" w:eastAsia="Times New Roman" w:hAnsi="Arial" w:cs="Arial"/>
          <w:spacing w:val="-2"/>
          <w:sz w:val="18"/>
          <w:szCs w:val="18"/>
          <w:lang w:eastAsia="pt-BR"/>
        </w:rPr>
        <w:t>Capital Mínimo Requerido (</w:t>
      </w:r>
      <w:r w:rsidRPr="00A91516">
        <w:rPr>
          <w:rFonts w:ascii="Arial" w:eastAsia="Times New Roman" w:hAnsi="Arial" w:cs="Arial"/>
          <w:spacing w:val="-2"/>
          <w:sz w:val="18"/>
          <w:szCs w:val="18"/>
          <w:lang w:eastAsia="pt-BR"/>
        </w:rPr>
        <w:t>CMR</w:t>
      </w:r>
      <w:r>
        <w:rPr>
          <w:rFonts w:ascii="Arial" w:eastAsia="Times New Roman" w:hAnsi="Arial" w:cs="Arial"/>
          <w:spacing w:val="-2"/>
          <w:sz w:val="18"/>
          <w:szCs w:val="18"/>
          <w:lang w:eastAsia="pt-BR"/>
        </w:rPr>
        <w:t>)</w:t>
      </w:r>
      <w:r w:rsidRPr="00A91516">
        <w:rPr>
          <w:rFonts w:ascii="Arial" w:eastAsia="Times New Roman" w:hAnsi="Arial" w:cs="Arial"/>
          <w:spacing w:val="-2"/>
          <w:sz w:val="18"/>
          <w:szCs w:val="18"/>
          <w:lang w:eastAsia="pt-BR"/>
        </w:rPr>
        <w:t xml:space="preserve"> nas parcelas associadas aos riscos de subscrição e de mercado e impactou diretamente o resultado do Teste de Adequação do Passivo (TAP), promovendo redução do </w:t>
      </w:r>
      <w:r>
        <w:rPr>
          <w:rFonts w:ascii="Arial" w:eastAsia="Times New Roman" w:hAnsi="Arial" w:cs="Arial"/>
          <w:spacing w:val="-2"/>
          <w:sz w:val="18"/>
          <w:szCs w:val="18"/>
          <w:lang w:eastAsia="pt-BR"/>
        </w:rPr>
        <w:t>Patrimônio Líquido Ajustado (</w:t>
      </w:r>
      <w:r w:rsidRPr="00A91516">
        <w:rPr>
          <w:rFonts w:ascii="Arial" w:eastAsia="Times New Roman" w:hAnsi="Arial" w:cs="Arial"/>
          <w:spacing w:val="-2"/>
          <w:sz w:val="18"/>
          <w:szCs w:val="18"/>
          <w:lang w:eastAsia="pt-BR"/>
        </w:rPr>
        <w:t>PLA</w:t>
      </w:r>
      <w:r>
        <w:rPr>
          <w:rFonts w:ascii="Arial" w:eastAsia="Times New Roman" w:hAnsi="Arial" w:cs="Arial"/>
          <w:spacing w:val="-2"/>
          <w:sz w:val="18"/>
          <w:szCs w:val="18"/>
          <w:lang w:eastAsia="pt-BR"/>
        </w:rPr>
        <w:t>)</w:t>
      </w:r>
      <w:r w:rsidRPr="00A91516">
        <w:rPr>
          <w:rFonts w:ascii="Arial" w:eastAsia="Times New Roman" w:hAnsi="Arial" w:cs="Arial"/>
          <w:spacing w:val="-2"/>
          <w:sz w:val="18"/>
          <w:szCs w:val="18"/>
          <w:lang w:eastAsia="pt-BR"/>
        </w:rPr>
        <w:t xml:space="preserve"> da referida investida, em especial na parcela composta pelos chamados “ajustes associados a variações econômicas”.</w:t>
      </w:r>
    </w:p>
    <w:p w14:paraId="15D97147" w14:textId="77777777" w:rsidR="00A91516" w:rsidRPr="00441B6A" w:rsidRDefault="00A91516" w:rsidP="00441B6A">
      <w:pPr>
        <w:spacing w:after="0"/>
        <w:jc w:val="both"/>
        <w:rPr>
          <w:rFonts w:ascii="Arial" w:eastAsia="Times New Roman" w:hAnsi="Arial" w:cs="Arial"/>
          <w:spacing w:val="-2"/>
          <w:sz w:val="18"/>
          <w:szCs w:val="18"/>
          <w:lang w:eastAsia="pt-BR"/>
        </w:rPr>
      </w:pPr>
    </w:p>
    <w:p w14:paraId="4D2D8200" w14:textId="77777777" w:rsidR="00441B6A" w:rsidRPr="00441B6A" w:rsidRDefault="00441B6A" w:rsidP="00441B6A">
      <w:pPr>
        <w:spacing w:after="0"/>
        <w:jc w:val="both"/>
        <w:rPr>
          <w:rFonts w:ascii="Arial" w:eastAsia="Times New Roman" w:hAnsi="Arial" w:cs="Arial"/>
          <w:spacing w:val="-2"/>
          <w:sz w:val="18"/>
          <w:szCs w:val="18"/>
          <w:lang w:eastAsia="pt-BR"/>
        </w:rPr>
      </w:pPr>
      <w:r w:rsidRPr="00441B6A">
        <w:rPr>
          <w:rFonts w:ascii="Arial" w:eastAsia="Times New Roman" w:hAnsi="Arial" w:cs="Arial"/>
          <w:spacing w:val="-2"/>
          <w:sz w:val="18"/>
          <w:szCs w:val="18"/>
          <w:lang w:eastAsia="pt-BR"/>
        </w:rPr>
        <w:t>Considerando a manutenção da participação acionária de 74,995%, o montante subscrito e integralizado pela BB Seguros foi de R$899,9 milhões.</w:t>
      </w:r>
    </w:p>
    <w:p w14:paraId="65E11E41" w14:textId="77777777" w:rsidR="00441B6A" w:rsidRPr="00441B6A" w:rsidRDefault="00441B6A" w:rsidP="00441B6A">
      <w:pPr>
        <w:spacing w:after="0"/>
        <w:jc w:val="both"/>
        <w:rPr>
          <w:rFonts w:ascii="Arial" w:eastAsia="Times New Roman" w:hAnsi="Arial" w:cs="Arial"/>
          <w:spacing w:val="-2"/>
          <w:sz w:val="18"/>
          <w:szCs w:val="18"/>
          <w:lang w:eastAsia="pt-BR"/>
        </w:rPr>
      </w:pPr>
    </w:p>
    <w:p w14:paraId="64AB4E87" w14:textId="00B47421" w:rsidR="005507F9" w:rsidRPr="005507F9" w:rsidRDefault="005507F9" w:rsidP="0083617A">
      <w:pPr>
        <w:pStyle w:val="03-SubttulodeNota"/>
        <w:keepNext/>
        <w:spacing w:line="276" w:lineRule="auto"/>
        <w:rPr>
          <w:color w:val="1F4E79" w:themeColor="accent1" w:themeShade="80"/>
        </w:rPr>
      </w:pPr>
      <w:r w:rsidRPr="005507F9">
        <w:rPr>
          <w:color w:val="1F4E79" w:themeColor="accent1" w:themeShade="80"/>
        </w:rPr>
        <w:t xml:space="preserve">Desempenho das </w:t>
      </w:r>
      <w:r w:rsidR="00323DE1">
        <w:rPr>
          <w:color w:val="1F4E79" w:themeColor="accent1" w:themeShade="80"/>
        </w:rPr>
        <w:t>investidas</w:t>
      </w:r>
      <w:r w:rsidR="00323DE1">
        <w:rPr>
          <w:color w:val="1F4E79" w:themeColor="accent1" w:themeShade="80"/>
        </w:rPr>
        <w:tab/>
      </w:r>
    </w:p>
    <w:p w14:paraId="1AF06EB5" w14:textId="77777777" w:rsidR="005507F9" w:rsidRPr="005507F9" w:rsidRDefault="005507F9" w:rsidP="005507F9">
      <w:pPr>
        <w:pStyle w:val="03-SubttulodeNota"/>
        <w:spacing w:line="276" w:lineRule="auto"/>
        <w:rPr>
          <w:color w:val="1F4E79" w:themeColor="accent1" w:themeShade="80"/>
        </w:rPr>
      </w:pPr>
      <w:proofErr w:type="spellStart"/>
      <w:r w:rsidRPr="005507F9">
        <w:rPr>
          <w:color w:val="1F4E79" w:themeColor="accent1" w:themeShade="80"/>
        </w:rPr>
        <w:t>Brasilseg</w:t>
      </w:r>
      <w:proofErr w:type="spellEnd"/>
    </w:p>
    <w:p w14:paraId="52B9DD3A" w14:textId="77777777" w:rsidR="00975CCA" w:rsidRPr="00975CCA" w:rsidRDefault="00975CCA" w:rsidP="00975CCA">
      <w:pPr>
        <w:autoSpaceDE w:val="0"/>
        <w:autoSpaceDN w:val="0"/>
        <w:adjustRightInd w:val="0"/>
        <w:spacing w:before="120" w:after="120"/>
        <w:jc w:val="both"/>
        <w:rPr>
          <w:rFonts w:ascii="Arial" w:eastAsia="Times New Roman" w:hAnsi="Arial" w:cs="Arial"/>
          <w:sz w:val="18"/>
          <w:lang w:eastAsia="pt-BR"/>
        </w:rPr>
      </w:pPr>
      <w:r w:rsidRPr="00975CCA">
        <w:rPr>
          <w:rFonts w:ascii="Arial" w:eastAsia="Times New Roman" w:hAnsi="Arial" w:cs="Arial"/>
          <w:sz w:val="18"/>
          <w:lang w:eastAsia="pt-BR"/>
        </w:rPr>
        <w:t xml:space="preserve">No segmento de seguros, operado pela </w:t>
      </w:r>
      <w:proofErr w:type="spellStart"/>
      <w:r w:rsidRPr="00975CCA">
        <w:rPr>
          <w:rFonts w:ascii="Arial" w:eastAsia="Times New Roman" w:hAnsi="Arial" w:cs="Arial"/>
          <w:sz w:val="18"/>
          <w:lang w:eastAsia="pt-BR"/>
        </w:rPr>
        <w:t>Brasilseg</w:t>
      </w:r>
      <w:proofErr w:type="spellEnd"/>
      <w:r w:rsidRPr="00975CCA">
        <w:rPr>
          <w:rFonts w:ascii="Arial" w:eastAsia="Times New Roman" w:hAnsi="Arial" w:cs="Arial"/>
          <w:sz w:val="18"/>
          <w:lang w:eastAsia="pt-BR"/>
        </w:rPr>
        <w:t xml:space="preserve">, o lucro líquido ajustado registrou alta de 2,4%, desempenho explicado pela evolução de 10,1% dos prêmios ganhos retidos e por uma menor alíquota efetiva de imposto. </w:t>
      </w:r>
    </w:p>
    <w:p w14:paraId="3F68CFD3" w14:textId="77777777" w:rsidR="00975CCA" w:rsidRPr="00975CCA" w:rsidRDefault="00975CCA" w:rsidP="00975CCA">
      <w:pPr>
        <w:autoSpaceDE w:val="0"/>
        <w:autoSpaceDN w:val="0"/>
        <w:adjustRightInd w:val="0"/>
        <w:spacing w:before="120" w:after="120"/>
        <w:jc w:val="both"/>
        <w:rPr>
          <w:rFonts w:ascii="Arial" w:eastAsia="Times New Roman" w:hAnsi="Arial" w:cs="Arial"/>
          <w:sz w:val="18"/>
          <w:lang w:eastAsia="pt-BR"/>
        </w:rPr>
      </w:pPr>
      <w:r w:rsidRPr="00975CCA">
        <w:rPr>
          <w:rFonts w:ascii="Arial" w:eastAsia="Times New Roman" w:hAnsi="Arial" w:cs="Arial"/>
          <w:sz w:val="18"/>
          <w:lang w:eastAsia="pt-BR"/>
        </w:rPr>
        <w:t xml:space="preserve">Os prêmios emitidos apresentaram incremento de 14,8% no ano, impulsionado pelo bom desempenho das principais linhas de negócio: rural (+22,7%), beneficiado pelo aumento da subvenção do seguro rural ao prêmio de seguro e por medidas adotadas pela companhia para expansão do público-alvo do seguro agrícola (áreas não financiadas pelo BB e beneficiários do Pronaf); prestamista (+22,0%), em razão do bom volume de originação de crédito tanto para pessoas jurídicas como para pessoas físicas e pela melhora dos níveis de cancelamento; e vida (+5,2%), apoiado pelo lançamento de um novo portfólio de produtos em maio/2020 e pelo crescente interesse por essa modalidade de seguros em função da pandemia da Covid-19. </w:t>
      </w:r>
    </w:p>
    <w:p w14:paraId="32F9BA67" w14:textId="77777777" w:rsidR="00975CCA" w:rsidRPr="00975CCA" w:rsidRDefault="00975CCA" w:rsidP="00975CCA">
      <w:pPr>
        <w:autoSpaceDE w:val="0"/>
        <w:autoSpaceDN w:val="0"/>
        <w:adjustRightInd w:val="0"/>
        <w:spacing w:before="120" w:after="120"/>
        <w:jc w:val="both"/>
        <w:rPr>
          <w:rFonts w:ascii="Arial" w:eastAsia="Times New Roman" w:hAnsi="Arial" w:cs="Arial"/>
          <w:sz w:val="18"/>
          <w:lang w:eastAsia="pt-BR"/>
        </w:rPr>
      </w:pPr>
      <w:r w:rsidRPr="00975CCA">
        <w:rPr>
          <w:rFonts w:ascii="Arial" w:eastAsia="Times New Roman" w:hAnsi="Arial" w:cs="Arial"/>
          <w:sz w:val="18"/>
          <w:lang w:eastAsia="pt-BR"/>
        </w:rPr>
        <w:t xml:space="preserve">Entre os indicadores operacionais, o índice de sinistralidade apresentou alta de 1,7 </w:t>
      </w:r>
      <w:proofErr w:type="spellStart"/>
      <w:r w:rsidRPr="00975CCA">
        <w:rPr>
          <w:rFonts w:ascii="Arial" w:eastAsia="Times New Roman" w:hAnsi="Arial" w:cs="Arial"/>
          <w:sz w:val="18"/>
          <w:lang w:eastAsia="pt-BR"/>
        </w:rPr>
        <w:t>p.p</w:t>
      </w:r>
      <w:proofErr w:type="spellEnd"/>
      <w:r w:rsidRPr="00975CCA">
        <w:rPr>
          <w:rFonts w:ascii="Arial" w:eastAsia="Times New Roman" w:hAnsi="Arial" w:cs="Arial"/>
          <w:sz w:val="18"/>
          <w:lang w:eastAsia="pt-BR"/>
        </w:rPr>
        <w:t xml:space="preserve">., em função do aumento no número de avisos de sinistros, decorrente dos efeitos da pandemia do novo coronavírus nos produtos com cobertura de risco de vida. Descontados os avisos associados à Covid-19, o indicador teria apresentado melhora de 0,6 </w:t>
      </w:r>
      <w:proofErr w:type="spellStart"/>
      <w:r w:rsidRPr="00975CCA">
        <w:rPr>
          <w:rFonts w:ascii="Arial" w:eastAsia="Times New Roman" w:hAnsi="Arial" w:cs="Arial"/>
          <w:sz w:val="18"/>
          <w:lang w:eastAsia="pt-BR"/>
        </w:rPr>
        <w:t>p.p</w:t>
      </w:r>
      <w:proofErr w:type="spellEnd"/>
      <w:r w:rsidRPr="00975CCA">
        <w:rPr>
          <w:rFonts w:ascii="Arial" w:eastAsia="Times New Roman" w:hAnsi="Arial" w:cs="Arial"/>
          <w:sz w:val="18"/>
          <w:lang w:eastAsia="pt-BR"/>
        </w:rPr>
        <w:t xml:space="preserve">. no ano. Já o índice de comissionamento teve alta de 0,7 </w:t>
      </w:r>
      <w:proofErr w:type="spellStart"/>
      <w:r w:rsidRPr="00975CCA">
        <w:rPr>
          <w:rFonts w:ascii="Arial" w:eastAsia="Times New Roman" w:hAnsi="Arial" w:cs="Arial"/>
          <w:sz w:val="18"/>
          <w:lang w:eastAsia="pt-BR"/>
        </w:rPr>
        <w:t>p.p</w:t>
      </w:r>
      <w:proofErr w:type="spellEnd"/>
      <w:r w:rsidRPr="00975CCA">
        <w:rPr>
          <w:rFonts w:ascii="Arial" w:eastAsia="Times New Roman" w:hAnsi="Arial" w:cs="Arial"/>
          <w:sz w:val="18"/>
          <w:lang w:eastAsia="pt-BR"/>
        </w:rPr>
        <w:t>., explicada pelo maior volume de despesas com bônus de performance decorrente da superação de metas de comercialização de seguros de vida e prestamista. Adicionalmente, o índice de comissionamento foi impactado também por menores receitas com comissão de resseguro, uma vez que em 2019 a companhia reconheceu R$104,9 milhões como receita adicional advinda de contratos de resseguro com comissão escalonada do segmento rural.</w:t>
      </w:r>
    </w:p>
    <w:p w14:paraId="5A868C70" w14:textId="758EA65A" w:rsidR="00975CCA" w:rsidRDefault="00975CCA" w:rsidP="00975CCA">
      <w:pPr>
        <w:autoSpaceDE w:val="0"/>
        <w:autoSpaceDN w:val="0"/>
        <w:adjustRightInd w:val="0"/>
        <w:spacing w:before="120" w:after="120"/>
        <w:jc w:val="both"/>
        <w:rPr>
          <w:rFonts w:cs="Arial"/>
          <w:sz w:val="18"/>
        </w:rPr>
      </w:pPr>
      <w:r w:rsidRPr="00975CCA">
        <w:rPr>
          <w:rFonts w:ascii="Arial" w:eastAsia="Times New Roman" w:hAnsi="Arial" w:cs="Arial"/>
          <w:sz w:val="18"/>
          <w:lang w:eastAsia="pt-BR"/>
        </w:rPr>
        <w:t>Com relação ao financeiro, o resultado contraiu 26,7%, movimento justificado principalmente pela queda da taxa média Selic.</w:t>
      </w:r>
      <w:r w:rsidRPr="00975CCA">
        <w:rPr>
          <w:rFonts w:cs="Arial"/>
          <w:sz w:val="18"/>
        </w:rPr>
        <w:t xml:space="preserve"> </w:t>
      </w:r>
    </w:p>
    <w:p w14:paraId="7C90D3BC" w14:textId="77777777" w:rsidR="00975CCA" w:rsidRDefault="00975CCA" w:rsidP="00975CCA">
      <w:pPr>
        <w:autoSpaceDE w:val="0"/>
        <w:autoSpaceDN w:val="0"/>
        <w:adjustRightInd w:val="0"/>
        <w:spacing w:before="120" w:after="120"/>
        <w:jc w:val="both"/>
        <w:rPr>
          <w:rFonts w:cs="Arial"/>
          <w:sz w:val="18"/>
        </w:rPr>
      </w:pPr>
    </w:p>
    <w:p w14:paraId="50683476" w14:textId="2F22864A" w:rsidR="005507F9" w:rsidRPr="005507F9" w:rsidRDefault="005507F9" w:rsidP="00975CCA">
      <w:pPr>
        <w:pStyle w:val="03-SubttulodeNota"/>
        <w:spacing w:line="276" w:lineRule="auto"/>
        <w:rPr>
          <w:color w:val="1F4E79" w:themeColor="accent1" w:themeShade="80"/>
        </w:rPr>
      </w:pPr>
      <w:proofErr w:type="spellStart"/>
      <w:r w:rsidRPr="005507F9">
        <w:rPr>
          <w:color w:val="1F4E79" w:themeColor="accent1" w:themeShade="80"/>
        </w:rPr>
        <w:t>Brasilprev</w:t>
      </w:r>
      <w:proofErr w:type="spellEnd"/>
    </w:p>
    <w:p w14:paraId="08ABA631" w14:textId="77777777" w:rsidR="00975CCA" w:rsidRPr="00975CCA" w:rsidRDefault="00975CCA" w:rsidP="00975CCA">
      <w:pPr>
        <w:autoSpaceDE w:val="0"/>
        <w:autoSpaceDN w:val="0"/>
        <w:adjustRightInd w:val="0"/>
        <w:spacing w:before="120" w:after="120"/>
        <w:jc w:val="both"/>
        <w:rPr>
          <w:rFonts w:ascii="Arial" w:eastAsia="Times New Roman" w:hAnsi="Arial" w:cs="Arial"/>
          <w:sz w:val="18"/>
          <w:lang w:eastAsia="pt-BR"/>
        </w:rPr>
      </w:pPr>
      <w:r w:rsidRPr="00975CCA">
        <w:rPr>
          <w:rFonts w:ascii="Arial" w:eastAsia="Times New Roman" w:hAnsi="Arial" w:cs="Arial"/>
          <w:sz w:val="18"/>
          <w:lang w:eastAsia="pt-BR"/>
        </w:rPr>
        <w:t xml:space="preserve">No segmento de previdência, operado pela </w:t>
      </w:r>
      <w:proofErr w:type="spellStart"/>
      <w:r w:rsidRPr="00975CCA">
        <w:rPr>
          <w:rFonts w:ascii="Arial" w:eastAsia="Times New Roman" w:hAnsi="Arial" w:cs="Arial"/>
          <w:sz w:val="18"/>
          <w:lang w:eastAsia="pt-BR"/>
        </w:rPr>
        <w:t>Brasilprev</w:t>
      </w:r>
      <w:proofErr w:type="spellEnd"/>
      <w:r w:rsidRPr="00975CCA">
        <w:rPr>
          <w:rFonts w:ascii="Arial" w:eastAsia="Times New Roman" w:hAnsi="Arial" w:cs="Arial"/>
          <w:sz w:val="18"/>
          <w:lang w:eastAsia="pt-BR"/>
        </w:rPr>
        <w:t xml:space="preserve">, o lucro líquido ajustado pelos eventos extraordinários registrou retração de 34,5% em 2020, motivada pelo resultado financeiro negativo em R$278,6 milhões, impactado pelo descasamento temporal na atualização de ativos (em grande parte indexados ao IGP-M e IPCA e atualizados com os índices do período corrente) e o passivo dos planos tradicionais (indexados em grande parte ao IGP-M com um mês de defasagem na atualização), somado à forte alta do IGP-M quando comparado ao IPCA ao longo de 2020, visto que os ativos vinculados ao IPCA vêm aumentando sua participação no total de ativos garantidores. </w:t>
      </w:r>
    </w:p>
    <w:p w14:paraId="3C136710" w14:textId="77777777" w:rsidR="00975CCA" w:rsidRPr="00975CCA" w:rsidRDefault="00975CCA" w:rsidP="00975CCA">
      <w:pPr>
        <w:autoSpaceDE w:val="0"/>
        <w:autoSpaceDN w:val="0"/>
        <w:adjustRightInd w:val="0"/>
        <w:spacing w:before="120" w:after="120"/>
        <w:jc w:val="both"/>
        <w:rPr>
          <w:rFonts w:ascii="Arial" w:eastAsia="Times New Roman" w:hAnsi="Arial" w:cs="Arial"/>
          <w:sz w:val="18"/>
          <w:lang w:eastAsia="pt-BR"/>
        </w:rPr>
      </w:pPr>
      <w:r w:rsidRPr="00975CCA">
        <w:rPr>
          <w:rFonts w:ascii="Arial" w:eastAsia="Times New Roman" w:hAnsi="Arial" w:cs="Arial"/>
          <w:sz w:val="18"/>
          <w:lang w:eastAsia="pt-BR"/>
        </w:rPr>
        <w:t xml:space="preserve">No lado da captação, a contração de 2,4% no volume de contribuições, assim como o aumento de 1,2 </w:t>
      </w:r>
      <w:proofErr w:type="spellStart"/>
      <w:r w:rsidRPr="00975CCA">
        <w:rPr>
          <w:rFonts w:ascii="Arial" w:eastAsia="Times New Roman" w:hAnsi="Arial" w:cs="Arial"/>
          <w:sz w:val="18"/>
          <w:lang w:eastAsia="pt-BR"/>
        </w:rPr>
        <w:t>p.p</w:t>
      </w:r>
      <w:proofErr w:type="spellEnd"/>
      <w:r w:rsidRPr="00975CCA">
        <w:rPr>
          <w:rFonts w:ascii="Arial" w:eastAsia="Times New Roman" w:hAnsi="Arial" w:cs="Arial"/>
          <w:sz w:val="18"/>
          <w:lang w:eastAsia="pt-BR"/>
        </w:rPr>
        <w:t>. no índice de resgates, ambos os movimentos decorrentes das adversidades impostas pela pandemia, especialmente no final do 1T20 e início do 2T20, contribuíram para a redução de 26,1% da captação líquida.</w:t>
      </w:r>
    </w:p>
    <w:p w14:paraId="0DB30042" w14:textId="4F65B2AB" w:rsidR="00133430" w:rsidRDefault="00975CCA" w:rsidP="00975CCA">
      <w:pPr>
        <w:autoSpaceDE w:val="0"/>
        <w:autoSpaceDN w:val="0"/>
        <w:adjustRightInd w:val="0"/>
        <w:spacing w:before="120" w:after="120"/>
        <w:jc w:val="both"/>
        <w:rPr>
          <w:rFonts w:ascii="Arial" w:eastAsia="Times New Roman" w:hAnsi="Arial" w:cs="Times New Roman"/>
          <w:b/>
          <w:color w:val="1F4E79" w:themeColor="accent1" w:themeShade="80"/>
          <w:spacing w:val="-2"/>
          <w:sz w:val="20"/>
          <w:szCs w:val="20"/>
          <w:lang w:eastAsia="pt-BR"/>
        </w:rPr>
      </w:pPr>
      <w:r w:rsidRPr="00975CCA">
        <w:rPr>
          <w:rFonts w:ascii="Arial" w:eastAsia="Times New Roman" w:hAnsi="Arial" w:cs="Arial"/>
          <w:sz w:val="18"/>
          <w:lang w:eastAsia="pt-BR"/>
        </w:rPr>
        <w:t xml:space="preserve">Já as receitas com taxa de gestão cresceram 5,6% no ano, impulsionadas pela expansão do saldo de reservas, enquanto a taxa média de gestão contraiu 0,02 </w:t>
      </w:r>
      <w:proofErr w:type="spellStart"/>
      <w:r w:rsidRPr="00975CCA">
        <w:rPr>
          <w:rFonts w:ascii="Arial" w:eastAsia="Times New Roman" w:hAnsi="Arial" w:cs="Arial"/>
          <w:sz w:val="18"/>
          <w:lang w:eastAsia="pt-BR"/>
        </w:rPr>
        <w:t>p.p</w:t>
      </w:r>
      <w:proofErr w:type="spellEnd"/>
      <w:r w:rsidRPr="00975CCA">
        <w:rPr>
          <w:rFonts w:ascii="Arial" w:eastAsia="Times New Roman" w:hAnsi="Arial" w:cs="Arial"/>
          <w:sz w:val="18"/>
          <w:lang w:eastAsia="pt-BR"/>
        </w:rPr>
        <w:t>., ritmo inferior ao que vinha sendo observado em anos anteriores e que reflete o aumento na alocação dos recursos em fundos de maior valor agregado para o cliente.</w:t>
      </w:r>
    </w:p>
    <w:p w14:paraId="1AA3B840" w14:textId="77777777" w:rsidR="00737A9F" w:rsidRDefault="00737A9F" w:rsidP="005507F9">
      <w:pPr>
        <w:pStyle w:val="03-SubttulodeNota"/>
        <w:spacing w:line="276" w:lineRule="auto"/>
        <w:rPr>
          <w:color w:val="1F4E79" w:themeColor="accent1" w:themeShade="80"/>
        </w:rPr>
      </w:pPr>
    </w:p>
    <w:p w14:paraId="4CF87146" w14:textId="61A88FDB" w:rsidR="005507F9" w:rsidRPr="005507F9" w:rsidRDefault="005507F9" w:rsidP="005507F9">
      <w:pPr>
        <w:pStyle w:val="03-SubttulodeNota"/>
        <w:spacing w:line="276" w:lineRule="auto"/>
        <w:rPr>
          <w:color w:val="1F4E79" w:themeColor="accent1" w:themeShade="80"/>
        </w:rPr>
      </w:pPr>
      <w:r w:rsidRPr="005507F9">
        <w:rPr>
          <w:color w:val="1F4E79" w:themeColor="accent1" w:themeShade="80"/>
        </w:rPr>
        <w:t>Brasilcap</w:t>
      </w:r>
    </w:p>
    <w:p w14:paraId="1C9913C5" w14:textId="406769C4" w:rsidR="00737A9F" w:rsidRPr="00737A9F" w:rsidRDefault="00737A9F" w:rsidP="00737A9F">
      <w:pPr>
        <w:pStyle w:val="05-Textonormal"/>
        <w:rPr>
          <w:rFonts w:cs="Arial"/>
          <w:szCs w:val="22"/>
        </w:rPr>
      </w:pPr>
      <w:r w:rsidRPr="00737A9F">
        <w:rPr>
          <w:rFonts w:cs="Arial"/>
          <w:szCs w:val="22"/>
        </w:rPr>
        <w:t xml:space="preserve">Em 2020, o lucro líquido apresentou evolução de 57,4% em relação a 2019, com </w:t>
      </w:r>
      <w:r w:rsidR="00975CCA">
        <w:rPr>
          <w:rFonts w:cs="Arial"/>
          <w:szCs w:val="22"/>
        </w:rPr>
        <w:t xml:space="preserve">aumento nas receitas de carregamento e menor comissionamento, contração das despesas administrativas e </w:t>
      </w:r>
      <w:r w:rsidRPr="00737A9F">
        <w:rPr>
          <w:rFonts w:cs="Arial"/>
          <w:szCs w:val="22"/>
        </w:rPr>
        <w:t>aumento de 24,0% do resultado financeiro</w:t>
      </w:r>
      <w:r w:rsidR="00975CCA">
        <w:rPr>
          <w:rFonts w:cs="Arial"/>
          <w:szCs w:val="22"/>
        </w:rPr>
        <w:t>, esse último explicado</w:t>
      </w:r>
      <w:r w:rsidRPr="00737A9F">
        <w:rPr>
          <w:rFonts w:cs="Arial"/>
          <w:szCs w:val="22"/>
        </w:rPr>
        <w:t xml:space="preserve"> pela redução na taxa de administração da carteira de investimentos.</w:t>
      </w:r>
    </w:p>
    <w:p w14:paraId="2F182292" w14:textId="77777777" w:rsidR="00975CCA" w:rsidRPr="00975CCA" w:rsidRDefault="00975CCA" w:rsidP="00975CCA">
      <w:pPr>
        <w:pStyle w:val="05-Textonormal"/>
        <w:rPr>
          <w:rFonts w:cs="Arial"/>
          <w:szCs w:val="22"/>
        </w:rPr>
      </w:pPr>
      <w:r w:rsidRPr="00975CCA">
        <w:rPr>
          <w:rFonts w:cs="Arial"/>
          <w:szCs w:val="22"/>
        </w:rPr>
        <w:t xml:space="preserve">Por sua vez, a arrecadação com títulos de capitalização caiu 11,2%, em razão principalmente da diminuição no volume de vendas de novos títulos na modalidade de pagamento único em razão da crise causada pela pandemia, que afetou principalmente o 2T20, e da redução na arrecadação média de títulos de pagamento mensal. </w:t>
      </w:r>
    </w:p>
    <w:p w14:paraId="58F95C33" w14:textId="480D268E" w:rsidR="005507F9" w:rsidRDefault="00975CCA" w:rsidP="00975CCA">
      <w:pPr>
        <w:pStyle w:val="05-Textonormal"/>
        <w:rPr>
          <w:rFonts w:cs="Arial"/>
          <w:szCs w:val="22"/>
        </w:rPr>
      </w:pPr>
      <w:r w:rsidRPr="00975CCA">
        <w:rPr>
          <w:rFonts w:cs="Arial"/>
          <w:szCs w:val="22"/>
        </w:rPr>
        <w:t xml:space="preserve">Apesar da retração na arrecadação, a receita com cota de carregamento registrou crescimento de 0,6%, com aumento de 1,5 </w:t>
      </w:r>
      <w:proofErr w:type="spellStart"/>
      <w:r w:rsidRPr="00975CCA">
        <w:rPr>
          <w:rFonts w:cs="Arial"/>
          <w:szCs w:val="22"/>
        </w:rPr>
        <w:t>p.p</w:t>
      </w:r>
      <w:proofErr w:type="spellEnd"/>
      <w:r w:rsidRPr="00975CCA">
        <w:rPr>
          <w:rFonts w:cs="Arial"/>
          <w:szCs w:val="22"/>
        </w:rPr>
        <w:t>. na taxa de carregamento média, justificado pela maior participação na arrecadação dos títulos de vencimentos mais longos, como 36, 48 e 60 meses, com carregamento superior aos títulos de 12 e 24 meses, os quais tinham maior representatividade no mix, além da maior concentração das vendas em títulos de pagamento mensal, que apresentam taxas de carregamento nas primeiras parcelas superiores às demais parcelas mensais e maiores do que as incidentes nos títulos de pagamento único.</w:t>
      </w:r>
    </w:p>
    <w:p w14:paraId="3B8CFABD" w14:textId="77777777" w:rsidR="00975CCA" w:rsidRPr="006D4CF1" w:rsidRDefault="00975CCA" w:rsidP="00975CCA">
      <w:pPr>
        <w:pStyle w:val="05-Textonormal"/>
        <w:rPr>
          <w:rFonts w:cs="Arial"/>
          <w:color w:val="FF0000"/>
        </w:rPr>
      </w:pPr>
    </w:p>
    <w:p w14:paraId="715304F7" w14:textId="77777777" w:rsidR="005507F9" w:rsidRPr="005507F9" w:rsidRDefault="005507F9" w:rsidP="005507F9">
      <w:pPr>
        <w:pStyle w:val="03-SubttulodeNota"/>
        <w:spacing w:line="276" w:lineRule="auto"/>
        <w:rPr>
          <w:color w:val="1F4E79" w:themeColor="accent1" w:themeShade="80"/>
        </w:rPr>
      </w:pPr>
      <w:proofErr w:type="spellStart"/>
      <w:r w:rsidRPr="005507F9">
        <w:rPr>
          <w:color w:val="1F4E79" w:themeColor="accent1" w:themeShade="80"/>
        </w:rPr>
        <w:t>Brasildental</w:t>
      </w:r>
      <w:proofErr w:type="spellEnd"/>
    </w:p>
    <w:p w14:paraId="4031262E" w14:textId="75300F6B" w:rsidR="00F07C50" w:rsidRPr="00F07C50" w:rsidRDefault="00F07C50" w:rsidP="005507F9">
      <w:pPr>
        <w:pStyle w:val="05-Textonormal"/>
        <w:rPr>
          <w:rFonts w:cs="Arial"/>
        </w:rPr>
      </w:pPr>
      <w:r>
        <w:rPr>
          <w:rFonts w:cs="Arial"/>
        </w:rPr>
        <w:t xml:space="preserve">No segmento de planos odontológicos, operado pela </w:t>
      </w:r>
      <w:proofErr w:type="spellStart"/>
      <w:r>
        <w:rPr>
          <w:rFonts w:cs="Arial"/>
        </w:rPr>
        <w:t>Brasildental</w:t>
      </w:r>
      <w:proofErr w:type="spellEnd"/>
      <w:r>
        <w:rPr>
          <w:rFonts w:cs="Arial"/>
        </w:rPr>
        <w:t xml:space="preserve">, o lucro líquido cresceu 22,2% em 2020, impulsionado pelo incremento de 8,0 </w:t>
      </w:r>
      <w:proofErr w:type="spellStart"/>
      <w:r>
        <w:rPr>
          <w:rFonts w:cs="Arial"/>
        </w:rPr>
        <w:t>p.p</w:t>
      </w:r>
      <w:proofErr w:type="spellEnd"/>
      <w:r>
        <w:rPr>
          <w:rFonts w:cs="Arial"/>
        </w:rPr>
        <w:t xml:space="preserve">. na margem EBITDA, </w:t>
      </w:r>
      <w:r w:rsidR="00D94F55">
        <w:rPr>
          <w:rFonts w:cs="Arial"/>
        </w:rPr>
        <w:t>atingindo</w:t>
      </w:r>
      <w:r>
        <w:rPr>
          <w:rFonts w:cs="Arial"/>
        </w:rPr>
        <w:t xml:space="preserve"> 33,1% no ano, explicado em grande parte pela melhora do índice de sinistralidade. No ano, a receita operacional bruta totalizou R$116,1 milhões, apresentando um decréscimo de 3,3% em relação a 2019.</w:t>
      </w:r>
    </w:p>
    <w:p w14:paraId="24BCCDF1" w14:textId="21ACF015" w:rsidR="005507F9" w:rsidRPr="009D563E" w:rsidRDefault="005507F9" w:rsidP="005507F9">
      <w:pPr>
        <w:pStyle w:val="05-Textonormal"/>
        <w:rPr>
          <w:rFonts w:cs="Arial"/>
        </w:rPr>
      </w:pPr>
    </w:p>
    <w:p w14:paraId="7A355749" w14:textId="2D81AE29" w:rsidR="005507F9" w:rsidRDefault="005507F9" w:rsidP="005507F9">
      <w:pPr>
        <w:pStyle w:val="03-SubttulodeNota"/>
        <w:spacing w:line="276" w:lineRule="auto"/>
        <w:rPr>
          <w:color w:val="1F4E79" w:themeColor="accent1" w:themeShade="80"/>
        </w:rPr>
      </w:pPr>
      <w:r w:rsidRPr="005507F9">
        <w:rPr>
          <w:color w:val="1F4E79" w:themeColor="accent1" w:themeShade="80"/>
        </w:rPr>
        <w:t>BB Corretora</w:t>
      </w:r>
    </w:p>
    <w:p w14:paraId="6DA2EAA5" w14:textId="0633AAF7" w:rsidR="00313591" w:rsidRDefault="00313591" w:rsidP="00313591">
      <w:pPr>
        <w:pStyle w:val="01-Textonormal"/>
      </w:pPr>
      <w:r>
        <w:t xml:space="preserve">Em 2020, o lucro líquido ajustado cresceu 4,3%, impulsionado pela evolução das receitas de corretagem (+5,8%) e pela melhora da margem operacional (+0,8 </w:t>
      </w:r>
      <w:proofErr w:type="spellStart"/>
      <w:r>
        <w:t>p.p</w:t>
      </w:r>
      <w:proofErr w:type="spellEnd"/>
      <w:r>
        <w:t xml:space="preserve">.), efeitos que foram parcialmente compensados pela retração de 51,5% do resultado financeiro, em função da </w:t>
      </w:r>
      <w:r w:rsidR="00975CCA">
        <w:t>queda da</w:t>
      </w:r>
      <w:r>
        <w:t xml:space="preserve"> taxa média Selic.</w:t>
      </w:r>
    </w:p>
    <w:p w14:paraId="63033375" w14:textId="1E109ACE" w:rsidR="00476412" w:rsidRDefault="00313591" w:rsidP="00313591">
      <w:pPr>
        <w:pStyle w:val="01-Textonormal"/>
      </w:pPr>
      <w:r>
        <w:t>O crescimento das receitas de corretagem no ano é decorrente do bom desempenho comercial observado nos seguros rural, prestamista e vida, além de maiores receitas com o bônus de performance pela superação das metas de venda de vida e prestamista no ano.</w:t>
      </w:r>
    </w:p>
    <w:p w14:paraId="31870769" w14:textId="77777777" w:rsidR="00476412" w:rsidRPr="00476412" w:rsidRDefault="00476412" w:rsidP="00476412">
      <w:pPr>
        <w:pStyle w:val="01-Textonormal"/>
      </w:pPr>
    </w:p>
    <w:p w14:paraId="467CC17C"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DESEMPENHO DAS AÇÕES E RELACIONAMENTO COM O MERCADO</w:t>
      </w:r>
    </w:p>
    <w:p w14:paraId="3B179E2B" w14:textId="66B762FC" w:rsidR="005507F9" w:rsidRPr="008C5A10" w:rsidRDefault="005507F9" w:rsidP="005507F9">
      <w:pPr>
        <w:pStyle w:val="05-Textonormal"/>
        <w:rPr>
          <w:rFonts w:cs="Arial"/>
        </w:rPr>
      </w:pPr>
      <w:r w:rsidRPr="00DB14FA">
        <w:rPr>
          <w:rFonts w:cs="Arial"/>
        </w:rPr>
        <w:t xml:space="preserve">As ações da BB Seguridade, negociadas na B3 – Brasil, Bolsa, Balcão (“B3”) sob o código </w:t>
      </w:r>
      <w:r w:rsidRPr="008C5A10">
        <w:rPr>
          <w:rFonts w:cs="Arial"/>
        </w:rPr>
        <w:t>BBSE3, encerraram o ano cotadas a R$</w:t>
      </w:r>
      <w:r w:rsidR="00DB14FA" w:rsidRPr="008C5A10">
        <w:rPr>
          <w:rFonts w:cs="Arial"/>
        </w:rPr>
        <w:t>29,63</w:t>
      </w:r>
      <w:r w:rsidRPr="008C5A10">
        <w:rPr>
          <w:rFonts w:cs="Arial"/>
        </w:rPr>
        <w:t>. Com base na cotação de encerramento do exercício, o valor de mercado da BB Seguridade atingiu R$</w:t>
      </w:r>
      <w:r w:rsidR="00DB14FA" w:rsidRPr="008C5A10">
        <w:rPr>
          <w:rFonts w:cs="Arial"/>
        </w:rPr>
        <w:t>59,3</w:t>
      </w:r>
      <w:r w:rsidRPr="008C5A10">
        <w:rPr>
          <w:rFonts w:cs="Arial"/>
        </w:rPr>
        <w:t xml:space="preserve"> bilhões, posicionando a Companhia como a 1</w:t>
      </w:r>
      <w:r w:rsidR="00DB14FA" w:rsidRPr="008C5A10">
        <w:rPr>
          <w:rFonts w:cs="Arial"/>
        </w:rPr>
        <w:t>8</w:t>
      </w:r>
      <w:r w:rsidRPr="008C5A10">
        <w:rPr>
          <w:rFonts w:cs="Arial"/>
        </w:rPr>
        <w:t xml:space="preserve">ª maior empresa listada na bolsa brasileira pelo critério de valor de mercado. </w:t>
      </w:r>
    </w:p>
    <w:p w14:paraId="141BB596" w14:textId="163385BA" w:rsidR="005507F9" w:rsidRPr="00724FCF" w:rsidRDefault="005507F9" w:rsidP="005507F9">
      <w:pPr>
        <w:pStyle w:val="05-Textonormal"/>
        <w:rPr>
          <w:rFonts w:cs="Arial"/>
        </w:rPr>
      </w:pPr>
      <w:r w:rsidRPr="008C5A10">
        <w:rPr>
          <w:rFonts w:cs="Arial"/>
        </w:rPr>
        <w:t>Em 20</w:t>
      </w:r>
      <w:r w:rsidR="00E742C7" w:rsidRPr="008C5A10">
        <w:rPr>
          <w:rFonts w:cs="Arial"/>
        </w:rPr>
        <w:t>20</w:t>
      </w:r>
      <w:r w:rsidRPr="008C5A10">
        <w:rPr>
          <w:rFonts w:cs="Arial"/>
        </w:rPr>
        <w:t>, o volume financeiro médio diário de negociação com ações da Companhia foi de R$</w:t>
      </w:r>
      <w:r w:rsidR="008C5A10" w:rsidRPr="008C5A10">
        <w:rPr>
          <w:rFonts w:cs="Arial"/>
        </w:rPr>
        <w:t>135</w:t>
      </w:r>
      <w:r w:rsidR="00724FCF" w:rsidRPr="00724FCF">
        <w:rPr>
          <w:rFonts w:cs="Arial"/>
        </w:rPr>
        <w:t>,</w:t>
      </w:r>
      <w:r w:rsidR="008C5A10">
        <w:rPr>
          <w:rFonts w:cs="Arial"/>
        </w:rPr>
        <w:t>2</w:t>
      </w:r>
      <w:r w:rsidRPr="00724FCF">
        <w:rPr>
          <w:rFonts w:cs="Arial"/>
        </w:rPr>
        <w:t xml:space="preserve"> milhões</w:t>
      </w:r>
      <w:r w:rsidR="001944DE">
        <w:rPr>
          <w:rFonts w:cs="Arial"/>
        </w:rPr>
        <w:t>.</w:t>
      </w:r>
    </w:p>
    <w:p w14:paraId="0611E66E" w14:textId="06310236" w:rsidR="005507F9" w:rsidRPr="00E742C7" w:rsidRDefault="005507F9" w:rsidP="005507F9">
      <w:pPr>
        <w:pStyle w:val="05-Textonormal"/>
        <w:rPr>
          <w:rFonts w:cs="Arial"/>
          <w:color w:val="FF0000"/>
        </w:rPr>
      </w:pPr>
      <w:r w:rsidRPr="0043564B">
        <w:rPr>
          <w:rFonts w:cs="Arial"/>
        </w:rPr>
        <w:t xml:space="preserve">As ações da BB Seguridade encerraram o exercício integrando as carteiras teóricas do Ibovespa, </w:t>
      </w:r>
      <w:proofErr w:type="spellStart"/>
      <w:r w:rsidRPr="0043564B">
        <w:rPr>
          <w:rFonts w:cs="Arial"/>
        </w:rPr>
        <w:t>IBrX</w:t>
      </w:r>
      <w:proofErr w:type="spellEnd"/>
      <w:r w:rsidRPr="0043564B">
        <w:rPr>
          <w:rFonts w:cs="Arial"/>
        </w:rPr>
        <w:t xml:space="preserve"> 50, </w:t>
      </w:r>
      <w:proofErr w:type="spellStart"/>
      <w:r w:rsidRPr="0043564B">
        <w:rPr>
          <w:rFonts w:cs="Arial"/>
        </w:rPr>
        <w:t>IBrX</w:t>
      </w:r>
      <w:proofErr w:type="spellEnd"/>
      <w:r w:rsidRPr="0043564B">
        <w:rPr>
          <w:rFonts w:cs="Arial"/>
        </w:rPr>
        <w:t xml:space="preserve"> 100, </w:t>
      </w:r>
      <w:proofErr w:type="spellStart"/>
      <w:r w:rsidRPr="0043564B">
        <w:rPr>
          <w:rFonts w:cs="Arial"/>
        </w:rPr>
        <w:t>IBrA</w:t>
      </w:r>
      <w:proofErr w:type="spellEnd"/>
      <w:r w:rsidRPr="0043564B">
        <w:rPr>
          <w:rFonts w:cs="Arial"/>
        </w:rPr>
        <w:t xml:space="preserve">, Índice BM&amp;FBOVESPA Financeiro (IFNC), </w:t>
      </w:r>
      <w:r w:rsidRPr="0043564B">
        <w:rPr>
          <w:rStyle w:val="nfase"/>
          <w:rFonts w:eastAsia="Calibri" w:cs="Arial"/>
          <w:bCs/>
        </w:rPr>
        <w:t xml:space="preserve">Índice de Ações com Governança Corporativa Diferenciada (IGC), </w:t>
      </w:r>
      <w:r w:rsidRPr="0043564B">
        <w:rPr>
          <w:rFonts w:cs="Arial"/>
        </w:rPr>
        <w:t xml:space="preserve">Índice de Governança Corporativa Trade (IGCT), Índice de Ações com Governança Corporativa Diferenciada – Novo Mercado (IGC-NM), Índice de Ações com </w:t>
      </w:r>
      <w:proofErr w:type="spellStart"/>
      <w:r w:rsidRPr="0043564B">
        <w:rPr>
          <w:rFonts w:cs="Arial"/>
        </w:rPr>
        <w:t>Tag</w:t>
      </w:r>
      <w:proofErr w:type="spellEnd"/>
      <w:r w:rsidRPr="0043564B">
        <w:rPr>
          <w:rFonts w:cs="Arial"/>
        </w:rPr>
        <w:t xml:space="preserve"> </w:t>
      </w:r>
      <w:proofErr w:type="spellStart"/>
      <w:r w:rsidRPr="0043564B">
        <w:rPr>
          <w:rFonts w:cs="Arial"/>
        </w:rPr>
        <w:t>Along</w:t>
      </w:r>
      <w:proofErr w:type="spellEnd"/>
      <w:r w:rsidRPr="0043564B">
        <w:rPr>
          <w:rFonts w:cs="Arial"/>
        </w:rPr>
        <w:t xml:space="preserve"> Diferenciado (ITAG), Índice Dividendos </w:t>
      </w:r>
      <w:proofErr w:type="spellStart"/>
      <w:r w:rsidRPr="0043564B">
        <w:rPr>
          <w:rFonts w:cs="Arial"/>
        </w:rPr>
        <w:t>BM&amp;FBovespa</w:t>
      </w:r>
      <w:proofErr w:type="spellEnd"/>
      <w:r w:rsidRPr="0043564B">
        <w:rPr>
          <w:rFonts w:cs="Arial"/>
        </w:rPr>
        <w:t xml:space="preserve"> (IDIV), Índice </w:t>
      </w:r>
      <w:proofErr w:type="spellStart"/>
      <w:r w:rsidRPr="0043564B">
        <w:rPr>
          <w:rFonts w:cs="Arial"/>
        </w:rPr>
        <w:t>MidLarge</w:t>
      </w:r>
      <w:proofErr w:type="spellEnd"/>
      <w:r w:rsidRPr="0043564B">
        <w:rPr>
          <w:rFonts w:cs="Arial"/>
        </w:rPr>
        <w:t xml:space="preserve"> Cap (MLCX),</w:t>
      </w:r>
      <w:r w:rsidR="00724FCF" w:rsidRPr="0043564B">
        <w:rPr>
          <w:rFonts w:cs="Arial"/>
        </w:rPr>
        <w:t xml:space="preserve"> Índice Valor </w:t>
      </w:r>
      <w:proofErr w:type="spellStart"/>
      <w:r w:rsidR="00724FCF" w:rsidRPr="0043564B">
        <w:rPr>
          <w:rFonts w:cs="Arial"/>
        </w:rPr>
        <w:t>BM&amp;FBovespa</w:t>
      </w:r>
      <w:proofErr w:type="spellEnd"/>
      <w:r w:rsidR="00724FCF" w:rsidRPr="0043564B">
        <w:rPr>
          <w:rFonts w:cs="Arial"/>
        </w:rPr>
        <w:t xml:space="preserve"> (IVBX</w:t>
      </w:r>
      <w:r w:rsidRPr="0043564B">
        <w:rPr>
          <w:rFonts w:cs="Arial"/>
        </w:rPr>
        <w:t>),</w:t>
      </w:r>
      <w:r w:rsidRPr="007B217A">
        <w:rPr>
          <w:rFonts w:cs="Arial"/>
        </w:rPr>
        <w:t xml:space="preserve"> Índice MSCI Brazil, Índice de Equidade de Gênero da </w:t>
      </w:r>
      <w:proofErr w:type="spellStart"/>
      <w:r w:rsidRPr="007B217A">
        <w:rPr>
          <w:rFonts w:cs="Arial"/>
        </w:rPr>
        <w:t>Bloomberg</w:t>
      </w:r>
      <w:proofErr w:type="spellEnd"/>
      <w:r w:rsidRPr="007B217A">
        <w:rPr>
          <w:rFonts w:cs="Arial"/>
        </w:rPr>
        <w:t xml:space="preserve"> (</w:t>
      </w:r>
      <w:proofErr w:type="spellStart"/>
      <w:r w:rsidRPr="007B217A">
        <w:rPr>
          <w:rFonts w:cs="Arial"/>
        </w:rPr>
        <w:t>Bloomberg</w:t>
      </w:r>
      <w:proofErr w:type="spellEnd"/>
      <w:r w:rsidRPr="007B217A">
        <w:rPr>
          <w:rFonts w:cs="Arial"/>
        </w:rPr>
        <w:t xml:space="preserve"> </w:t>
      </w:r>
      <w:proofErr w:type="spellStart"/>
      <w:r w:rsidRPr="007B217A">
        <w:rPr>
          <w:rFonts w:cs="Arial"/>
        </w:rPr>
        <w:t>Gender-Equality</w:t>
      </w:r>
      <w:proofErr w:type="spellEnd"/>
      <w:r w:rsidRPr="007B217A">
        <w:rPr>
          <w:rFonts w:cs="Arial"/>
        </w:rPr>
        <w:t xml:space="preserve"> </w:t>
      </w:r>
      <w:r w:rsidRPr="0068338E">
        <w:rPr>
          <w:rFonts w:cs="Arial"/>
        </w:rPr>
        <w:t>Index) e Índice FTSE4Good.</w:t>
      </w:r>
    </w:p>
    <w:p w14:paraId="388D5A22" w14:textId="7A38C669" w:rsidR="0098509F" w:rsidRDefault="005507F9" w:rsidP="00E82B32">
      <w:pPr>
        <w:pStyle w:val="05-Textonormal"/>
        <w:rPr>
          <w:rFonts w:cs="Arial"/>
        </w:rPr>
      </w:pPr>
      <w:r w:rsidRPr="0068338E">
        <w:rPr>
          <w:rFonts w:cs="Arial"/>
        </w:rPr>
        <w:t xml:space="preserve">Desde março de 2014, a BB Seguridade mantém Programa de </w:t>
      </w:r>
      <w:r w:rsidRPr="0068338E">
        <w:rPr>
          <w:rFonts w:cs="Arial"/>
          <w:i/>
        </w:rPr>
        <w:t xml:space="preserve">American </w:t>
      </w:r>
      <w:proofErr w:type="spellStart"/>
      <w:r w:rsidRPr="0068338E">
        <w:rPr>
          <w:rFonts w:cs="Arial"/>
          <w:i/>
        </w:rPr>
        <w:t>Depositary</w:t>
      </w:r>
      <w:proofErr w:type="spellEnd"/>
      <w:r w:rsidRPr="0068338E">
        <w:rPr>
          <w:rFonts w:cs="Arial"/>
          <w:i/>
        </w:rPr>
        <w:t xml:space="preserve"> </w:t>
      </w:r>
      <w:proofErr w:type="spellStart"/>
      <w:r w:rsidRPr="0068338E">
        <w:rPr>
          <w:rFonts w:cs="Arial"/>
          <w:i/>
        </w:rPr>
        <w:t>Receipts</w:t>
      </w:r>
      <w:proofErr w:type="spellEnd"/>
      <w:r w:rsidRPr="0068338E">
        <w:rPr>
          <w:rFonts w:cs="Arial"/>
        </w:rPr>
        <w:t xml:space="preserve"> (“ADR”) Nível I.</w:t>
      </w:r>
      <w:r w:rsidR="00FF6F7A">
        <w:rPr>
          <w:rFonts w:cs="Arial"/>
        </w:rPr>
        <w:t xml:space="preserve"> Atualmente,</w:t>
      </w:r>
      <w:r w:rsidRPr="0068338E">
        <w:rPr>
          <w:rFonts w:cs="Arial"/>
        </w:rPr>
        <w:t xml:space="preserve"> </w:t>
      </w:r>
      <w:r w:rsidR="00FF6F7A">
        <w:rPr>
          <w:rFonts w:cs="Arial"/>
        </w:rPr>
        <w:t>o</w:t>
      </w:r>
      <w:r w:rsidRPr="0068338E">
        <w:rPr>
          <w:rFonts w:cs="Arial"/>
        </w:rPr>
        <w:t xml:space="preserve">s ADRs são </w:t>
      </w:r>
      <w:r w:rsidRPr="00F45148">
        <w:rPr>
          <w:rFonts w:cs="Arial"/>
        </w:rPr>
        <w:t>emitidos</w:t>
      </w:r>
      <w:r w:rsidR="0068338E" w:rsidRPr="00F45148">
        <w:rPr>
          <w:rFonts w:cs="Arial"/>
        </w:rPr>
        <w:t xml:space="preserve"> </w:t>
      </w:r>
      <w:r w:rsidR="00FF6F7A" w:rsidRPr="00F45148">
        <w:rPr>
          <w:rFonts w:cs="Arial"/>
        </w:rPr>
        <w:t xml:space="preserve">pelo </w:t>
      </w:r>
      <w:r w:rsidR="0068338E" w:rsidRPr="00F45148">
        <w:rPr>
          <w:rFonts w:cs="Arial"/>
        </w:rPr>
        <w:t>Citibank,</w:t>
      </w:r>
      <w:r w:rsidRPr="00F45148">
        <w:rPr>
          <w:rFonts w:cs="Arial"/>
        </w:rPr>
        <w:t xml:space="preserve"> com lastro nas ações ordinárias (ON) da Companhia, na relação de 1 ADR: 1 ON, e negociados em mercado de balcão norte-americano (O</w:t>
      </w:r>
      <w:r w:rsidRPr="00F45148">
        <w:rPr>
          <w:rFonts w:cs="Arial"/>
          <w:i/>
        </w:rPr>
        <w:t>ver-The-</w:t>
      </w:r>
      <w:proofErr w:type="spellStart"/>
      <w:r w:rsidRPr="00F45148">
        <w:rPr>
          <w:rFonts w:cs="Arial"/>
          <w:i/>
        </w:rPr>
        <w:t>Counter</w:t>
      </w:r>
      <w:proofErr w:type="spellEnd"/>
      <w:r w:rsidRPr="00F45148">
        <w:rPr>
          <w:rFonts w:cs="Arial"/>
        </w:rPr>
        <w:t>).</w:t>
      </w:r>
      <w:r w:rsidR="00A55B3B" w:rsidRPr="00F45148">
        <w:rPr>
          <w:rFonts w:cs="Arial"/>
        </w:rPr>
        <w:t xml:space="preserve"> </w:t>
      </w:r>
      <w:r w:rsidRPr="00F45148">
        <w:rPr>
          <w:rFonts w:cs="Arial"/>
        </w:rPr>
        <w:t xml:space="preserve">Ao final do exercício, o programa contava com mais de </w:t>
      </w:r>
      <w:r w:rsidR="00BD1626" w:rsidRPr="00F45148">
        <w:rPr>
          <w:rFonts w:cs="Arial"/>
        </w:rPr>
        <w:t xml:space="preserve">17 </w:t>
      </w:r>
      <w:r w:rsidRPr="00F45148">
        <w:rPr>
          <w:rFonts w:cs="Arial"/>
        </w:rPr>
        <w:t>milhões de A</w:t>
      </w:r>
      <w:r w:rsidRPr="0068338E">
        <w:rPr>
          <w:rFonts w:cs="Arial"/>
        </w:rPr>
        <w:t>DRs emitidos, cotad</w:t>
      </w:r>
      <w:r w:rsidRPr="002C2E05">
        <w:rPr>
          <w:rFonts w:cs="Arial"/>
        </w:rPr>
        <w:t>os a US$</w:t>
      </w:r>
      <w:r w:rsidR="00BD1626" w:rsidRPr="002C2E05">
        <w:rPr>
          <w:rFonts w:cs="Arial"/>
        </w:rPr>
        <w:t>5,70</w:t>
      </w:r>
      <w:r w:rsidRPr="0068338E">
        <w:rPr>
          <w:rFonts w:cs="Arial"/>
        </w:rPr>
        <w:t xml:space="preserve"> por recibo depositário.</w:t>
      </w:r>
    </w:p>
    <w:p w14:paraId="5F031E0E" w14:textId="42198CEC" w:rsidR="005507F9" w:rsidRDefault="005507F9" w:rsidP="005507F9">
      <w:pPr>
        <w:pStyle w:val="05-Textonormal"/>
        <w:rPr>
          <w:rFonts w:cs="Arial"/>
        </w:rPr>
      </w:pPr>
      <w:r w:rsidRPr="0018044B">
        <w:rPr>
          <w:rFonts w:cs="Arial"/>
        </w:rPr>
        <w:t>Abaixo, apresentamos os principais indicadores para o desempenho das ações da BB Seguridade nos últimos dois exercícios:</w:t>
      </w:r>
    </w:p>
    <w:p w14:paraId="7C431E82" w14:textId="48138816" w:rsidR="00DE7760" w:rsidRDefault="00DE7760" w:rsidP="00DE7760">
      <w:pPr>
        <w:pStyle w:val="01-TtulodeNota"/>
        <w:rPr>
          <w:b w:val="0"/>
          <w:sz w:val="14"/>
        </w:rPr>
      </w:pPr>
      <w:r w:rsidRPr="009E060D">
        <w:rPr>
          <w:rFonts w:cs="Arial"/>
          <w:b w:val="0"/>
          <w:sz w:val="14"/>
          <w:szCs w:val="14"/>
        </w:rPr>
        <w:t xml:space="preserve">Tabela </w:t>
      </w:r>
      <w:r w:rsidRPr="009E060D">
        <w:rPr>
          <w:rFonts w:cs="Arial"/>
          <w:b w:val="0"/>
          <w:sz w:val="14"/>
          <w:szCs w:val="14"/>
        </w:rPr>
        <w:fldChar w:fldCharType="begin"/>
      </w:r>
      <w:r w:rsidRPr="009E060D">
        <w:rPr>
          <w:rFonts w:cs="Arial"/>
          <w:b w:val="0"/>
          <w:sz w:val="14"/>
          <w:szCs w:val="14"/>
        </w:rPr>
        <w:instrText xml:space="preserve"> SEQ Tabela \* ARABIC </w:instrText>
      </w:r>
      <w:r w:rsidRPr="009E060D">
        <w:rPr>
          <w:rFonts w:cs="Arial"/>
          <w:b w:val="0"/>
          <w:sz w:val="14"/>
          <w:szCs w:val="14"/>
        </w:rPr>
        <w:fldChar w:fldCharType="separate"/>
      </w:r>
      <w:r w:rsidR="0068396B">
        <w:rPr>
          <w:rFonts w:cs="Arial"/>
          <w:b w:val="0"/>
          <w:noProof/>
          <w:sz w:val="14"/>
          <w:szCs w:val="14"/>
        </w:rPr>
        <w:t>4</w:t>
      </w:r>
      <w:r w:rsidRPr="009E060D">
        <w:rPr>
          <w:rFonts w:cs="Arial"/>
          <w:b w:val="0"/>
          <w:noProof/>
          <w:sz w:val="14"/>
          <w:szCs w:val="14"/>
        </w:rPr>
        <w:fldChar w:fldCharType="end"/>
      </w:r>
      <w:r w:rsidRPr="002A6B1F">
        <w:rPr>
          <w:b w:val="0"/>
          <w:sz w:val="14"/>
        </w:rPr>
        <w:t xml:space="preserve"> – </w:t>
      </w:r>
      <w:r w:rsidRPr="00DE7760">
        <w:rPr>
          <w:rFonts w:cs="Arial"/>
          <w:b w:val="0"/>
          <w:sz w:val="14"/>
        </w:rPr>
        <w:t>Desempenho das Ações</w:t>
      </w:r>
    </w:p>
    <w:tbl>
      <w:tblPr>
        <w:tblStyle w:val="TabeladeLista6Colorida-nfase5"/>
        <w:tblW w:w="9639" w:type="dxa"/>
        <w:tblLook w:val="04A0" w:firstRow="1" w:lastRow="0" w:firstColumn="1" w:lastColumn="0" w:noHBand="0" w:noVBand="1"/>
      </w:tblPr>
      <w:tblGrid>
        <w:gridCol w:w="3828"/>
        <w:gridCol w:w="281"/>
        <w:gridCol w:w="1644"/>
        <w:gridCol w:w="199"/>
        <w:gridCol w:w="1446"/>
        <w:gridCol w:w="397"/>
        <w:gridCol w:w="1844"/>
      </w:tblGrid>
      <w:tr w:rsidR="00DE7760" w:rsidRPr="001D6BE8" w14:paraId="2E6FE79D" w14:textId="77777777" w:rsidTr="00D7056E">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bottom w:val="single" w:sz="2" w:space="0" w:color="8EAADB" w:themeColor="accent5" w:themeTint="99"/>
            </w:tcBorders>
            <w:vAlign w:val="center"/>
          </w:tcPr>
          <w:p w14:paraId="2C89B195" w14:textId="77777777" w:rsidR="00DE7760" w:rsidRPr="00C806B0" w:rsidRDefault="00DE7760" w:rsidP="00D7056E">
            <w:pPr>
              <w:pStyle w:val="08-Tabelageral"/>
              <w:jc w:val="left"/>
              <w:rPr>
                <w:rFonts w:cs="Arial"/>
                <w:bCs w:val="0"/>
                <w:szCs w:val="14"/>
              </w:rPr>
            </w:pPr>
          </w:p>
        </w:tc>
        <w:tc>
          <w:tcPr>
            <w:tcW w:w="281" w:type="dxa"/>
            <w:tcBorders>
              <w:top w:val="nil"/>
              <w:bottom w:val="single" w:sz="2" w:space="0" w:color="8EAADB" w:themeColor="accent5" w:themeTint="99"/>
            </w:tcBorders>
            <w:vAlign w:val="center"/>
          </w:tcPr>
          <w:p w14:paraId="396E62B1" w14:textId="77777777" w:rsidR="00DE7760" w:rsidRPr="002A6B1F" w:rsidRDefault="00DE7760" w:rsidP="00D7056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rPr>
            </w:pPr>
          </w:p>
        </w:tc>
        <w:tc>
          <w:tcPr>
            <w:tcW w:w="1644" w:type="dxa"/>
            <w:tcBorders>
              <w:top w:val="nil"/>
              <w:bottom w:val="single" w:sz="2" w:space="0" w:color="8EAADB" w:themeColor="accent5" w:themeTint="99"/>
            </w:tcBorders>
            <w:vAlign w:val="center"/>
          </w:tcPr>
          <w:p w14:paraId="5ACCF7AA" w14:textId="77777777" w:rsidR="00DE7760" w:rsidRPr="002A6B1F" w:rsidRDefault="00DE7760" w:rsidP="00D7056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rPr>
            </w:pPr>
          </w:p>
        </w:tc>
        <w:tc>
          <w:tcPr>
            <w:tcW w:w="1645" w:type="dxa"/>
            <w:gridSpan w:val="2"/>
            <w:tcBorders>
              <w:top w:val="nil"/>
              <w:bottom w:val="single" w:sz="2" w:space="0" w:color="8EAADB" w:themeColor="accent5" w:themeTint="99"/>
            </w:tcBorders>
            <w:vAlign w:val="center"/>
          </w:tcPr>
          <w:p w14:paraId="04462D06" w14:textId="77777777" w:rsidR="00DE7760" w:rsidRPr="002A6B1F" w:rsidRDefault="00DE7760" w:rsidP="00D7056E">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rPr>
            </w:pPr>
          </w:p>
        </w:tc>
        <w:tc>
          <w:tcPr>
            <w:tcW w:w="2241" w:type="dxa"/>
            <w:gridSpan w:val="2"/>
            <w:tcBorders>
              <w:top w:val="nil"/>
              <w:bottom w:val="single" w:sz="2" w:space="0" w:color="8EAADB" w:themeColor="accent5" w:themeTint="99"/>
            </w:tcBorders>
            <w:vAlign w:val="center"/>
          </w:tcPr>
          <w:p w14:paraId="1339E0C0" w14:textId="77777777" w:rsidR="00DE7760" w:rsidRPr="002A6B1F" w:rsidRDefault="00DE7760" w:rsidP="00D7056E">
            <w:pPr>
              <w:pStyle w:val="08-Tabelageral"/>
              <w:cnfStyle w:val="100000000000" w:firstRow="1" w:lastRow="0" w:firstColumn="0" w:lastColumn="0" w:oddVBand="0" w:evenVBand="0" w:oddHBand="0" w:evenHBand="0" w:firstRowFirstColumn="0" w:firstRowLastColumn="0" w:lastRowFirstColumn="0" w:lastRowLastColumn="0"/>
              <w:rPr>
                <w:rFonts w:cs="Arial"/>
                <w:b w:val="0"/>
              </w:rPr>
            </w:pPr>
          </w:p>
        </w:tc>
      </w:tr>
      <w:tr w:rsidR="00DE7760" w:rsidRPr="001D6BE8" w14:paraId="77F07C90" w14:textId="77777777" w:rsidTr="00D7056E">
        <w:trPr>
          <w:cnfStyle w:val="000000100000" w:firstRow="0" w:lastRow="0" w:firstColumn="0" w:lastColumn="0" w:oddVBand="0" w:evenVBand="0" w:oddHBand="1" w:evenHBand="0"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8EAADB" w:themeColor="accent5" w:themeTint="99"/>
              <w:bottom w:val="nil"/>
            </w:tcBorders>
            <w:vAlign w:val="center"/>
          </w:tcPr>
          <w:p w14:paraId="16153EEA" w14:textId="77777777" w:rsidR="00DE7760" w:rsidRPr="004A3EB4" w:rsidRDefault="00DE7760" w:rsidP="00D7056E">
            <w:pPr>
              <w:pStyle w:val="08-Tabelageral"/>
              <w:jc w:val="left"/>
              <w:rPr>
                <w:rFonts w:cs="Arial"/>
                <w:b w:val="0"/>
                <w:snapToGrid w:val="0"/>
              </w:rPr>
            </w:pPr>
          </w:p>
        </w:tc>
        <w:tc>
          <w:tcPr>
            <w:tcW w:w="281" w:type="dxa"/>
            <w:tcBorders>
              <w:top w:val="single" w:sz="2" w:space="0" w:color="8EAADB" w:themeColor="accent5" w:themeTint="99"/>
              <w:bottom w:val="nil"/>
            </w:tcBorders>
            <w:vAlign w:val="center"/>
          </w:tcPr>
          <w:p w14:paraId="481B586C" w14:textId="77777777" w:rsidR="00DE7760" w:rsidRPr="004A3EB4" w:rsidRDefault="00DE7760" w:rsidP="00D7056E">
            <w:pPr>
              <w:pStyle w:val="08-Tabelageral"/>
              <w:cnfStyle w:val="000000100000" w:firstRow="0" w:lastRow="0" w:firstColumn="0" w:lastColumn="0" w:oddVBand="0" w:evenVBand="0" w:oddHBand="1" w:evenHBand="0" w:firstRowFirstColumn="0" w:firstRowLastColumn="0" w:lastRowFirstColumn="0" w:lastRowLastColumn="0"/>
              <w:rPr>
                <w:rFonts w:cs="Arial"/>
                <w:bCs/>
                <w:color w:val="FF0000"/>
                <w:szCs w:val="14"/>
              </w:rPr>
            </w:pPr>
          </w:p>
        </w:tc>
        <w:tc>
          <w:tcPr>
            <w:tcW w:w="1843" w:type="dxa"/>
            <w:gridSpan w:val="2"/>
            <w:tcBorders>
              <w:top w:val="single" w:sz="2" w:space="0" w:color="8EAADB" w:themeColor="accent5" w:themeTint="99"/>
              <w:bottom w:val="nil"/>
            </w:tcBorders>
            <w:vAlign w:val="center"/>
          </w:tcPr>
          <w:p w14:paraId="5C1BF0AA" w14:textId="77777777" w:rsidR="00DE7760" w:rsidRPr="004A3EB4" w:rsidRDefault="00DE7760" w:rsidP="00D7056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4A3EB4">
              <w:rPr>
                <w:rFonts w:cs="Arial"/>
                <w:b/>
                <w:color w:val="auto"/>
                <w:szCs w:val="14"/>
              </w:rPr>
              <w:t>Unidade</w:t>
            </w:r>
          </w:p>
        </w:tc>
        <w:tc>
          <w:tcPr>
            <w:tcW w:w="1843" w:type="dxa"/>
            <w:gridSpan w:val="2"/>
            <w:tcBorders>
              <w:top w:val="single" w:sz="2" w:space="0" w:color="8EAADB" w:themeColor="accent5" w:themeTint="99"/>
              <w:bottom w:val="nil"/>
            </w:tcBorders>
            <w:vAlign w:val="center"/>
          </w:tcPr>
          <w:p w14:paraId="36EC83E6" w14:textId="435AA887" w:rsidR="00DE7760" w:rsidRPr="004A3EB4" w:rsidRDefault="00DE7760" w:rsidP="00D7056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4A3EB4">
              <w:rPr>
                <w:rFonts w:cs="Arial"/>
                <w:b/>
                <w:color w:val="auto"/>
                <w:szCs w:val="14"/>
              </w:rPr>
              <w:t>Exercício/20</w:t>
            </w:r>
            <w:r w:rsidR="00E742C7">
              <w:rPr>
                <w:rFonts w:cs="Arial"/>
                <w:b/>
                <w:color w:val="auto"/>
                <w:szCs w:val="14"/>
              </w:rPr>
              <w:t>20</w:t>
            </w:r>
          </w:p>
        </w:tc>
        <w:tc>
          <w:tcPr>
            <w:tcW w:w="1844" w:type="dxa"/>
            <w:tcBorders>
              <w:top w:val="single" w:sz="2" w:space="0" w:color="8EAADB" w:themeColor="accent5" w:themeTint="99"/>
              <w:bottom w:val="nil"/>
            </w:tcBorders>
            <w:vAlign w:val="center"/>
          </w:tcPr>
          <w:p w14:paraId="2A8CD5BD" w14:textId="0486BCA0" w:rsidR="00DE7760" w:rsidRPr="004A3EB4" w:rsidRDefault="00DE7760" w:rsidP="00D7056E">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rPr>
            </w:pPr>
            <w:r w:rsidRPr="004A3EB4">
              <w:rPr>
                <w:rFonts w:cs="Arial"/>
                <w:b/>
                <w:color w:val="auto"/>
                <w:szCs w:val="14"/>
              </w:rPr>
              <w:t>Exercício/201</w:t>
            </w:r>
            <w:r w:rsidR="00E742C7">
              <w:rPr>
                <w:rFonts w:cs="Arial"/>
                <w:b/>
                <w:color w:val="auto"/>
                <w:szCs w:val="14"/>
              </w:rPr>
              <w:t>9</w:t>
            </w:r>
          </w:p>
        </w:tc>
      </w:tr>
      <w:tr w:rsidR="00E742C7" w:rsidRPr="004A3EB4" w14:paraId="307736D7"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5FE79666" w14:textId="77777777" w:rsidR="00E742C7" w:rsidRPr="004A3EB4" w:rsidRDefault="00E742C7" w:rsidP="00E742C7">
            <w:pPr>
              <w:pStyle w:val="08-Tabelageral"/>
              <w:jc w:val="left"/>
              <w:rPr>
                <w:rFonts w:cs="Arial"/>
                <w:b w:val="0"/>
                <w:snapToGrid w:val="0"/>
              </w:rPr>
            </w:pPr>
            <w:r w:rsidRPr="004A3EB4">
              <w:rPr>
                <w:rFonts w:cs="Arial"/>
                <w:b w:val="0"/>
              </w:rPr>
              <w:t>Lucro ajustado por ação</w:t>
            </w:r>
          </w:p>
        </w:tc>
        <w:tc>
          <w:tcPr>
            <w:tcW w:w="281" w:type="dxa"/>
            <w:tcBorders>
              <w:top w:val="nil"/>
              <w:bottom w:val="nil"/>
            </w:tcBorders>
            <w:vAlign w:val="center"/>
          </w:tcPr>
          <w:p w14:paraId="5281AB15" w14:textId="77777777"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843" w:type="dxa"/>
            <w:gridSpan w:val="2"/>
            <w:tcBorders>
              <w:top w:val="nil"/>
              <w:bottom w:val="nil"/>
            </w:tcBorders>
          </w:tcPr>
          <w:p w14:paraId="538D3146" w14:textId="77777777"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A3EB4">
              <w:rPr>
                <w:rFonts w:cs="Arial"/>
                <w:color w:val="auto"/>
              </w:rPr>
              <w:t>R$</w:t>
            </w:r>
          </w:p>
        </w:tc>
        <w:tc>
          <w:tcPr>
            <w:tcW w:w="1843" w:type="dxa"/>
            <w:gridSpan w:val="2"/>
            <w:tcBorders>
              <w:top w:val="nil"/>
              <w:bottom w:val="nil"/>
            </w:tcBorders>
          </w:tcPr>
          <w:p w14:paraId="6AA832CD" w14:textId="4CDA07E3" w:rsidR="00E742C7" w:rsidRPr="00EA26AE" w:rsidRDefault="001E33EE" w:rsidP="00E742C7">
            <w:pPr>
              <w:pStyle w:val="08-Tabelageral"/>
              <w:ind w:left="708"/>
              <w:cnfStyle w:val="000000000000" w:firstRow="0" w:lastRow="0" w:firstColumn="0" w:lastColumn="0" w:oddVBand="0" w:evenVBand="0" w:oddHBand="0" w:evenHBand="0" w:firstRowFirstColumn="0" w:firstRowLastColumn="0" w:lastRowFirstColumn="0" w:lastRowLastColumn="0"/>
              <w:rPr>
                <w:rFonts w:cs="Arial"/>
                <w:color w:val="FF0000"/>
              </w:rPr>
            </w:pPr>
            <w:r w:rsidRPr="001E33EE">
              <w:rPr>
                <w:rFonts w:cs="Arial"/>
                <w:color w:val="auto"/>
              </w:rPr>
              <w:t>1,94</w:t>
            </w:r>
          </w:p>
        </w:tc>
        <w:tc>
          <w:tcPr>
            <w:tcW w:w="1844" w:type="dxa"/>
            <w:tcBorders>
              <w:top w:val="nil"/>
              <w:bottom w:val="nil"/>
            </w:tcBorders>
          </w:tcPr>
          <w:p w14:paraId="51B1E3A6" w14:textId="262CDEB4"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605543">
              <w:rPr>
                <w:rFonts w:cs="Arial"/>
                <w:color w:val="auto"/>
              </w:rPr>
              <w:t>2,1</w:t>
            </w:r>
            <w:r>
              <w:rPr>
                <w:rFonts w:cs="Arial"/>
                <w:color w:val="auto"/>
              </w:rPr>
              <w:t>5</w:t>
            </w:r>
          </w:p>
        </w:tc>
      </w:tr>
      <w:tr w:rsidR="00E742C7" w:rsidRPr="004A3EB4" w14:paraId="513968E5"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687FA048" w14:textId="77777777" w:rsidR="00E742C7" w:rsidRPr="004A3EB4" w:rsidRDefault="00E742C7" w:rsidP="00E742C7">
            <w:pPr>
              <w:pStyle w:val="08-Tabelageral"/>
              <w:jc w:val="left"/>
              <w:rPr>
                <w:rFonts w:cs="Arial"/>
                <w:b w:val="0"/>
                <w:snapToGrid w:val="0"/>
              </w:rPr>
            </w:pPr>
            <w:r w:rsidRPr="004A3EB4">
              <w:rPr>
                <w:rFonts w:cs="Arial"/>
                <w:b w:val="0"/>
              </w:rPr>
              <w:t>Valor patrimonial por ação</w:t>
            </w:r>
          </w:p>
        </w:tc>
        <w:tc>
          <w:tcPr>
            <w:tcW w:w="281" w:type="dxa"/>
            <w:tcBorders>
              <w:top w:val="nil"/>
              <w:bottom w:val="nil"/>
            </w:tcBorders>
            <w:vAlign w:val="center"/>
          </w:tcPr>
          <w:p w14:paraId="0334E39E" w14:textId="77777777" w:rsidR="00E742C7" w:rsidRPr="004A3EB4" w:rsidRDefault="00E742C7" w:rsidP="00E742C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843" w:type="dxa"/>
            <w:gridSpan w:val="2"/>
            <w:tcBorders>
              <w:top w:val="nil"/>
              <w:bottom w:val="nil"/>
            </w:tcBorders>
          </w:tcPr>
          <w:p w14:paraId="1F0CE8BC" w14:textId="77777777" w:rsidR="00E742C7" w:rsidRPr="004A3EB4" w:rsidRDefault="00E742C7" w:rsidP="00E742C7">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A3EB4">
              <w:rPr>
                <w:rFonts w:cs="Arial"/>
                <w:color w:val="auto"/>
              </w:rPr>
              <w:t>R$</w:t>
            </w:r>
          </w:p>
        </w:tc>
        <w:tc>
          <w:tcPr>
            <w:tcW w:w="1843" w:type="dxa"/>
            <w:gridSpan w:val="2"/>
            <w:tcBorders>
              <w:top w:val="nil"/>
              <w:bottom w:val="nil"/>
            </w:tcBorders>
          </w:tcPr>
          <w:p w14:paraId="4D4940F3" w14:textId="16348357" w:rsidR="00E742C7" w:rsidRPr="001E33EE" w:rsidRDefault="001E33EE" w:rsidP="00E742C7">
            <w:pPr>
              <w:pStyle w:val="08-Tabelageral"/>
              <w:cnfStyle w:val="000000100000" w:firstRow="0" w:lastRow="0" w:firstColumn="0" w:lastColumn="0" w:oddVBand="0" w:evenVBand="0" w:oddHBand="1" w:evenHBand="0" w:firstRowFirstColumn="0" w:firstRowLastColumn="0" w:lastRowFirstColumn="0" w:lastRowLastColumn="0"/>
              <w:rPr>
                <w:rFonts w:cs="Arial"/>
                <w:color w:val="auto"/>
                <w:highlight w:val="cyan"/>
              </w:rPr>
            </w:pPr>
            <w:r w:rsidRPr="001E33EE">
              <w:rPr>
                <w:rFonts w:cs="Arial"/>
                <w:color w:val="auto"/>
              </w:rPr>
              <w:t>3,19</w:t>
            </w:r>
          </w:p>
        </w:tc>
        <w:tc>
          <w:tcPr>
            <w:tcW w:w="1844" w:type="dxa"/>
            <w:tcBorders>
              <w:top w:val="nil"/>
              <w:bottom w:val="nil"/>
            </w:tcBorders>
          </w:tcPr>
          <w:p w14:paraId="0E4D9428" w14:textId="1B507182" w:rsidR="00E742C7" w:rsidRPr="001E33EE" w:rsidRDefault="00E742C7" w:rsidP="00E742C7">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1E33EE">
              <w:rPr>
                <w:rFonts w:cs="Arial"/>
                <w:color w:val="auto"/>
              </w:rPr>
              <w:t>2,62</w:t>
            </w:r>
          </w:p>
        </w:tc>
      </w:tr>
      <w:tr w:rsidR="00E742C7" w:rsidRPr="004A3EB4" w14:paraId="0E2BD37D"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2279F308" w14:textId="77777777" w:rsidR="00E742C7" w:rsidRPr="004A3EB4" w:rsidRDefault="00E742C7" w:rsidP="00E742C7">
            <w:pPr>
              <w:pStyle w:val="08-Tabelageral"/>
              <w:jc w:val="left"/>
              <w:rPr>
                <w:rFonts w:cs="Arial"/>
                <w:b w:val="0"/>
                <w:snapToGrid w:val="0"/>
              </w:rPr>
            </w:pPr>
            <w:r w:rsidRPr="004A3EB4">
              <w:rPr>
                <w:rFonts w:cs="Arial"/>
                <w:b w:val="0"/>
              </w:rPr>
              <w:t>Cotação de fechamento</w:t>
            </w:r>
          </w:p>
        </w:tc>
        <w:tc>
          <w:tcPr>
            <w:tcW w:w="281" w:type="dxa"/>
            <w:tcBorders>
              <w:top w:val="nil"/>
              <w:bottom w:val="nil"/>
            </w:tcBorders>
            <w:vAlign w:val="center"/>
          </w:tcPr>
          <w:p w14:paraId="3B6D4B94" w14:textId="77777777"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843" w:type="dxa"/>
            <w:gridSpan w:val="2"/>
            <w:tcBorders>
              <w:top w:val="nil"/>
              <w:bottom w:val="nil"/>
            </w:tcBorders>
          </w:tcPr>
          <w:p w14:paraId="6AF94627" w14:textId="77777777"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A3EB4">
              <w:rPr>
                <w:rFonts w:cs="Arial"/>
                <w:color w:val="auto"/>
              </w:rPr>
              <w:t>R$</w:t>
            </w:r>
          </w:p>
        </w:tc>
        <w:tc>
          <w:tcPr>
            <w:tcW w:w="1843" w:type="dxa"/>
            <w:gridSpan w:val="2"/>
            <w:tcBorders>
              <w:top w:val="nil"/>
              <w:bottom w:val="nil"/>
            </w:tcBorders>
          </w:tcPr>
          <w:p w14:paraId="78053AC1" w14:textId="78911E08" w:rsidR="00E742C7" w:rsidRPr="002A077F" w:rsidRDefault="002A077F"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highlight w:val="cyan"/>
              </w:rPr>
            </w:pPr>
            <w:r w:rsidRPr="002A077F">
              <w:rPr>
                <w:rFonts w:cs="Arial"/>
                <w:color w:val="auto"/>
              </w:rPr>
              <w:t>29,63</w:t>
            </w:r>
          </w:p>
        </w:tc>
        <w:tc>
          <w:tcPr>
            <w:tcW w:w="1844" w:type="dxa"/>
            <w:tcBorders>
              <w:top w:val="nil"/>
              <w:bottom w:val="nil"/>
            </w:tcBorders>
          </w:tcPr>
          <w:p w14:paraId="7BABF03A" w14:textId="61D7B356"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A3EB4">
              <w:rPr>
                <w:rFonts w:cs="Arial"/>
                <w:color w:val="auto"/>
              </w:rPr>
              <w:t>37,70</w:t>
            </w:r>
          </w:p>
        </w:tc>
      </w:tr>
      <w:tr w:rsidR="00E742C7" w:rsidRPr="004A3EB4" w14:paraId="57FF0EA4"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425D23F9" w14:textId="77777777" w:rsidR="00E742C7" w:rsidRPr="004A3EB4" w:rsidRDefault="00E742C7" w:rsidP="00E742C7">
            <w:pPr>
              <w:pStyle w:val="08-Tabelageral"/>
              <w:jc w:val="left"/>
              <w:rPr>
                <w:rFonts w:cs="Arial"/>
                <w:b w:val="0"/>
                <w:snapToGrid w:val="0"/>
              </w:rPr>
            </w:pPr>
            <w:r w:rsidRPr="004A3EB4">
              <w:rPr>
                <w:rFonts w:cs="Arial"/>
                <w:b w:val="0"/>
              </w:rPr>
              <w:t>Valor de mercado</w:t>
            </w:r>
          </w:p>
        </w:tc>
        <w:tc>
          <w:tcPr>
            <w:tcW w:w="281" w:type="dxa"/>
            <w:tcBorders>
              <w:top w:val="nil"/>
              <w:bottom w:val="nil"/>
            </w:tcBorders>
            <w:vAlign w:val="center"/>
          </w:tcPr>
          <w:p w14:paraId="0A39DED4" w14:textId="77777777" w:rsidR="00E742C7" w:rsidRPr="004A3EB4" w:rsidRDefault="00E742C7" w:rsidP="00E742C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843" w:type="dxa"/>
            <w:gridSpan w:val="2"/>
            <w:tcBorders>
              <w:top w:val="nil"/>
              <w:bottom w:val="nil"/>
            </w:tcBorders>
          </w:tcPr>
          <w:p w14:paraId="6926168C" w14:textId="77777777" w:rsidR="00E742C7" w:rsidRPr="004A3EB4" w:rsidRDefault="00E742C7" w:rsidP="00E742C7">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A3EB4">
              <w:rPr>
                <w:rFonts w:cs="Arial"/>
                <w:color w:val="auto"/>
              </w:rPr>
              <w:t>R$ bilhões</w:t>
            </w:r>
          </w:p>
        </w:tc>
        <w:tc>
          <w:tcPr>
            <w:tcW w:w="1843" w:type="dxa"/>
            <w:gridSpan w:val="2"/>
            <w:tcBorders>
              <w:top w:val="nil"/>
              <w:bottom w:val="nil"/>
            </w:tcBorders>
          </w:tcPr>
          <w:p w14:paraId="753BE727" w14:textId="506FCD33" w:rsidR="00E742C7" w:rsidRPr="002A077F" w:rsidRDefault="002A077F" w:rsidP="00E742C7">
            <w:pPr>
              <w:pStyle w:val="08-Tabelageral"/>
              <w:cnfStyle w:val="000000100000" w:firstRow="0" w:lastRow="0" w:firstColumn="0" w:lastColumn="0" w:oddVBand="0" w:evenVBand="0" w:oddHBand="1" w:evenHBand="0" w:firstRowFirstColumn="0" w:firstRowLastColumn="0" w:lastRowFirstColumn="0" w:lastRowLastColumn="0"/>
              <w:rPr>
                <w:rFonts w:cs="Arial"/>
                <w:color w:val="auto"/>
                <w:highlight w:val="cyan"/>
              </w:rPr>
            </w:pPr>
            <w:r w:rsidRPr="002A077F">
              <w:rPr>
                <w:rFonts w:cs="Arial"/>
                <w:color w:val="auto"/>
              </w:rPr>
              <w:t>59,26</w:t>
            </w:r>
          </w:p>
        </w:tc>
        <w:tc>
          <w:tcPr>
            <w:tcW w:w="1844" w:type="dxa"/>
            <w:tcBorders>
              <w:top w:val="nil"/>
              <w:bottom w:val="nil"/>
            </w:tcBorders>
          </w:tcPr>
          <w:p w14:paraId="161FAB65" w14:textId="66501066" w:rsidR="00E742C7" w:rsidRPr="004A3EB4" w:rsidRDefault="00E742C7" w:rsidP="00E742C7">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A3EB4">
              <w:rPr>
                <w:rFonts w:cs="Arial"/>
                <w:color w:val="auto"/>
              </w:rPr>
              <w:t>75,4</w:t>
            </w:r>
            <w:r>
              <w:rPr>
                <w:rFonts w:cs="Arial"/>
                <w:color w:val="auto"/>
              </w:rPr>
              <w:t>0</w:t>
            </w:r>
          </w:p>
        </w:tc>
      </w:tr>
      <w:tr w:rsidR="00E742C7" w:rsidRPr="004A3EB4" w14:paraId="091E6E2B"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6EE19852" w14:textId="77777777" w:rsidR="00E742C7" w:rsidRPr="004A3EB4" w:rsidRDefault="00E742C7" w:rsidP="00E742C7">
            <w:pPr>
              <w:pStyle w:val="08-Tabelageral"/>
              <w:jc w:val="left"/>
              <w:rPr>
                <w:rFonts w:cs="Arial"/>
                <w:b w:val="0"/>
                <w:snapToGrid w:val="0"/>
              </w:rPr>
            </w:pPr>
            <w:r w:rsidRPr="004A3EB4">
              <w:rPr>
                <w:rFonts w:cs="Arial"/>
                <w:b w:val="0"/>
              </w:rPr>
              <w:t>Quantidade de negócios realizados¹</w:t>
            </w:r>
          </w:p>
        </w:tc>
        <w:tc>
          <w:tcPr>
            <w:tcW w:w="281" w:type="dxa"/>
            <w:tcBorders>
              <w:top w:val="nil"/>
              <w:bottom w:val="nil"/>
            </w:tcBorders>
            <w:vAlign w:val="center"/>
          </w:tcPr>
          <w:p w14:paraId="5F9D6D76" w14:textId="77777777"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843" w:type="dxa"/>
            <w:gridSpan w:val="2"/>
            <w:tcBorders>
              <w:top w:val="nil"/>
              <w:bottom w:val="nil"/>
            </w:tcBorders>
          </w:tcPr>
          <w:p w14:paraId="357D2275" w14:textId="77777777"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A3EB4">
              <w:rPr>
                <w:rFonts w:cs="Arial"/>
                <w:color w:val="auto"/>
              </w:rPr>
              <w:t>-</w:t>
            </w:r>
          </w:p>
        </w:tc>
        <w:tc>
          <w:tcPr>
            <w:tcW w:w="1843" w:type="dxa"/>
            <w:gridSpan w:val="2"/>
            <w:tcBorders>
              <w:top w:val="nil"/>
              <w:bottom w:val="nil"/>
            </w:tcBorders>
          </w:tcPr>
          <w:p w14:paraId="1C9FAD23" w14:textId="2805D850" w:rsidR="00E742C7" w:rsidRPr="00982EFE" w:rsidRDefault="00982EFE"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highlight w:val="cyan"/>
              </w:rPr>
            </w:pPr>
            <w:r w:rsidRPr="00982EFE">
              <w:rPr>
                <w:rFonts w:cs="Arial"/>
                <w:color w:val="auto"/>
              </w:rPr>
              <w:t>5.249.372</w:t>
            </w:r>
          </w:p>
        </w:tc>
        <w:tc>
          <w:tcPr>
            <w:tcW w:w="1844" w:type="dxa"/>
            <w:tcBorders>
              <w:top w:val="nil"/>
              <w:bottom w:val="nil"/>
            </w:tcBorders>
          </w:tcPr>
          <w:p w14:paraId="34C1C7E5" w14:textId="05D4A231"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A3EB4">
              <w:rPr>
                <w:rFonts w:cs="Arial"/>
                <w:color w:val="auto"/>
              </w:rPr>
              <w:t>4.077.898</w:t>
            </w:r>
          </w:p>
        </w:tc>
      </w:tr>
      <w:tr w:rsidR="00E742C7" w:rsidRPr="004A3EB4" w14:paraId="749EA8B2"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bottom w:val="nil"/>
            </w:tcBorders>
          </w:tcPr>
          <w:p w14:paraId="6F751028" w14:textId="77777777" w:rsidR="00E742C7" w:rsidRPr="004A3EB4" w:rsidRDefault="00E742C7" w:rsidP="00E742C7">
            <w:pPr>
              <w:pStyle w:val="08-Tabelageral"/>
              <w:jc w:val="left"/>
              <w:rPr>
                <w:rFonts w:cs="Arial"/>
                <w:b w:val="0"/>
                <w:snapToGrid w:val="0"/>
                <w:vertAlign w:val="superscript"/>
              </w:rPr>
            </w:pPr>
            <w:r w:rsidRPr="004A3EB4">
              <w:rPr>
                <w:rFonts w:cs="Arial"/>
                <w:b w:val="0"/>
              </w:rPr>
              <w:t>Volume médio diário negociado¹</w:t>
            </w:r>
          </w:p>
        </w:tc>
        <w:tc>
          <w:tcPr>
            <w:tcW w:w="281" w:type="dxa"/>
            <w:tcBorders>
              <w:top w:val="nil"/>
              <w:bottom w:val="nil"/>
            </w:tcBorders>
            <w:vAlign w:val="center"/>
          </w:tcPr>
          <w:p w14:paraId="78F9B2A2" w14:textId="77777777" w:rsidR="00E742C7" w:rsidRPr="004A3EB4" w:rsidRDefault="00E742C7" w:rsidP="00E742C7">
            <w:pPr>
              <w:pStyle w:val="08-Tabelageral"/>
              <w:cnfStyle w:val="000000100000" w:firstRow="0" w:lastRow="0" w:firstColumn="0" w:lastColumn="0" w:oddVBand="0" w:evenVBand="0" w:oddHBand="1" w:evenHBand="0" w:firstRowFirstColumn="0" w:firstRowLastColumn="0" w:lastRowFirstColumn="0" w:lastRowLastColumn="0"/>
              <w:rPr>
                <w:rFonts w:cs="Arial"/>
              </w:rPr>
            </w:pPr>
          </w:p>
        </w:tc>
        <w:tc>
          <w:tcPr>
            <w:tcW w:w="1843" w:type="dxa"/>
            <w:gridSpan w:val="2"/>
            <w:tcBorders>
              <w:top w:val="nil"/>
              <w:bottom w:val="nil"/>
            </w:tcBorders>
          </w:tcPr>
          <w:p w14:paraId="1E46E478" w14:textId="77777777" w:rsidR="00E742C7" w:rsidRPr="004A3EB4" w:rsidRDefault="00E742C7" w:rsidP="00E742C7">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4A3EB4">
              <w:rPr>
                <w:rFonts w:cs="Arial"/>
                <w:color w:val="auto"/>
              </w:rPr>
              <w:t>R$ milhões</w:t>
            </w:r>
          </w:p>
        </w:tc>
        <w:tc>
          <w:tcPr>
            <w:tcW w:w="1843" w:type="dxa"/>
            <w:gridSpan w:val="2"/>
            <w:tcBorders>
              <w:top w:val="nil"/>
              <w:bottom w:val="nil"/>
            </w:tcBorders>
          </w:tcPr>
          <w:p w14:paraId="20B78D90" w14:textId="36074185" w:rsidR="00E742C7" w:rsidRPr="00982EFE" w:rsidRDefault="00982EFE" w:rsidP="00E742C7">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sidRPr="00982EFE">
              <w:rPr>
                <w:rFonts w:cs="Arial"/>
                <w:color w:val="auto"/>
              </w:rPr>
              <w:t>135,19</w:t>
            </w:r>
          </w:p>
        </w:tc>
        <w:tc>
          <w:tcPr>
            <w:tcW w:w="1844" w:type="dxa"/>
            <w:tcBorders>
              <w:top w:val="nil"/>
              <w:bottom w:val="nil"/>
            </w:tcBorders>
          </w:tcPr>
          <w:p w14:paraId="3CBE891B" w14:textId="57A081DF" w:rsidR="00E742C7" w:rsidRPr="004A3EB4" w:rsidRDefault="00133430" w:rsidP="00E742C7">
            <w:pPr>
              <w:pStyle w:val="08-Tabelageral"/>
              <w:cnfStyle w:val="000000100000" w:firstRow="0" w:lastRow="0" w:firstColumn="0" w:lastColumn="0" w:oddVBand="0" w:evenVBand="0" w:oddHBand="1" w:evenHBand="0" w:firstRowFirstColumn="0" w:firstRowLastColumn="0" w:lastRowFirstColumn="0" w:lastRowLastColumn="0"/>
              <w:rPr>
                <w:rFonts w:cs="Arial"/>
                <w:color w:val="auto"/>
              </w:rPr>
            </w:pPr>
            <w:r>
              <w:rPr>
                <w:rFonts w:cs="Arial"/>
                <w:color w:val="auto"/>
              </w:rPr>
              <w:t>115,87</w:t>
            </w:r>
          </w:p>
        </w:tc>
      </w:tr>
      <w:tr w:rsidR="00E742C7" w:rsidRPr="004A3EB4" w14:paraId="6A1B0E70" w14:textId="77777777" w:rsidTr="00D7056E">
        <w:trPr>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bottom w:val="single" w:sz="2" w:space="0" w:color="9CC2E5" w:themeColor="accent1" w:themeTint="99"/>
            </w:tcBorders>
          </w:tcPr>
          <w:p w14:paraId="05BAB758" w14:textId="77777777" w:rsidR="00E742C7" w:rsidRPr="004A3EB4" w:rsidRDefault="00E742C7" w:rsidP="00E742C7">
            <w:pPr>
              <w:pStyle w:val="08-Tabelageral"/>
              <w:jc w:val="left"/>
              <w:rPr>
                <w:rFonts w:cs="Arial"/>
                <w:b w:val="0"/>
                <w:snapToGrid w:val="0"/>
              </w:rPr>
            </w:pPr>
            <w:r w:rsidRPr="004A3EB4">
              <w:rPr>
                <w:rFonts w:cs="Arial"/>
                <w:b w:val="0"/>
              </w:rPr>
              <w:t>Participação no volume médio diário da B3</w:t>
            </w:r>
          </w:p>
        </w:tc>
        <w:tc>
          <w:tcPr>
            <w:tcW w:w="281" w:type="dxa"/>
            <w:tcBorders>
              <w:top w:val="nil"/>
              <w:bottom w:val="single" w:sz="2" w:space="0" w:color="9CC2E5" w:themeColor="accent1" w:themeTint="99"/>
            </w:tcBorders>
            <w:vAlign w:val="center"/>
          </w:tcPr>
          <w:p w14:paraId="6718560D" w14:textId="77777777"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rPr>
            </w:pPr>
          </w:p>
        </w:tc>
        <w:tc>
          <w:tcPr>
            <w:tcW w:w="1843" w:type="dxa"/>
            <w:gridSpan w:val="2"/>
            <w:tcBorders>
              <w:top w:val="nil"/>
              <w:bottom w:val="single" w:sz="2" w:space="0" w:color="9CC2E5" w:themeColor="accent1" w:themeTint="99"/>
            </w:tcBorders>
          </w:tcPr>
          <w:p w14:paraId="2BAA1B92" w14:textId="77777777"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A3EB4">
              <w:rPr>
                <w:rFonts w:cs="Arial"/>
                <w:color w:val="auto"/>
              </w:rPr>
              <w:t>%</w:t>
            </w:r>
          </w:p>
        </w:tc>
        <w:tc>
          <w:tcPr>
            <w:tcW w:w="1843" w:type="dxa"/>
            <w:gridSpan w:val="2"/>
            <w:tcBorders>
              <w:top w:val="nil"/>
              <w:bottom w:val="single" w:sz="2" w:space="0" w:color="9CC2E5" w:themeColor="accent1" w:themeTint="99"/>
            </w:tcBorders>
          </w:tcPr>
          <w:p w14:paraId="37F08AA1" w14:textId="3841B6D0" w:rsidR="00E742C7" w:rsidRPr="00982EFE"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highlight w:val="cyan"/>
              </w:rPr>
            </w:pPr>
            <w:r w:rsidRPr="00982EFE">
              <w:rPr>
                <w:rFonts w:cs="Arial"/>
                <w:color w:val="auto"/>
              </w:rPr>
              <w:t>0,</w:t>
            </w:r>
            <w:r w:rsidR="00982EFE" w:rsidRPr="00982EFE">
              <w:rPr>
                <w:rFonts w:cs="Arial"/>
                <w:color w:val="auto"/>
              </w:rPr>
              <w:t>52</w:t>
            </w:r>
          </w:p>
        </w:tc>
        <w:tc>
          <w:tcPr>
            <w:tcW w:w="1844" w:type="dxa"/>
            <w:tcBorders>
              <w:top w:val="nil"/>
              <w:bottom w:val="single" w:sz="2" w:space="0" w:color="9CC2E5" w:themeColor="accent1" w:themeTint="99"/>
            </w:tcBorders>
          </w:tcPr>
          <w:p w14:paraId="22030D1E" w14:textId="2B523E23" w:rsidR="00E742C7" w:rsidRPr="004A3EB4" w:rsidRDefault="00E742C7" w:rsidP="00E742C7">
            <w:pPr>
              <w:pStyle w:val="08-Tabelageral"/>
              <w:cnfStyle w:val="000000000000" w:firstRow="0" w:lastRow="0" w:firstColumn="0" w:lastColumn="0" w:oddVBand="0" w:evenVBand="0" w:oddHBand="0" w:evenHBand="0" w:firstRowFirstColumn="0" w:firstRowLastColumn="0" w:lastRowFirstColumn="0" w:lastRowLastColumn="0"/>
              <w:rPr>
                <w:rFonts w:cs="Arial"/>
                <w:color w:val="auto"/>
              </w:rPr>
            </w:pPr>
            <w:r w:rsidRPr="004A3EB4">
              <w:rPr>
                <w:rFonts w:cs="Arial"/>
                <w:color w:val="auto"/>
              </w:rPr>
              <w:t>0,78</w:t>
            </w:r>
          </w:p>
        </w:tc>
      </w:tr>
    </w:tbl>
    <w:p w14:paraId="134798B6" w14:textId="77777777" w:rsidR="005507F9" w:rsidRPr="00302556" w:rsidRDefault="005507F9" w:rsidP="005507F9">
      <w:pPr>
        <w:pStyle w:val="07-Legenda"/>
        <w:rPr>
          <w:rFonts w:cs="Arial"/>
        </w:rPr>
      </w:pPr>
      <w:r w:rsidRPr="00302556">
        <w:rPr>
          <w:rFonts w:cs="Arial"/>
        </w:rPr>
        <w:t>(1)</w:t>
      </w:r>
      <w:r>
        <w:rPr>
          <w:rFonts w:cs="Arial"/>
        </w:rPr>
        <w:t xml:space="preserve"> </w:t>
      </w:r>
      <w:r w:rsidRPr="00302556">
        <w:rPr>
          <w:rFonts w:cs="Arial"/>
        </w:rPr>
        <w:t>Referem-se ao Lote-padrão</w:t>
      </w:r>
    </w:p>
    <w:p w14:paraId="3CBA302B" w14:textId="77777777" w:rsidR="005507F9" w:rsidRDefault="005507F9" w:rsidP="005507F9">
      <w:pPr>
        <w:spacing w:after="0" w:line="240" w:lineRule="auto"/>
        <w:rPr>
          <w:rFonts w:ascii="Arial" w:eastAsia="Times New Roman" w:hAnsi="Arial" w:cs="Arial"/>
          <w:b/>
          <w:spacing w:val="-2"/>
          <w:sz w:val="20"/>
          <w:szCs w:val="20"/>
          <w:highlight w:val="cyan"/>
          <w:lang w:eastAsia="pt-BR"/>
        </w:rPr>
      </w:pPr>
    </w:p>
    <w:p w14:paraId="4DD6C859" w14:textId="77777777" w:rsidR="005507F9" w:rsidRPr="005507F9" w:rsidRDefault="005507F9" w:rsidP="005507F9">
      <w:pPr>
        <w:pStyle w:val="03-SubttulodeNota"/>
        <w:spacing w:line="276" w:lineRule="auto"/>
        <w:rPr>
          <w:color w:val="1F4E79" w:themeColor="accent1" w:themeShade="80"/>
        </w:rPr>
      </w:pPr>
      <w:r w:rsidRPr="005507F9">
        <w:rPr>
          <w:color w:val="1F4E79" w:themeColor="accent1" w:themeShade="80"/>
        </w:rPr>
        <w:t>Remuneração aos acionistas</w:t>
      </w:r>
    </w:p>
    <w:p w14:paraId="3FE08780" w14:textId="5F6215CD" w:rsidR="005507F9" w:rsidRPr="00D107C7" w:rsidRDefault="005507F9" w:rsidP="00CE29F7">
      <w:pPr>
        <w:pStyle w:val="01-Textonormal"/>
        <w:rPr>
          <w:rFonts w:cs="Arial"/>
        </w:rPr>
      </w:pPr>
      <w:r w:rsidRPr="00D107C7">
        <w:rPr>
          <w:rFonts w:cs="Arial"/>
        </w:rPr>
        <w:t>A alta capacidade de geração de caixa permiti</w:t>
      </w:r>
      <w:r w:rsidR="00FF6F7A">
        <w:rPr>
          <w:rFonts w:cs="Arial"/>
        </w:rPr>
        <w:t>u</w:t>
      </w:r>
      <w:r w:rsidRPr="00D107C7">
        <w:rPr>
          <w:rFonts w:cs="Arial"/>
        </w:rPr>
        <w:t xml:space="preserve"> à BB Seguridade a destinação de</w:t>
      </w:r>
      <w:r w:rsidR="00D107C7">
        <w:rPr>
          <w:rFonts w:cs="Arial"/>
        </w:rPr>
        <w:t xml:space="preserve"> </w:t>
      </w:r>
      <w:r w:rsidR="00D107C7" w:rsidRPr="001E33EE">
        <w:rPr>
          <w:rFonts w:cs="Arial"/>
        </w:rPr>
        <w:t>aproximadamente</w:t>
      </w:r>
      <w:r w:rsidRPr="001E33EE">
        <w:rPr>
          <w:rFonts w:cs="Arial"/>
        </w:rPr>
        <w:t xml:space="preserve"> </w:t>
      </w:r>
      <w:r w:rsidR="002A077F" w:rsidRPr="001E33EE">
        <w:rPr>
          <w:rFonts w:cs="Arial"/>
        </w:rPr>
        <w:t>70,0</w:t>
      </w:r>
      <w:r w:rsidRPr="001E33EE">
        <w:rPr>
          <w:rFonts w:cs="Arial"/>
        </w:rPr>
        <w:t>% do lucro</w:t>
      </w:r>
      <w:r w:rsidRPr="00D107C7">
        <w:rPr>
          <w:rFonts w:cs="Arial"/>
        </w:rPr>
        <w:t xml:space="preserve"> líquido aos acionistas na forma de dividendos em 20</w:t>
      </w:r>
      <w:r w:rsidR="00EA26AE" w:rsidRPr="00D107C7">
        <w:rPr>
          <w:rFonts w:cs="Arial"/>
        </w:rPr>
        <w:t>20</w:t>
      </w:r>
      <w:r w:rsidRPr="00D107C7">
        <w:rPr>
          <w:rFonts w:cs="Arial"/>
        </w:rPr>
        <w:t xml:space="preserve">, o que totaliza </w:t>
      </w:r>
      <w:r w:rsidRPr="0063302F">
        <w:rPr>
          <w:rFonts w:cs="Arial"/>
        </w:rPr>
        <w:t>R$</w:t>
      </w:r>
      <w:r w:rsidR="0063302F" w:rsidRPr="0063302F">
        <w:rPr>
          <w:rFonts w:cs="Arial"/>
        </w:rPr>
        <w:t>2,7</w:t>
      </w:r>
      <w:r w:rsidRPr="0063302F">
        <w:rPr>
          <w:rFonts w:cs="Arial"/>
        </w:rPr>
        <w:t xml:space="preserve"> bilhões</w:t>
      </w:r>
      <w:r w:rsidRPr="00D107C7">
        <w:rPr>
          <w:rFonts w:cs="Arial"/>
        </w:rPr>
        <w:t xml:space="preserve">, equivalente a </w:t>
      </w:r>
      <w:r w:rsidRPr="0063302F">
        <w:rPr>
          <w:rFonts w:cs="Arial"/>
        </w:rPr>
        <w:t>R$</w:t>
      </w:r>
      <w:r w:rsidR="0063302F">
        <w:rPr>
          <w:rFonts w:cs="Arial"/>
        </w:rPr>
        <w:t>1,35</w:t>
      </w:r>
      <w:r w:rsidRPr="00D107C7">
        <w:rPr>
          <w:rFonts w:cs="Arial"/>
        </w:rPr>
        <w:t xml:space="preserve"> por ação.</w:t>
      </w:r>
      <w:r w:rsidR="002A077F" w:rsidRPr="00D107C7">
        <w:rPr>
          <w:rFonts w:cs="Arial"/>
        </w:rPr>
        <w:t xml:space="preserve"> Em 2019, o dividendo referente ao lucro líquido do exercício foi de R$2,80 por ação. </w:t>
      </w:r>
    </w:p>
    <w:p w14:paraId="1EEAEF73" w14:textId="77777777" w:rsidR="00CE29F7" w:rsidRPr="00CE29F7" w:rsidRDefault="00CE29F7" w:rsidP="00CE29F7">
      <w:pPr>
        <w:pStyle w:val="01-Textonormal"/>
        <w:rPr>
          <w:rFonts w:cs="Arial"/>
          <w:color w:val="FF0000"/>
        </w:rPr>
      </w:pPr>
    </w:p>
    <w:p w14:paraId="23BB1D28" w14:textId="77777777" w:rsidR="005507F9" w:rsidRPr="005507F9" w:rsidRDefault="005507F9" w:rsidP="005507F9">
      <w:pPr>
        <w:pStyle w:val="03-SubttulodeNota"/>
        <w:spacing w:line="276" w:lineRule="auto"/>
        <w:rPr>
          <w:color w:val="1F4E79" w:themeColor="accent1" w:themeShade="80"/>
        </w:rPr>
      </w:pPr>
      <w:r w:rsidRPr="005507F9">
        <w:rPr>
          <w:color w:val="1F4E79" w:themeColor="accent1" w:themeShade="80"/>
        </w:rPr>
        <w:t>Recompra de ações</w:t>
      </w:r>
    </w:p>
    <w:p w14:paraId="15F4BDAE" w14:textId="50837964" w:rsidR="00AF5003" w:rsidRDefault="002A077F" w:rsidP="005507F9">
      <w:pPr>
        <w:pStyle w:val="05-Textonormal"/>
        <w:rPr>
          <w:rFonts w:cs="Arial"/>
        </w:rPr>
      </w:pPr>
      <w:r w:rsidRPr="002C6570">
        <w:rPr>
          <w:rFonts w:cs="Arial"/>
        </w:rPr>
        <w:t>Durante o ano de 2020, não h</w:t>
      </w:r>
      <w:r w:rsidR="00EC4F89">
        <w:rPr>
          <w:rFonts w:cs="Arial"/>
        </w:rPr>
        <w:t>ouve</w:t>
      </w:r>
      <w:r w:rsidRPr="002C6570">
        <w:rPr>
          <w:rFonts w:cs="Arial"/>
        </w:rPr>
        <w:t xml:space="preserve"> programa de recompra de ações aberto</w:t>
      </w:r>
      <w:r w:rsidR="001944DE">
        <w:rPr>
          <w:rFonts w:cs="Arial"/>
        </w:rPr>
        <w:t xml:space="preserve">. </w:t>
      </w:r>
      <w:r w:rsidR="005507F9" w:rsidRPr="002C6570">
        <w:rPr>
          <w:rFonts w:cs="Arial"/>
        </w:rPr>
        <w:t xml:space="preserve">Conforme aprovado pela Assembleia Geral Extraordinária (“AGE”), </w:t>
      </w:r>
      <w:r w:rsidR="002C6570" w:rsidRPr="002C6570">
        <w:rPr>
          <w:rFonts w:cs="Arial"/>
        </w:rPr>
        <w:t xml:space="preserve">realizada em 30.10.2019, </w:t>
      </w:r>
      <w:r w:rsidR="005507F9" w:rsidRPr="002C6570">
        <w:rPr>
          <w:rFonts w:cs="Arial"/>
        </w:rPr>
        <w:t>as ações em tesouraria</w:t>
      </w:r>
      <w:r w:rsidR="00EC4F89">
        <w:rPr>
          <w:rFonts w:cs="Arial"/>
        </w:rPr>
        <w:t xml:space="preserve"> </w:t>
      </w:r>
      <w:bookmarkStart w:id="2" w:name="_Hlk62115926"/>
      <w:r w:rsidR="00EC4F89">
        <w:rPr>
          <w:rFonts w:cs="Arial"/>
        </w:rPr>
        <w:t>referentes a recompras realizadas em exercícios anteriores</w:t>
      </w:r>
      <w:r w:rsidR="005507F9" w:rsidRPr="002C6570">
        <w:rPr>
          <w:rFonts w:cs="Arial"/>
        </w:rPr>
        <w:t xml:space="preserve"> </w:t>
      </w:r>
      <w:bookmarkEnd w:id="2"/>
      <w:r w:rsidR="005507F9" w:rsidRPr="002C6570">
        <w:rPr>
          <w:rFonts w:cs="Arial"/>
        </w:rPr>
        <w:t>pode</w:t>
      </w:r>
      <w:r w:rsidR="00EC4F89">
        <w:rPr>
          <w:rFonts w:cs="Arial"/>
        </w:rPr>
        <w:t>m</w:t>
      </w:r>
      <w:r w:rsidR="005507F9" w:rsidRPr="002C6570">
        <w:rPr>
          <w:rFonts w:cs="Arial"/>
        </w:rPr>
        <w:t xml:space="preserve"> ser utilizadas especificamente em programas de premiação aos empregados e remuneração variável de diretores, até o limite de 3.359.550 de ações, cabendo ao Conselho de Administração a definição da melhor forma e momento para implementar a alienação dessas ações.</w:t>
      </w:r>
      <w:r w:rsidR="00276E10">
        <w:rPr>
          <w:rFonts w:cs="Arial"/>
        </w:rPr>
        <w:t xml:space="preserve"> </w:t>
      </w:r>
    </w:p>
    <w:p w14:paraId="0FEF26DD" w14:textId="3D37B083" w:rsidR="005507F9" w:rsidRDefault="00276E10" w:rsidP="005507F9">
      <w:pPr>
        <w:pStyle w:val="05-Textonormal"/>
        <w:rPr>
          <w:rFonts w:cs="Arial"/>
        </w:rPr>
      </w:pPr>
      <w:r>
        <w:rPr>
          <w:rFonts w:cs="Arial"/>
        </w:rPr>
        <w:t>Dessa forma, em 2020 foram transferidas 22.503 ações para o Programa de Premiaç</w:t>
      </w:r>
      <w:r w:rsidR="00382B8B">
        <w:rPr>
          <w:rFonts w:cs="Arial"/>
        </w:rPr>
        <w:t>ão por Resultado (PPR)</w:t>
      </w:r>
      <w:r w:rsidR="004959FD">
        <w:rPr>
          <w:rFonts w:cs="Arial"/>
        </w:rPr>
        <w:t xml:space="preserve">, </w:t>
      </w:r>
      <w:r w:rsidR="00EC4F89">
        <w:rPr>
          <w:rFonts w:cs="Arial"/>
        </w:rPr>
        <w:t>destinado a reconhecer o desempenho individual dos funcionários que superaram suas metas em 2019.</w:t>
      </w:r>
    </w:p>
    <w:p w14:paraId="286D8798" w14:textId="77777777" w:rsidR="00E30347" w:rsidRPr="002C6570" w:rsidRDefault="00E30347" w:rsidP="005507F9">
      <w:pPr>
        <w:pStyle w:val="05-Textonormal"/>
        <w:rPr>
          <w:rFonts w:cs="Arial"/>
        </w:rPr>
      </w:pPr>
    </w:p>
    <w:p w14:paraId="33854F11"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GOVERNANÇA CORPORATIVA</w:t>
      </w:r>
    </w:p>
    <w:p w14:paraId="18169A48" w14:textId="77777777" w:rsidR="00CA4BC4" w:rsidRPr="00CA4BC4" w:rsidRDefault="00CA4BC4" w:rsidP="00CA4BC4">
      <w:pPr>
        <w:jc w:val="both"/>
        <w:rPr>
          <w:rFonts w:ascii="Arial" w:eastAsia="Times New Roman" w:hAnsi="Arial" w:cs="Arial"/>
          <w:spacing w:val="-2"/>
          <w:sz w:val="18"/>
          <w:szCs w:val="18"/>
          <w:lang w:eastAsia="pt-BR"/>
        </w:rPr>
      </w:pPr>
      <w:r w:rsidRPr="00CA4BC4">
        <w:rPr>
          <w:rFonts w:ascii="Arial" w:eastAsia="Times New Roman" w:hAnsi="Arial" w:cs="Arial"/>
          <w:spacing w:val="-2"/>
          <w:sz w:val="18"/>
          <w:szCs w:val="18"/>
          <w:lang w:eastAsia="pt-BR"/>
        </w:rPr>
        <w:t>O compromisso da BB Seguridade com a transparência na relação com o mercado e, em especial, com seus acionistas minoritários, é ratificado pela sua adesão, desde a abertura de capital, ao Novo Mercado da B3, segmento que reúne as companhias que atendem às mais elevadas exigências de governança corporativa no mercado brasileiro.</w:t>
      </w:r>
    </w:p>
    <w:p w14:paraId="36298118" w14:textId="597BFF30" w:rsidR="00CA4BC4" w:rsidRPr="00CA4BC4" w:rsidRDefault="00CA4BC4" w:rsidP="00CA4BC4">
      <w:pPr>
        <w:jc w:val="both"/>
        <w:rPr>
          <w:rFonts w:ascii="Arial" w:eastAsia="Times New Roman" w:hAnsi="Arial" w:cs="Arial"/>
          <w:spacing w:val="-2"/>
          <w:sz w:val="18"/>
          <w:szCs w:val="18"/>
          <w:lang w:eastAsia="pt-BR"/>
        </w:rPr>
      </w:pPr>
      <w:r w:rsidRPr="00CA4BC4">
        <w:rPr>
          <w:rFonts w:ascii="Arial" w:eastAsia="Times New Roman" w:hAnsi="Arial" w:cs="Arial"/>
          <w:spacing w:val="-2"/>
          <w:sz w:val="18"/>
          <w:szCs w:val="18"/>
          <w:lang w:eastAsia="pt-BR"/>
        </w:rPr>
        <w:t>Em 2020, a necessidade de medidas de prevenção ao contágio pel</w:t>
      </w:r>
      <w:r w:rsidR="00382B8B">
        <w:rPr>
          <w:rFonts w:ascii="Arial" w:eastAsia="Times New Roman" w:hAnsi="Arial" w:cs="Arial"/>
          <w:spacing w:val="-2"/>
          <w:sz w:val="18"/>
          <w:szCs w:val="18"/>
          <w:lang w:eastAsia="pt-BR"/>
        </w:rPr>
        <w:t>a</w:t>
      </w:r>
      <w:r w:rsidRPr="00CA4BC4">
        <w:rPr>
          <w:rFonts w:ascii="Arial" w:eastAsia="Times New Roman" w:hAnsi="Arial" w:cs="Arial"/>
          <w:spacing w:val="-2"/>
          <w:sz w:val="18"/>
          <w:szCs w:val="18"/>
          <w:lang w:eastAsia="pt-BR"/>
        </w:rPr>
        <w:t xml:space="preserve"> Covid-19 devido à pandemia trouxe desafios e acelerou processos de melhoria na governança das companhias. Na BB Seguridade</w:t>
      </w:r>
      <w:r w:rsidR="00EC4F89">
        <w:rPr>
          <w:rFonts w:ascii="Arial" w:eastAsia="Times New Roman" w:hAnsi="Arial" w:cs="Arial"/>
          <w:spacing w:val="-2"/>
          <w:sz w:val="18"/>
          <w:szCs w:val="18"/>
          <w:lang w:eastAsia="pt-BR"/>
        </w:rPr>
        <w:t xml:space="preserve">, foi adotado </w:t>
      </w:r>
      <w:r w:rsidRPr="00CA4BC4">
        <w:rPr>
          <w:rFonts w:ascii="Arial" w:eastAsia="Times New Roman" w:hAnsi="Arial" w:cs="Arial"/>
          <w:spacing w:val="-2"/>
          <w:sz w:val="18"/>
          <w:szCs w:val="18"/>
          <w:lang w:eastAsia="pt-BR"/>
        </w:rPr>
        <w:t xml:space="preserve">o regime de reuniões por videoconferência </w:t>
      </w:r>
      <w:r w:rsidR="00EC4F89">
        <w:rPr>
          <w:rFonts w:ascii="Arial" w:eastAsia="Times New Roman" w:hAnsi="Arial" w:cs="Arial"/>
          <w:spacing w:val="-2"/>
          <w:sz w:val="18"/>
          <w:szCs w:val="18"/>
          <w:lang w:eastAsia="pt-BR"/>
        </w:rPr>
        <w:t xml:space="preserve">utilizando </w:t>
      </w:r>
      <w:r w:rsidRPr="00CA4BC4">
        <w:rPr>
          <w:rFonts w:ascii="Arial" w:eastAsia="Times New Roman" w:hAnsi="Arial" w:cs="Arial"/>
          <w:spacing w:val="-2"/>
          <w:sz w:val="18"/>
          <w:szCs w:val="18"/>
          <w:lang w:eastAsia="pt-BR"/>
        </w:rPr>
        <w:t xml:space="preserve">plataformas virtuais para os órgãos de governança, o que além da segurança permitiu maior agilidade no processo de tomada de decisão, já que todo o processo decisório </w:t>
      </w:r>
      <w:r w:rsidR="00EC4F89">
        <w:rPr>
          <w:rFonts w:ascii="Arial" w:eastAsia="Times New Roman" w:hAnsi="Arial" w:cs="Arial"/>
          <w:spacing w:val="-2"/>
          <w:sz w:val="18"/>
          <w:szCs w:val="18"/>
          <w:lang w:eastAsia="pt-BR"/>
        </w:rPr>
        <w:t xml:space="preserve">passou a ser </w:t>
      </w:r>
      <w:r w:rsidRPr="00CA4BC4">
        <w:rPr>
          <w:rFonts w:ascii="Arial" w:eastAsia="Times New Roman" w:hAnsi="Arial" w:cs="Arial"/>
          <w:spacing w:val="-2"/>
          <w:sz w:val="18"/>
          <w:szCs w:val="18"/>
          <w:lang w:eastAsia="pt-BR"/>
        </w:rPr>
        <w:t>digital.</w:t>
      </w:r>
    </w:p>
    <w:p w14:paraId="7B81BE33" w14:textId="15572C27" w:rsidR="0035585D" w:rsidRDefault="00CA4BC4" w:rsidP="00CA4BC4">
      <w:pPr>
        <w:jc w:val="both"/>
        <w:rPr>
          <w:rFonts w:ascii="Arial" w:eastAsia="Times New Roman" w:hAnsi="Arial" w:cs="Arial"/>
          <w:spacing w:val="-2"/>
          <w:sz w:val="18"/>
          <w:szCs w:val="18"/>
          <w:lang w:eastAsia="pt-BR"/>
        </w:rPr>
      </w:pPr>
      <w:r w:rsidRPr="00CA4BC4">
        <w:rPr>
          <w:rFonts w:ascii="Arial" w:eastAsia="Times New Roman" w:hAnsi="Arial" w:cs="Arial"/>
          <w:spacing w:val="-2"/>
          <w:sz w:val="18"/>
          <w:szCs w:val="18"/>
          <w:lang w:eastAsia="pt-BR"/>
        </w:rPr>
        <w:t>No período</w:t>
      </w:r>
      <w:r w:rsidR="007B0BB2">
        <w:rPr>
          <w:rFonts w:ascii="Arial" w:eastAsia="Times New Roman" w:hAnsi="Arial" w:cs="Arial"/>
          <w:spacing w:val="-2"/>
          <w:sz w:val="18"/>
          <w:szCs w:val="18"/>
          <w:lang w:eastAsia="pt-BR"/>
        </w:rPr>
        <w:t>,</w:t>
      </w:r>
      <w:r w:rsidRPr="00CA4BC4">
        <w:rPr>
          <w:rFonts w:ascii="Arial" w:eastAsia="Times New Roman" w:hAnsi="Arial" w:cs="Arial"/>
          <w:spacing w:val="-2"/>
          <w:sz w:val="18"/>
          <w:szCs w:val="18"/>
          <w:lang w:eastAsia="pt-BR"/>
        </w:rPr>
        <w:t xml:space="preserve"> a BB Seguridade manteve a certificação no Programa Destaque em Governança de Estatais da B3, não obstante a informação da descontinuidade do Programa em 2021</w:t>
      </w:r>
      <w:r w:rsidR="00EC4F89">
        <w:rPr>
          <w:rFonts w:ascii="Arial" w:eastAsia="Times New Roman" w:hAnsi="Arial" w:cs="Arial"/>
          <w:spacing w:val="-2"/>
          <w:sz w:val="18"/>
          <w:szCs w:val="18"/>
          <w:lang w:eastAsia="pt-BR"/>
        </w:rPr>
        <w:t xml:space="preserve"> pela bolsa de valores</w:t>
      </w:r>
      <w:r w:rsidRPr="00CA4BC4">
        <w:rPr>
          <w:rFonts w:ascii="Arial" w:eastAsia="Times New Roman" w:hAnsi="Arial" w:cs="Arial"/>
          <w:spacing w:val="-2"/>
          <w:sz w:val="18"/>
          <w:szCs w:val="18"/>
          <w:lang w:eastAsia="pt-BR"/>
        </w:rPr>
        <w:t xml:space="preserve">. </w:t>
      </w:r>
      <w:r w:rsidR="0035585D">
        <w:rPr>
          <w:rFonts w:ascii="Arial" w:eastAsia="Times New Roman" w:hAnsi="Arial" w:cs="Arial"/>
          <w:spacing w:val="-2"/>
          <w:sz w:val="18"/>
          <w:szCs w:val="18"/>
          <w:lang w:eastAsia="pt-BR"/>
        </w:rPr>
        <w:t>Embora em 2020 não tenha ocorrida a apuração do Indicador de Governança – IG SEST, não houve mudança em prática de governança que alterasse o cumprimento das melhores práticas definidas pela SEST, que levou a BB Seguridade à nota máxima no indicador em 2019.</w:t>
      </w:r>
    </w:p>
    <w:p w14:paraId="492EA5E4" w14:textId="04F9B553" w:rsidR="00CA4BC4" w:rsidRPr="00CA4BC4" w:rsidRDefault="00CA4BC4" w:rsidP="00CA4BC4">
      <w:pPr>
        <w:jc w:val="both"/>
        <w:rPr>
          <w:rFonts w:ascii="Arial" w:eastAsia="Times New Roman" w:hAnsi="Arial" w:cs="Arial"/>
          <w:spacing w:val="-2"/>
          <w:sz w:val="18"/>
          <w:szCs w:val="18"/>
          <w:lang w:eastAsia="pt-BR"/>
        </w:rPr>
      </w:pPr>
      <w:r w:rsidRPr="00CA4BC4">
        <w:rPr>
          <w:rFonts w:ascii="Arial" w:eastAsia="Times New Roman" w:hAnsi="Arial" w:cs="Arial"/>
          <w:spacing w:val="-2"/>
          <w:sz w:val="18"/>
          <w:szCs w:val="18"/>
          <w:lang w:eastAsia="pt-BR"/>
        </w:rPr>
        <w:t>Dentre os aprimoramentos na estrutura de governança, destaca</w:t>
      </w:r>
      <w:r w:rsidR="00EC4F89">
        <w:rPr>
          <w:rFonts w:ascii="Arial" w:eastAsia="Times New Roman" w:hAnsi="Arial" w:cs="Arial"/>
          <w:spacing w:val="-2"/>
          <w:sz w:val="18"/>
          <w:szCs w:val="18"/>
          <w:lang w:eastAsia="pt-BR"/>
        </w:rPr>
        <w:t>-se</w:t>
      </w:r>
      <w:r w:rsidRPr="00CA4BC4">
        <w:rPr>
          <w:rFonts w:ascii="Arial" w:eastAsia="Times New Roman" w:hAnsi="Arial" w:cs="Arial"/>
          <w:spacing w:val="-2"/>
          <w:sz w:val="18"/>
          <w:szCs w:val="18"/>
          <w:lang w:eastAsia="pt-BR"/>
        </w:rPr>
        <w:t xml:space="preserve"> a aprovação do compartilhamento da estrutura do Conselho Fiscal da BB Seguridade com as suas sociedades controladas, BB Seguros e BB Corretora, mediante adoção do regime de Conselho Fiscal único com a controladora. Essa medida, implantada em outubro, busca </w:t>
      </w:r>
      <w:r w:rsidRPr="00A1474D">
        <w:rPr>
          <w:rFonts w:ascii="Arial" w:eastAsia="Times New Roman" w:hAnsi="Arial" w:cs="Arial"/>
          <w:spacing w:val="-2"/>
          <w:sz w:val="18"/>
          <w:szCs w:val="18"/>
          <w:lang w:eastAsia="pt-BR"/>
        </w:rPr>
        <w:t>o ganho de eficiência</w:t>
      </w:r>
      <w:r w:rsidR="0035585D" w:rsidRPr="00A1474D">
        <w:rPr>
          <w:rFonts w:ascii="Arial" w:eastAsia="Times New Roman" w:hAnsi="Arial" w:cs="Arial"/>
          <w:spacing w:val="-2"/>
          <w:sz w:val="18"/>
          <w:szCs w:val="18"/>
          <w:lang w:eastAsia="pt-BR"/>
        </w:rPr>
        <w:t xml:space="preserve"> e</w:t>
      </w:r>
      <w:r w:rsidRPr="00A1474D">
        <w:rPr>
          <w:rFonts w:ascii="Arial" w:eastAsia="Times New Roman" w:hAnsi="Arial" w:cs="Arial"/>
          <w:spacing w:val="-2"/>
          <w:sz w:val="18"/>
          <w:szCs w:val="18"/>
          <w:lang w:eastAsia="pt-BR"/>
        </w:rPr>
        <w:t xml:space="preserve"> </w:t>
      </w:r>
      <w:r w:rsidR="00583DE8" w:rsidRPr="00A1474D">
        <w:rPr>
          <w:rFonts w:ascii="Arial" w:eastAsia="Times New Roman" w:hAnsi="Arial" w:cs="Arial"/>
          <w:spacing w:val="-2"/>
          <w:sz w:val="18"/>
          <w:szCs w:val="18"/>
          <w:lang w:eastAsia="pt-BR"/>
        </w:rPr>
        <w:t>maior sinergia nas atividades de fiscalização</w:t>
      </w:r>
      <w:r w:rsidRPr="00A1474D">
        <w:rPr>
          <w:rFonts w:ascii="Arial" w:eastAsia="Times New Roman" w:hAnsi="Arial" w:cs="Arial"/>
          <w:spacing w:val="-2"/>
          <w:sz w:val="18"/>
          <w:szCs w:val="18"/>
          <w:lang w:eastAsia="pt-BR"/>
        </w:rPr>
        <w:t>.</w:t>
      </w:r>
    </w:p>
    <w:p w14:paraId="343863E1" w14:textId="6A5E72C2" w:rsidR="00EC4F89" w:rsidRDefault="00CA4BC4" w:rsidP="00CA4BC4">
      <w:pPr>
        <w:jc w:val="both"/>
        <w:rPr>
          <w:rFonts w:ascii="Arial" w:eastAsia="Times New Roman" w:hAnsi="Arial" w:cs="Arial"/>
          <w:spacing w:val="-2"/>
          <w:sz w:val="18"/>
          <w:szCs w:val="18"/>
          <w:lang w:eastAsia="pt-BR"/>
        </w:rPr>
      </w:pPr>
      <w:r w:rsidRPr="00CA4BC4">
        <w:rPr>
          <w:rFonts w:ascii="Arial" w:eastAsia="Times New Roman" w:hAnsi="Arial" w:cs="Arial"/>
          <w:spacing w:val="-2"/>
          <w:sz w:val="18"/>
          <w:szCs w:val="18"/>
          <w:lang w:eastAsia="pt-BR"/>
        </w:rPr>
        <w:t xml:space="preserve">Ainda dentro do sistema de governança corporativa, merece menção o processo em andamento de revisão da estrutura de comitês técnicos de assessoramento à Diretoria Executiva, buscando dar foco aos temas que são estratégicos para a </w:t>
      </w:r>
      <w:r w:rsidR="00013BA9">
        <w:rPr>
          <w:rFonts w:ascii="Arial" w:eastAsia="Times New Roman" w:hAnsi="Arial" w:cs="Arial"/>
          <w:spacing w:val="-2"/>
          <w:sz w:val="18"/>
          <w:szCs w:val="18"/>
          <w:lang w:eastAsia="pt-BR"/>
        </w:rPr>
        <w:t>C</w:t>
      </w:r>
      <w:r w:rsidRPr="00CA4BC4">
        <w:rPr>
          <w:rFonts w:ascii="Arial" w:eastAsia="Times New Roman" w:hAnsi="Arial" w:cs="Arial"/>
          <w:spacing w:val="-2"/>
          <w:sz w:val="18"/>
          <w:szCs w:val="18"/>
          <w:lang w:eastAsia="pt-BR"/>
        </w:rPr>
        <w:t xml:space="preserve">ompanhia e melhoria na tomada de decisão. </w:t>
      </w:r>
      <w:r w:rsidR="00013BA9">
        <w:rPr>
          <w:rFonts w:ascii="Arial" w:eastAsia="Times New Roman" w:hAnsi="Arial" w:cs="Arial"/>
          <w:spacing w:val="-2"/>
          <w:sz w:val="18"/>
          <w:szCs w:val="18"/>
          <w:lang w:eastAsia="pt-BR"/>
        </w:rPr>
        <w:t>E</w:t>
      </w:r>
      <w:r w:rsidRPr="00CA4BC4">
        <w:rPr>
          <w:rFonts w:ascii="Arial" w:eastAsia="Times New Roman" w:hAnsi="Arial" w:cs="Arial"/>
          <w:spacing w:val="-2"/>
          <w:sz w:val="18"/>
          <w:szCs w:val="18"/>
          <w:lang w:eastAsia="pt-BR"/>
        </w:rPr>
        <w:t>m 2020</w:t>
      </w:r>
      <w:r w:rsidR="00EC4F89">
        <w:rPr>
          <w:rFonts w:ascii="Arial" w:eastAsia="Times New Roman" w:hAnsi="Arial" w:cs="Arial"/>
          <w:spacing w:val="-2"/>
          <w:sz w:val="18"/>
          <w:szCs w:val="18"/>
          <w:lang w:eastAsia="pt-BR"/>
        </w:rPr>
        <w:t>, também foram aprimorados o</w:t>
      </w:r>
      <w:r w:rsidRPr="00CA4BC4">
        <w:rPr>
          <w:rFonts w:ascii="Arial" w:eastAsia="Times New Roman" w:hAnsi="Arial" w:cs="Arial"/>
          <w:spacing w:val="-2"/>
          <w:sz w:val="18"/>
          <w:szCs w:val="18"/>
          <w:lang w:eastAsia="pt-BR"/>
        </w:rPr>
        <w:t xml:space="preserve"> funcionamento e o papel dos três comitês estatutários de assessoramento ao Conselho de Administração - Comitê de Transações com Partes Relacionadas, Comitê de Auditoria e Comitê de Elegibilidade, com melhorias estabelecidas no Estatuto Social e regimentos internos.</w:t>
      </w:r>
    </w:p>
    <w:p w14:paraId="3182919D"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ESTRATÉGIA DE LONGO PRAZO</w:t>
      </w:r>
    </w:p>
    <w:p w14:paraId="4259612B" w14:textId="2DBF8E20" w:rsidR="005B2A55" w:rsidRDefault="005B2A55" w:rsidP="005B2A55">
      <w:pPr>
        <w:pStyle w:val="01-Textonormal"/>
      </w:pPr>
      <w:r>
        <w:t xml:space="preserve">A estratégia de longo prazo busca garantir a perenidade da empresa, equilibrando esforços de curto, médio e longo prazo </w:t>
      </w:r>
      <w:r w:rsidR="00EC4F89">
        <w:t xml:space="preserve">e </w:t>
      </w:r>
      <w:r>
        <w:t>preparando-a para enfrentar diferentes cenários prospectivos. Esta é revisada, de forma colaborativa, anualmente ou a qualquer momento em decorrência de fatos que provoquem alterações relevantes nos cenários</w:t>
      </w:r>
      <w:r w:rsidR="00EC4F89">
        <w:t>, o que</w:t>
      </w:r>
      <w:r>
        <w:t xml:space="preserve"> amplia a capacidade de antecipação e resposta estratégica da organização face às mudanças. </w:t>
      </w:r>
    </w:p>
    <w:p w14:paraId="79F1774C" w14:textId="77777777" w:rsidR="005B2A55" w:rsidRDefault="005B2A55" w:rsidP="005B2A55">
      <w:pPr>
        <w:pStyle w:val="01-Textonormal"/>
      </w:pPr>
      <w:r>
        <w:t>O modelo de estratégia de longo prazo da BB Seguridade é composto pelos seguintes elementos:</w:t>
      </w:r>
    </w:p>
    <w:p w14:paraId="3F7AA628" w14:textId="04058591" w:rsidR="005B2A55" w:rsidRDefault="005B2A55" w:rsidP="005B2A55">
      <w:pPr>
        <w:pStyle w:val="01-Textonormal"/>
        <w:numPr>
          <w:ilvl w:val="0"/>
          <w:numId w:val="19"/>
        </w:numPr>
      </w:pPr>
      <w:r>
        <w:t xml:space="preserve">os </w:t>
      </w:r>
      <w:r w:rsidR="004A5C7A">
        <w:t>c</w:t>
      </w:r>
      <w:r w:rsidRPr="009D563E">
        <w:t xml:space="preserve">enários </w:t>
      </w:r>
      <w:r w:rsidR="004A5C7A">
        <w:t>p</w:t>
      </w:r>
      <w:r w:rsidRPr="009D563E">
        <w:t xml:space="preserve">rospectivos, </w:t>
      </w:r>
      <w:r>
        <w:t xml:space="preserve">que contemplam </w:t>
      </w:r>
      <w:r w:rsidRPr="009D563E">
        <w:t xml:space="preserve">os </w:t>
      </w:r>
      <w:r>
        <w:t>arquétipos que traduzem os vetores de maior incerteza inerentes ao mercado de atuação e ao modelo de negócios da BB Seguridade;</w:t>
      </w:r>
    </w:p>
    <w:p w14:paraId="5F4516A2" w14:textId="7476E95B" w:rsidR="005B2A55" w:rsidRDefault="005B2A55" w:rsidP="005B2A55">
      <w:pPr>
        <w:pStyle w:val="01-Textonormal"/>
        <w:numPr>
          <w:ilvl w:val="0"/>
          <w:numId w:val="19"/>
        </w:numPr>
      </w:pPr>
      <w:r>
        <w:t xml:space="preserve">o </w:t>
      </w:r>
      <w:r w:rsidR="004A5C7A">
        <w:t>m</w:t>
      </w:r>
      <w:r>
        <w:t>odelo de detecção e filtragem de sinais e de temas e aplicações de tecnologia emergentes para os negócios de seguridade;</w:t>
      </w:r>
    </w:p>
    <w:p w14:paraId="78823757" w14:textId="5E9A58A0" w:rsidR="005B2A55" w:rsidRDefault="005B2A55" w:rsidP="005B2A55">
      <w:pPr>
        <w:pStyle w:val="01-Textonormal"/>
        <w:numPr>
          <w:ilvl w:val="0"/>
          <w:numId w:val="19"/>
        </w:numPr>
      </w:pPr>
      <w:r>
        <w:t xml:space="preserve">a </w:t>
      </w:r>
      <w:r w:rsidR="004A5C7A">
        <w:t>a</w:t>
      </w:r>
      <w:r>
        <w:t xml:space="preserve">valiação estratégica por </w:t>
      </w:r>
      <w:r w:rsidR="004A5C7A">
        <w:t>c</w:t>
      </w:r>
      <w:r>
        <w:t>enário, ou seja, a análise do posicionamento estratégico da BB Seguridade em razão das suas atuais forças e fraquezas;</w:t>
      </w:r>
    </w:p>
    <w:p w14:paraId="3691F36D" w14:textId="3087AC5B" w:rsidR="005B2A55" w:rsidRDefault="005B2A55" w:rsidP="005B2A55">
      <w:pPr>
        <w:pStyle w:val="01-Textonormal"/>
        <w:numPr>
          <w:ilvl w:val="0"/>
          <w:numId w:val="19"/>
        </w:numPr>
      </w:pPr>
      <w:r>
        <w:t xml:space="preserve">a </w:t>
      </w:r>
      <w:r w:rsidR="004A5C7A">
        <w:t>m</w:t>
      </w:r>
      <w:r>
        <w:t>issão: “Proteger bens, conquistas e projetos”;</w:t>
      </w:r>
    </w:p>
    <w:p w14:paraId="183468F4" w14:textId="59F5EDF7" w:rsidR="005B2A55" w:rsidRDefault="005B2A55" w:rsidP="005B2A55">
      <w:pPr>
        <w:pStyle w:val="01-Textonormal"/>
        <w:numPr>
          <w:ilvl w:val="0"/>
          <w:numId w:val="19"/>
        </w:numPr>
      </w:pPr>
      <w:r>
        <w:t xml:space="preserve">a </w:t>
      </w:r>
      <w:r w:rsidR="004A5C7A">
        <w:t>v</w:t>
      </w:r>
      <w:r>
        <w:t>isão: “Transformamos a vida das pessoas por meio do melhor ecossistema de proteção. Somos uma empresa leve que gera valor sustentável”;</w:t>
      </w:r>
    </w:p>
    <w:p w14:paraId="2DAB0FA4" w14:textId="65EB84D8" w:rsidR="005B2A55" w:rsidRDefault="005B2A55" w:rsidP="005B2A55">
      <w:pPr>
        <w:pStyle w:val="01-Textonormal"/>
        <w:numPr>
          <w:ilvl w:val="0"/>
          <w:numId w:val="19"/>
        </w:numPr>
      </w:pPr>
      <w:r>
        <w:t xml:space="preserve">os </w:t>
      </w:r>
      <w:r w:rsidR="004A5C7A">
        <w:t>v</w:t>
      </w:r>
      <w:r>
        <w:t>alores, conjunto de comportamentos e atitudes mentais que pautam nossas ações; e</w:t>
      </w:r>
    </w:p>
    <w:p w14:paraId="1683C67F" w14:textId="28BC1C4C" w:rsidR="005B2A55" w:rsidRDefault="005B2A55" w:rsidP="005B2A55">
      <w:pPr>
        <w:pStyle w:val="01-Textonormal"/>
        <w:numPr>
          <w:ilvl w:val="0"/>
          <w:numId w:val="19"/>
        </w:numPr>
      </w:pPr>
      <w:r>
        <w:t xml:space="preserve">os </w:t>
      </w:r>
      <w:r w:rsidR="004A5C7A">
        <w:t>o</w:t>
      </w:r>
      <w:r>
        <w:t xml:space="preserve">bjetivos </w:t>
      </w:r>
      <w:r w:rsidR="004A5C7A">
        <w:t>e</w:t>
      </w:r>
      <w:r>
        <w:t>stratégicos, que promovem o alinhamento estratégico com o Banco do Brasil e investidas e definem como e quando os desafios</w:t>
      </w:r>
      <w:r w:rsidR="00542F97">
        <w:t xml:space="preserve"> serão superados</w:t>
      </w:r>
      <w:r>
        <w:t>; otimizam a compreensão,</w:t>
      </w:r>
      <w:r w:rsidR="00542F97">
        <w:t xml:space="preserve"> o</w:t>
      </w:r>
      <w:r>
        <w:t xml:space="preserve"> foco e </w:t>
      </w:r>
      <w:r w:rsidR="00542F97">
        <w:t xml:space="preserve">a </w:t>
      </w:r>
      <w:r>
        <w:t>execução da estratégia na BB Seguridade; e apresentam métricas, indicadores e resultados chave, que medem os resultados alcançados e o desempenho da BB Seguridade frente aos objetivos.</w:t>
      </w:r>
    </w:p>
    <w:p w14:paraId="5862A74A" w14:textId="77777777" w:rsidR="005B2A55" w:rsidRDefault="005B2A55" w:rsidP="005B2A55">
      <w:pPr>
        <w:pStyle w:val="01-Textonormal"/>
      </w:pPr>
      <w:r>
        <w:t xml:space="preserve">A construção da estratégia da BB Seguridade tem início com a análise dos ambientes externo e interno, representando a etapa de diagnóstico, por meio da qual são reavaliados os Cenários Prospectivos e identificadas as oportunidades, ameaças, forças e fraquezas que afetam a Companhia no cumprimento da sua missão. </w:t>
      </w:r>
    </w:p>
    <w:p w14:paraId="5BB8A1B7" w14:textId="77777777" w:rsidR="005B2A55" w:rsidRDefault="005B2A55" w:rsidP="005B2A55">
      <w:pPr>
        <w:pStyle w:val="01-Textonormal"/>
      </w:pPr>
      <w:r>
        <w:t>Concluída a etapa de diagnóstico, elencam-se as prioridades estratégicas do ciclo. Para o ciclo atual, a BB Seguridade manteve as prioridades estratégicas de 2020:</w:t>
      </w:r>
    </w:p>
    <w:p w14:paraId="5520CF88" w14:textId="77777777" w:rsidR="005B2A55" w:rsidRDefault="005B2A55" w:rsidP="005B2A55">
      <w:pPr>
        <w:pStyle w:val="01-Textonormal"/>
        <w:numPr>
          <w:ilvl w:val="0"/>
          <w:numId w:val="20"/>
        </w:numPr>
      </w:pPr>
      <w:r>
        <w:t>ser leve e eficiente, contando com uma estrutura enxuta e processos simples, com alta geração de valor;</w:t>
      </w:r>
    </w:p>
    <w:p w14:paraId="66C67D61" w14:textId="77777777" w:rsidR="005B2A55" w:rsidRDefault="005B2A55" w:rsidP="005B2A55">
      <w:pPr>
        <w:pStyle w:val="01-Textonormal"/>
        <w:numPr>
          <w:ilvl w:val="0"/>
          <w:numId w:val="20"/>
        </w:numPr>
      </w:pPr>
      <w:r>
        <w:t>transformar clientes em fãs, gerando encantamento com seus produtos, serviços, jornadas e relacionamento;</w:t>
      </w:r>
    </w:p>
    <w:p w14:paraId="67C4DE6F" w14:textId="77777777" w:rsidR="005B2A55" w:rsidRDefault="005B2A55" w:rsidP="005B2A55">
      <w:pPr>
        <w:pStyle w:val="01-Textonormal"/>
        <w:numPr>
          <w:ilvl w:val="0"/>
          <w:numId w:val="20"/>
        </w:numPr>
      </w:pPr>
      <w:r>
        <w:t>combinar online e off-line para vender sempre mais, transformando a BB Corretora numa máquina eficiente e inteligente de vendas;</w:t>
      </w:r>
    </w:p>
    <w:p w14:paraId="06962D42" w14:textId="77777777" w:rsidR="005B2A55" w:rsidRDefault="005B2A55" w:rsidP="005B2A55">
      <w:pPr>
        <w:pStyle w:val="01-Textonormal"/>
        <w:numPr>
          <w:ilvl w:val="0"/>
          <w:numId w:val="20"/>
        </w:numPr>
      </w:pPr>
      <w:r>
        <w:t xml:space="preserve">conectar e acelerar o digital, tendo a otimização e a transformação digital como alavancas de crescimento e experiência; e </w:t>
      </w:r>
    </w:p>
    <w:p w14:paraId="4A52E3CA" w14:textId="77777777" w:rsidR="005B2A55" w:rsidRDefault="005B2A55" w:rsidP="005B2A55">
      <w:pPr>
        <w:pStyle w:val="01-Textonormal"/>
        <w:numPr>
          <w:ilvl w:val="0"/>
          <w:numId w:val="20"/>
        </w:numPr>
      </w:pPr>
      <w:proofErr w:type="gramStart"/>
      <w:r>
        <w:t>experimentar</w:t>
      </w:r>
      <w:proofErr w:type="gramEnd"/>
      <w:r>
        <w:t xml:space="preserve"> sem medo para acertar em cheio, transformando o futuro, o novo e o desconhecido em aliados da nossa estratégia.</w:t>
      </w:r>
    </w:p>
    <w:p w14:paraId="68F999AB" w14:textId="2DC1186F" w:rsidR="005B2A55" w:rsidRDefault="005B2A55" w:rsidP="005B2A55">
      <w:pPr>
        <w:pStyle w:val="01-Textonormal"/>
      </w:pPr>
      <w:r>
        <w:t>Com estes objetivos estratégicos, a BB Seguridade espera obter como resultados: uma estrutura de capital e organizacional eficiente; a manutenção do foco no cliente, com proposta de valor ampliada, relacionamento relevante e acompanhamento estruturado dos índices de satisfação em todas as linhas de negócios; a melhoria significativa na jornada do distribuidor; o fortalecimento e aumento da inteligência de negócio embarcada tanto em canais tradicionais quanto nos digitais; uma estrutura de tecnologia da informação habilitada para prover soluções de forma rápida, tanto para reação como para antecipação dos movimentos dos concorrentes, além da habilitação tecnológica para explorar canais alternativos; e ampliação da atuação no ecossistema de empreendedorismo e inovação.</w:t>
      </w:r>
    </w:p>
    <w:p w14:paraId="4A89146E" w14:textId="77777777" w:rsidR="005B2A55" w:rsidRDefault="005B2A55" w:rsidP="005B2A55">
      <w:pPr>
        <w:pStyle w:val="01-Textonormal"/>
      </w:pPr>
      <w:r>
        <w:t>Após a etapa de diagnóstico e priorização, o processo de planejamento estratégico procura engajar os funcionários da BB Seguridade e das investidas para o levantamento de soluções que possam se tornar iniciativas para o alcance dos objetivos estratégicos declarados. A metodologia adotada apresentou resultados positivos por envolver os funcionários de todas as empresas nas discussões e construções desde o início do processo.</w:t>
      </w:r>
    </w:p>
    <w:p w14:paraId="07E19B9A" w14:textId="77777777" w:rsidR="005B2A55" w:rsidRDefault="005B2A55" w:rsidP="005B2A55">
      <w:pPr>
        <w:pStyle w:val="01-Textonormal"/>
      </w:pPr>
      <w:r>
        <w:t>Com o objetivo de manter a Companhia atualizada e engajada com a estratégia, é mantido um cronograma periódico de comunicação interna para reportar o status do atingimento dos objetivos estratégicos e dos projetos.</w:t>
      </w:r>
    </w:p>
    <w:p w14:paraId="751B1C0A" w14:textId="77777777" w:rsidR="005B2A55" w:rsidRDefault="005B2A55" w:rsidP="005B2A55">
      <w:pPr>
        <w:pStyle w:val="01-Textonormal"/>
      </w:pPr>
      <w:r w:rsidRPr="004A5C7A">
        <w:rPr>
          <w:rFonts w:cs="Arial"/>
        </w:rPr>
        <w:t>Para o ciclo 2021-2025, foram realizados os movimentos estratégicos destacados a seguir</w:t>
      </w:r>
      <w:r>
        <w:t>:</w:t>
      </w:r>
    </w:p>
    <w:p w14:paraId="2C0F9535" w14:textId="77777777" w:rsidR="005B2A55" w:rsidRDefault="005B2A55" w:rsidP="005B2A55">
      <w:pPr>
        <w:pStyle w:val="01-Textonormal"/>
        <w:numPr>
          <w:ilvl w:val="0"/>
          <w:numId w:val="11"/>
        </w:numPr>
      </w:pPr>
      <w:r>
        <w:t>atualização dos arquétipos de cenários prospectivos, equilibrando aspectos internos e externos à BB Seguridade no modelo;</w:t>
      </w:r>
    </w:p>
    <w:p w14:paraId="6CDBE98B" w14:textId="15BED448" w:rsidR="005B2A55" w:rsidRDefault="005B2A55" w:rsidP="005B2A55">
      <w:pPr>
        <w:pStyle w:val="01-Textonormal"/>
        <w:numPr>
          <w:ilvl w:val="0"/>
          <w:numId w:val="11"/>
        </w:numPr>
      </w:pPr>
      <w:proofErr w:type="gramStart"/>
      <w:r>
        <w:t>inclusão</w:t>
      </w:r>
      <w:proofErr w:type="gramEnd"/>
      <w:r>
        <w:t xml:space="preserve"> na agenda de revisão do planejamento estratégico </w:t>
      </w:r>
      <w:r w:rsidR="00542F97">
        <w:t>d</w:t>
      </w:r>
      <w:r>
        <w:t>o modelo de detecção e filtragem de sinais e análise de temas emergentes que possa</w:t>
      </w:r>
      <w:r w:rsidR="00AB7742">
        <w:t>m influenciar nas oportunidades e</w:t>
      </w:r>
      <w:r>
        <w:t xml:space="preserve"> ameaças do ambiente de negócios em cada cenário;</w:t>
      </w:r>
    </w:p>
    <w:p w14:paraId="4B9B6ACA" w14:textId="77777777" w:rsidR="005B2A55" w:rsidRDefault="005B2A55" w:rsidP="005B2A55">
      <w:pPr>
        <w:pStyle w:val="01-Textonormal"/>
        <w:numPr>
          <w:ilvl w:val="0"/>
          <w:numId w:val="11"/>
        </w:numPr>
      </w:pPr>
      <w:r>
        <w:t>alinhamento pleno dos objetivos estratégicos da BB Seguridade com o Plano de Orientações Estratégicas do Banco do Brasil e com os Mapas Estratégicos das investidas, inclusive com a convergência do método de indução estratégica no conglomerado;</w:t>
      </w:r>
    </w:p>
    <w:p w14:paraId="245C9370" w14:textId="77777777" w:rsidR="005B2A55" w:rsidRPr="005B2A55" w:rsidRDefault="005B2A55" w:rsidP="005B2A55">
      <w:pPr>
        <w:pStyle w:val="01-Textonormal"/>
        <w:numPr>
          <w:ilvl w:val="0"/>
          <w:numId w:val="11"/>
        </w:numPr>
      </w:pPr>
      <w:r w:rsidRPr="005B2A55">
        <w:t>modelagem, certificação e mensuração contínua dos processos da BB Seguridade e aumento no enfoque da gestão orientada a resultados de toda empresa;</w:t>
      </w:r>
    </w:p>
    <w:p w14:paraId="0E90F12E" w14:textId="67F09C3F" w:rsidR="005B2A55" w:rsidRPr="005B2A55" w:rsidRDefault="005B2A55" w:rsidP="005B2A55">
      <w:pPr>
        <w:pStyle w:val="01-Textonormal"/>
        <w:numPr>
          <w:ilvl w:val="0"/>
          <w:numId w:val="11"/>
        </w:numPr>
      </w:pPr>
      <w:r w:rsidRPr="005B2A55">
        <w:t>estabelecimento de pilares prioritários de treinamento e desenvolvimento de todo o corpo funcional, com foco em design de serviços, marketing estratégico, ciência comportamental,</w:t>
      </w:r>
      <w:r w:rsidR="007444F1">
        <w:t xml:space="preserve"> experiência do usuário (</w:t>
      </w:r>
      <w:r w:rsidRPr="006B2FF0">
        <w:rPr>
          <w:i/>
        </w:rPr>
        <w:t>UX</w:t>
      </w:r>
      <w:r w:rsidR="007444F1" w:rsidRPr="009839EC">
        <w:rPr>
          <w:i/>
          <w:iCs/>
        </w:rPr>
        <w:t>)</w:t>
      </w:r>
      <w:r w:rsidRPr="005B2A55">
        <w:t>, modelagem de negócios, ciência de dados, entre outros;</w:t>
      </w:r>
    </w:p>
    <w:p w14:paraId="69811BBE" w14:textId="3E9A9308" w:rsidR="005B2A55" w:rsidRPr="005B2A55" w:rsidRDefault="005B2A55" w:rsidP="005B2A55">
      <w:pPr>
        <w:pStyle w:val="01-Textonormal"/>
        <w:numPr>
          <w:ilvl w:val="0"/>
          <w:numId w:val="11"/>
        </w:numPr>
      </w:pPr>
      <w:r w:rsidRPr="005B2A55">
        <w:t xml:space="preserve">aprovação da tese de inovação e do programa institucional de </w:t>
      </w:r>
      <w:proofErr w:type="spellStart"/>
      <w:r w:rsidRPr="006B2FF0">
        <w:rPr>
          <w:i/>
        </w:rPr>
        <w:t>corporate</w:t>
      </w:r>
      <w:proofErr w:type="spellEnd"/>
      <w:r w:rsidRPr="006B2FF0">
        <w:rPr>
          <w:i/>
        </w:rPr>
        <w:t xml:space="preserve"> venture</w:t>
      </w:r>
      <w:r w:rsidRPr="005B2A55">
        <w:t>, que amplia a participação da BB Seguridade no ecossistema de inovação mediante investimento de até R$45 milhões em startups via fundos de investimento</w:t>
      </w:r>
      <w:r w:rsidR="00542F97">
        <w:t xml:space="preserve"> em participações</w:t>
      </w:r>
      <w:r w:rsidRPr="005B2A55">
        <w:t>;</w:t>
      </w:r>
    </w:p>
    <w:p w14:paraId="19124468" w14:textId="77777777" w:rsidR="005B2A55" w:rsidRPr="005B2A55" w:rsidRDefault="005B2A55" w:rsidP="005B2A55">
      <w:pPr>
        <w:pStyle w:val="01-Textonormal"/>
        <w:numPr>
          <w:ilvl w:val="0"/>
          <w:numId w:val="11"/>
        </w:numPr>
      </w:pPr>
      <w:r w:rsidRPr="005B2A55">
        <w:t>aproximação com Cátedras universitárias para desenvolvimento de estudos acadêmicos de temas afins e/ou tangentes ao mercado de atuação da BB Seguridade;</w:t>
      </w:r>
    </w:p>
    <w:p w14:paraId="6CD71156" w14:textId="77777777" w:rsidR="005B2A55" w:rsidRPr="005B2A55" w:rsidRDefault="005B2A55" w:rsidP="005B2A55">
      <w:pPr>
        <w:pStyle w:val="01-Textonormal"/>
        <w:numPr>
          <w:ilvl w:val="0"/>
          <w:numId w:val="11"/>
        </w:numPr>
      </w:pPr>
      <w:r w:rsidRPr="005B2A55">
        <w:t>atualização da Remuneração Variável de Administradores do conglomerado, representando o foco definido na estratégia e no plano de negócios; e</w:t>
      </w:r>
    </w:p>
    <w:p w14:paraId="5198C2FC" w14:textId="6B620892" w:rsidR="005507F9" w:rsidRPr="005B2A55" w:rsidRDefault="005B2A55" w:rsidP="005B2A55">
      <w:pPr>
        <w:pStyle w:val="01-Textonormal"/>
        <w:numPr>
          <w:ilvl w:val="0"/>
          <w:numId w:val="11"/>
        </w:numPr>
      </w:pPr>
      <w:r w:rsidRPr="005B2A55">
        <w:t>definição do portfólio de projetos para 2021 com ênfase no relacionamento com clientes e habilitação tecnológica para acessar novos canais da BB Corretora, de modo a alavancar a entrega de valor às partes interessadas e acelerar o atingimento dos objetivos, bem como criar bases para as próximas ondas do planejamento</w:t>
      </w:r>
      <w:r w:rsidR="00542F97">
        <w:t xml:space="preserve">, </w:t>
      </w:r>
      <w:r w:rsidR="00542F97" w:rsidRPr="00542F97">
        <w:t>além da proposição de uma agenda para evolução das práticas de sustentabilidade da BB Seguridade em relação aos aspectos ambiental, social e de governança (ASG).</w:t>
      </w:r>
    </w:p>
    <w:p w14:paraId="6C7D2612" w14:textId="77777777" w:rsidR="005507F9" w:rsidRPr="005507F9" w:rsidRDefault="005507F9" w:rsidP="002E067B">
      <w:pPr>
        <w:pStyle w:val="01-TtulodeNota"/>
        <w:ind w:left="357"/>
        <w:rPr>
          <w:color w:val="1F4E79" w:themeColor="accent1" w:themeShade="80"/>
        </w:rPr>
      </w:pPr>
    </w:p>
    <w:p w14:paraId="182A694B"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GESTÃO DE RISCOS E COMPLIANCE</w:t>
      </w:r>
    </w:p>
    <w:p w14:paraId="742395FA" w14:textId="4AFFAD2B" w:rsidR="00C76607" w:rsidRPr="00C76607" w:rsidRDefault="00C76607" w:rsidP="00C76607">
      <w:pPr>
        <w:pStyle w:val="01-Textonormal"/>
      </w:pPr>
      <w:r w:rsidRPr="00C76607">
        <w:t xml:space="preserve">Além de órgãos estatutários de governança, fiscalização e controle, como o Comitê de Auditoria e o Conselho Fiscal, a Superintendência de Riscos e Controles </w:t>
      </w:r>
      <w:r>
        <w:t>(“</w:t>
      </w:r>
      <w:r w:rsidRPr="00C76607">
        <w:t>SURIC</w:t>
      </w:r>
      <w:r>
        <w:t>”)</w:t>
      </w:r>
      <w:r w:rsidRPr="00C76607">
        <w:t xml:space="preserve">, área técnica segregada das funções de negócio, compõe a estrutura organizacional da BB Seguridade e integra a Superintendência Executiva de Gestão Societária, Riscos e Controles, vinculada diretamente à presidência da Companhia, o que assegura a necessária independência de atuação. </w:t>
      </w:r>
    </w:p>
    <w:p w14:paraId="1A7C6A3D" w14:textId="1D6A0E77" w:rsidR="00C76607" w:rsidRPr="00C76607" w:rsidRDefault="00C76607" w:rsidP="00C76607">
      <w:pPr>
        <w:pStyle w:val="01-Textonormal"/>
      </w:pPr>
      <w:r w:rsidRPr="00C76607">
        <w:t>A SURIC tem a responsabilidade de desenvolver e normatizar metodologias de gerenciamento de riscos, controles internos e conformidade, além de orientar a adoção de melhore</w:t>
      </w:r>
      <w:r>
        <w:t>s práticas relacionadas ao tema</w:t>
      </w:r>
      <w:r w:rsidRPr="00C76607">
        <w:t>.</w:t>
      </w:r>
      <w:r w:rsidR="00F57F8D">
        <w:t xml:space="preserve"> </w:t>
      </w:r>
      <w:r w:rsidRPr="00C76607">
        <w:t xml:space="preserve">As diretrizes aprovadas pelo Conselho de Administração, que orientam o gerenciamento de riscos, controles internos e conformidade, estão contidas na Declaração de Apetite a Riscos, Política de Gerenciamento de Riscos, Controles Internos e Conformidade e Política de Prevenção e Combate à Lavagem de Dinheiro, ao Financiamento do Terrorismo e à Corrupção. </w:t>
      </w:r>
    </w:p>
    <w:p w14:paraId="32046AA5" w14:textId="2BD80B69" w:rsidR="00C76607" w:rsidRPr="00C76607" w:rsidRDefault="00C76607" w:rsidP="00C76607">
      <w:pPr>
        <w:pStyle w:val="01-Textonormal"/>
      </w:pPr>
      <w:r w:rsidRPr="00C76607">
        <w:t>O Modelo de Gerenciamento de Riscos, Controles Internos e Conformidade, aprovado pela Diretoria C</w:t>
      </w:r>
      <w:r>
        <w:t>olegiada, apresenta alinhamento</w:t>
      </w:r>
      <w:r w:rsidRPr="00C76607">
        <w:t xml:space="preserve"> com a estratégia da Companhia e considera os cenários corporativos na identificação, análise, avaliação e tratamento de eventos capazes de influenciar negativamente o atingimento dos objetivos. </w:t>
      </w:r>
    </w:p>
    <w:p w14:paraId="6E7C1687" w14:textId="208784CB" w:rsidR="00C76607" w:rsidRPr="00C76607" w:rsidRDefault="00C76607" w:rsidP="00C76607">
      <w:pPr>
        <w:pStyle w:val="01-Textonormal"/>
      </w:pPr>
      <w:r w:rsidRPr="00C76607">
        <w:t xml:space="preserve">O resultado do monitoramento contínuo do sistema de controles internos e o estado de conformidade corporativo é reportado trimestralmente à administração por meio do Painel de Controles Internos e Conformidade, que inclui informações relevantes sobre trabalhos realizados não somente pela SURIC, mas também pela Auditoria Interna, Auditoria Externa e demais órgãos supervisores. </w:t>
      </w:r>
    </w:p>
    <w:p w14:paraId="29792A09" w14:textId="3CE7A61D" w:rsidR="00C76607" w:rsidRPr="00C76607" w:rsidRDefault="00C76607" w:rsidP="00C76607">
      <w:pPr>
        <w:pStyle w:val="01-Textonormal"/>
      </w:pPr>
      <w:r w:rsidRPr="00C76607">
        <w:t>A manutenção e avaliação periódica do Programa de Integridade fomenta uma cultura organizacional ética e reforça a responsabilidade de todos com a prática de controles internos de gestão e de conformidade adotadas para o cumprimento da missão e realização do propósito da empresa.</w:t>
      </w:r>
    </w:p>
    <w:p w14:paraId="0DFE6F1F" w14:textId="3F50E21B" w:rsidR="005507F9" w:rsidRDefault="00F57F8D" w:rsidP="00C76607">
      <w:pPr>
        <w:pStyle w:val="01-Textonormal"/>
      </w:pPr>
      <w:r>
        <w:t>E</w:t>
      </w:r>
      <w:r w:rsidR="00C76607">
        <w:t>m 2020</w:t>
      </w:r>
      <w:r w:rsidR="00C76607" w:rsidRPr="00C76607">
        <w:t xml:space="preserve">, </w:t>
      </w:r>
      <w:r>
        <w:t xml:space="preserve">cabe ressaltar </w:t>
      </w:r>
      <w:r w:rsidR="00C76607" w:rsidRPr="00C76607">
        <w:t xml:space="preserve">o maior enfoque na gestão de continuidade de negócios e dos eventos de risco associados à segurança da informação em decorrência da </w:t>
      </w:r>
      <w:r w:rsidR="00AB7742">
        <w:t>pandemia</w:t>
      </w:r>
      <w:r w:rsidR="00C76607" w:rsidRPr="00C76607">
        <w:t xml:space="preserve"> </w:t>
      </w:r>
      <w:r>
        <w:t xml:space="preserve">de </w:t>
      </w:r>
      <w:r w:rsidR="00C76607" w:rsidRPr="00C76607">
        <w:t>C</w:t>
      </w:r>
      <w:r>
        <w:t>ovid</w:t>
      </w:r>
      <w:r w:rsidR="00C76607" w:rsidRPr="00C76607">
        <w:t>-19 e adesão ao trabalho remoto.</w:t>
      </w:r>
      <w:r>
        <w:t xml:space="preserve"> Ainda, n</w:t>
      </w:r>
      <w:r w:rsidR="00C76607" w:rsidRPr="00C76607">
        <w:t xml:space="preserve">o concernente a </w:t>
      </w:r>
      <w:proofErr w:type="spellStart"/>
      <w:r w:rsidR="00C76607" w:rsidRPr="00C76607">
        <w:rPr>
          <w:i/>
        </w:rPr>
        <w:t>compliance</w:t>
      </w:r>
      <w:proofErr w:type="spellEnd"/>
      <w:r w:rsidR="00C76607" w:rsidRPr="00C76607">
        <w:t>, foram realizadas ações com o objetivo de atender o disposto na Lei Geral de Proteção de Dados, Resolução CNSP nº 382 e Circular Susep nº 612, que impactaram significativamente o mercado segurador.</w:t>
      </w:r>
    </w:p>
    <w:p w14:paraId="0E48D607" w14:textId="325938EB" w:rsidR="0063302F" w:rsidRDefault="0063302F">
      <w:pPr>
        <w:spacing w:after="160" w:line="259" w:lineRule="auto"/>
        <w:rPr>
          <w:rFonts w:ascii="Arial" w:eastAsia="Times New Roman" w:hAnsi="Arial" w:cs="Times New Roman"/>
          <w:spacing w:val="-2"/>
          <w:sz w:val="18"/>
          <w:szCs w:val="18"/>
          <w:lang w:eastAsia="pt-BR"/>
        </w:rPr>
      </w:pPr>
      <w:r>
        <w:br w:type="page"/>
      </w:r>
    </w:p>
    <w:p w14:paraId="74F9AC2F"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 xml:space="preserve">COMERCIAL, PRODUTOS E CLIENTES </w:t>
      </w:r>
    </w:p>
    <w:p w14:paraId="13CEFB0F" w14:textId="77777777" w:rsidR="009624B1" w:rsidRPr="009624B1" w:rsidRDefault="009624B1" w:rsidP="009624B1">
      <w:pPr>
        <w:pStyle w:val="050-TextoPadro"/>
      </w:pPr>
      <w:bookmarkStart w:id="3" w:name="_Hlk58834176"/>
      <w:r w:rsidRPr="009624B1">
        <w:t>A BB Seguros acredita que uma relação longa deve ser composta por muito diálogo, transparência e cumplicidade, por isso, desde 2019 vem destinando esforços em conjunto com suas investidas para que o cliente se sinta acompanhado em todos os seus momentos de vida. A estratégia é utilizar canais digitais e atendimento de especialistas para manter um contato frequente que traga desde informações e orientação sobre os produtos e serviços adquiridos até dicas e conteúdos diversificados.</w:t>
      </w:r>
    </w:p>
    <w:p w14:paraId="06821DE2" w14:textId="77777777" w:rsidR="009624B1" w:rsidRPr="009624B1" w:rsidRDefault="009624B1" w:rsidP="009624B1">
      <w:pPr>
        <w:pStyle w:val="050-TextoPadro"/>
      </w:pPr>
      <w:r w:rsidRPr="009624B1">
        <w:t>Nesse sentido, em 2020, a BB Seguros manteve a conexão com seus clientes, priorizando o cuidado e a atenção diante de um momento tão delicado e desafiador em função da pandemia de Covid-19.</w:t>
      </w:r>
    </w:p>
    <w:p w14:paraId="48C119C1" w14:textId="77777777" w:rsidR="009624B1" w:rsidRPr="009624B1" w:rsidRDefault="009624B1" w:rsidP="009624B1">
      <w:pPr>
        <w:pStyle w:val="050-TextoPadro"/>
      </w:pPr>
      <w:r w:rsidRPr="009624B1">
        <w:t>O desafio foi apoiar à distância e para isso foi oferecido a mais de 350 mil clientes a possibilidade de utilizarem gratuitamente uma plataforma de terapia online ou uma plataforma de livros e leituras. Quase 30 mil clientes usufruíram desse conforto e para quem não sentiu essa necessidade, a BB Seguros encaminhou semanalmente um e-mail com as mais variadas dicas para cuidado com a mente, o corpo e a família. Entre referências para atividades físicas em casa, filmes, música, jogos e entretenimento para toda a família, foram mais de 5 milhões de e-mails abertos pelos clientes, com uma receptividade acima da esperada.</w:t>
      </w:r>
    </w:p>
    <w:p w14:paraId="3305D2DC" w14:textId="77777777" w:rsidR="009624B1" w:rsidRPr="009624B1" w:rsidRDefault="009624B1" w:rsidP="009624B1">
      <w:pPr>
        <w:pStyle w:val="050-TextoPadro"/>
      </w:pPr>
      <w:r w:rsidRPr="009624B1">
        <w:t xml:space="preserve">Respeitando os desafios do isolamento social impostos pela pandemia, foram realizados 4 Conselhos de Clientes de forma virtual com o objetivo de ouvir diretamente suas percepções sobre as experiências que tiveram com os produtos e serviços, por meio dos quais foram identificadas 34 percepções que ajudarão a proporcionar uma experiência ainda melhor em 2021. Também foram realizadas pesquisas, nas quais mais de 800 mil clientes foram ouvidos e mais 300 mil transações avaliadas. </w:t>
      </w:r>
    </w:p>
    <w:p w14:paraId="01772249" w14:textId="77777777" w:rsidR="009624B1" w:rsidRPr="009624B1" w:rsidRDefault="009624B1" w:rsidP="009624B1">
      <w:pPr>
        <w:pStyle w:val="050-TextoPadro"/>
      </w:pPr>
      <w:r w:rsidRPr="009624B1">
        <w:t>Com o objetivo de transformar clientes em fãs em mente, foi estruturado o modelo de apuração e acompanhamento das pesquisas de NPS (</w:t>
      </w:r>
      <w:r w:rsidRPr="009624B1">
        <w:rPr>
          <w:i/>
          <w:iCs/>
        </w:rPr>
        <w:t>Net Promoter Score</w:t>
      </w:r>
      <w:r w:rsidRPr="009624B1">
        <w:t xml:space="preserve">) e satisfação nas investidas, aumentando a recorrência das apurações para entender os principais motivos de promoção e detração e poder atuar com projetos e iniciativas que melhorem as experiências dos clientes e, por consequência, nossos indicadores. </w:t>
      </w:r>
    </w:p>
    <w:p w14:paraId="526AEE42" w14:textId="0A2E7730" w:rsidR="009624B1" w:rsidRPr="009624B1" w:rsidRDefault="009624B1" w:rsidP="009624B1">
      <w:pPr>
        <w:pStyle w:val="050-TextoPadro"/>
      </w:pPr>
      <w:r w:rsidRPr="009624B1">
        <w:t xml:space="preserve">No âmbito das reclamações, foi instituído o Fórum Mensal de Qualidade com a participação dos </w:t>
      </w:r>
      <w:proofErr w:type="spellStart"/>
      <w:r w:rsidRPr="009624B1">
        <w:t>SACs</w:t>
      </w:r>
      <w:proofErr w:type="spellEnd"/>
      <w:r w:rsidRPr="009624B1">
        <w:t xml:space="preserve"> e Ouvidorias do BB e das investidas da BB Seguros com o objetivo de expor e aprofundar a análise dos principais motivos de reclamação por </w:t>
      </w:r>
      <w:r w:rsidRPr="0063302F">
        <w:t>produto e endereçar as melhorias necessárias. Como resultado, comparando com o ano de 2019, observamos redução de 3</w:t>
      </w:r>
      <w:r w:rsidR="005029A2" w:rsidRPr="0063302F">
        <w:t>8</w:t>
      </w:r>
      <w:r w:rsidRPr="0063302F">
        <w:t>,</w:t>
      </w:r>
      <w:r w:rsidR="005029A2" w:rsidRPr="0063302F">
        <w:t>9</w:t>
      </w:r>
      <w:r w:rsidRPr="0063302F">
        <w:t>% nas reclamações.</w:t>
      </w:r>
    </w:p>
    <w:p w14:paraId="6B434C77" w14:textId="77777777" w:rsidR="009624B1" w:rsidRPr="009624B1" w:rsidRDefault="009624B1" w:rsidP="009624B1">
      <w:pPr>
        <w:pStyle w:val="050-TextoPadro"/>
      </w:pPr>
      <w:r w:rsidRPr="009624B1">
        <w:t xml:space="preserve">Apesar das dificuldades do distanciamento imposto pela pandemia do novo coronavírus, a BB Seguros deu continuidade à revitalização do portfólio de produtos, com o intuito de oferecer as melhores soluções para proteção de bens, conquistas e projetos. </w:t>
      </w:r>
    </w:p>
    <w:p w14:paraId="0FD96B84" w14:textId="77777777" w:rsidR="009624B1" w:rsidRPr="009624B1" w:rsidRDefault="009624B1" w:rsidP="009624B1">
      <w:pPr>
        <w:pStyle w:val="050-TextoPadro"/>
      </w:pPr>
      <w:r w:rsidRPr="009624B1">
        <w:t>O primeiro produto a passar por essa transformação foi o seguro penhor rural, melhorando a jornada de venda com a inclusão da cotação online, além de um novo modelo de oferta e a inclusão de novas coberturas, consolidando o produto como o mais completo do mercado.</w:t>
      </w:r>
    </w:p>
    <w:p w14:paraId="22FE6B37" w14:textId="193D2256" w:rsidR="009624B1" w:rsidRPr="003A1011" w:rsidRDefault="009624B1" w:rsidP="009624B1">
      <w:pPr>
        <w:pStyle w:val="050-TextoPadro"/>
      </w:pPr>
      <w:r w:rsidRPr="009624B1">
        <w:t xml:space="preserve">Para fazer frente ao cenário de juros baixos, em março, foram disponibilizadas novas opções de investimento aos clientes de previdência, com o lançamento de fundos </w:t>
      </w:r>
      <w:proofErr w:type="spellStart"/>
      <w:r w:rsidRPr="009624B1">
        <w:t>multigestores</w:t>
      </w:r>
      <w:proofErr w:type="spellEnd"/>
      <w:r w:rsidRPr="009624B1">
        <w:t xml:space="preserve">, em um conceito de plataforma aberta, atualmente composta por 10 gestores independentes e que alcançou saldo de </w:t>
      </w:r>
      <w:r w:rsidRPr="003A1011">
        <w:t>R$</w:t>
      </w:r>
      <w:r w:rsidR="001D5908" w:rsidRPr="003A1011">
        <w:t>3,7</w:t>
      </w:r>
      <w:r w:rsidRPr="003A1011">
        <w:t xml:space="preserve"> bilhões em investimentos sob gestão ao final do ano.</w:t>
      </w:r>
    </w:p>
    <w:p w14:paraId="1563E2AB" w14:textId="1CBED1E0" w:rsidR="009624B1" w:rsidRPr="009624B1" w:rsidRDefault="009624B1" w:rsidP="009624B1">
      <w:pPr>
        <w:pStyle w:val="050-TextoPadro"/>
      </w:pPr>
      <w:r w:rsidRPr="003A1011">
        <w:t xml:space="preserve">Em seguida foi a vez do portfólio de seguros de vida, com o lançamento, em junho, de um novo produto com o conceito de “Seguro pra Vida”, que inclui a disponibilização de benefícios e a revisão dos pacotes de assistências com foco no bem-estar, na saúde e na qualidade de vida dos clientes. Outras evoluções relacionadas ao novo portfolio se concentraram na realização de melhorias significativas na jornada de distribuição, tanto na “rede física” do Banco do Brasil como nos canais digitais, além da criação de uma régua de relacionamento para a entrega de conteúdos relevantes que tangenciam os temas endereçados na concepção do novo produto. Como resultado das melhorias realizadas, desde o lançamento verificou-se um incremento de aproximadamente 10% no tempo médio de permanência, </w:t>
      </w:r>
      <w:r w:rsidR="00EF4463" w:rsidRPr="003A1011">
        <w:t xml:space="preserve">enquanto o </w:t>
      </w:r>
      <w:r w:rsidRPr="003A1011">
        <w:t>percentual verificado no crescimento do ticket médio do produto</w:t>
      </w:r>
      <w:r w:rsidR="00EF4463" w:rsidRPr="003A1011">
        <w:t xml:space="preserve"> ficou</w:t>
      </w:r>
      <w:r w:rsidR="00EF4463">
        <w:t xml:space="preserve"> em cerca de 9%</w:t>
      </w:r>
      <w:r w:rsidRPr="009624B1">
        <w:t xml:space="preserve">. Também </w:t>
      </w:r>
      <w:r w:rsidR="00EF4463">
        <w:t>foi observado</w:t>
      </w:r>
      <w:r w:rsidRPr="009624B1">
        <w:t xml:space="preserve"> um aumento de </w:t>
      </w:r>
      <w:r w:rsidR="00EF4463">
        <w:t>3,5</w:t>
      </w:r>
      <w:r w:rsidRPr="009624B1">
        <w:t xml:space="preserve"> </w:t>
      </w:r>
      <w:proofErr w:type="spellStart"/>
      <w:r w:rsidRPr="009624B1">
        <w:t>p.p</w:t>
      </w:r>
      <w:proofErr w:type="spellEnd"/>
      <w:r w:rsidRPr="009624B1">
        <w:t xml:space="preserve">. na participação dos canais digitais nas vendas. </w:t>
      </w:r>
    </w:p>
    <w:p w14:paraId="33FB6AC0" w14:textId="77777777" w:rsidR="009624B1" w:rsidRPr="009624B1" w:rsidRDefault="009624B1" w:rsidP="009624B1">
      <w:pPr>
        <w:pStyle w:val="050-TextoPadro"/>
      </w:pPr>
      <w:r w:rsidRPr="009624B1">
        <w:t xml:space="preserve">Em julho, foi lançado o BB Seguro Agrícola destinado ao público do Programa Nacional de Fortalecimento da Agricultura Familiar </w:t>
      </w:r>
      <w:r w:rsidRPr="003A1011">
        <w:t>(Pronaf), com o objetivo de estreitar ainda mais o relacionamento com o produtor rural e reforçar o papel da BB Seguros como apoiadora do agronegócio e de toda a cadeia produtiva. Em 4 meses de comercialização, o produto acumulou cerca de R$60 milhões em prêmios.</w:t>
      </w:r>
    </w:p>
    <w:p w14:paraId="4F3B1D2B" w14:textId="130E85F0" w:rsidR="009624B1" w:rsidRPr="009624B1" w:rsidRDefault="009624B1" w:rsidP="009624B1">
      <w:pPr>
        <w:pStyle w:val="050-TextoPadro"/>
      </w:pPr>
      <w:r w:rsidRPr="009624B1">
        <w:t xml:space="preserve">No seguro auto, a melhoria foi o lançamento, em agosto, das funcionalidades de agendamento de cotação no autoatendimento pela internet e no aplicativo para celulares do BB, </w:t>
      </w:r>
      <w:r w:rsidR="00F61839">
        <w:t>melhorando a jornada para oferta aos clientes.</w:t>
      </w:r>
    </w:p>
    <w:p w14:paraId="29DAD729" w14:textId="4AE9ADEB" w:rsidR="009624B1" w:rsidRPr="009624B1" w:rsidRDefault="009624B1" w:rsidP="009624B1">
      <w:pPr>
        <w:pStyle w:val="050-TextoPadro"/>
      </w:pPr>
      <w:r w:rsidRPr="009624B1">
        <w:t>Com o objetivo de endereçar uma demanda latente do setor pecuário, que possui grande representatividade no agronegócio, em setembro, foi realizada a expansão da etapa de piloto do seguro pecuário faturamento</w:t>
      </w:r>
      <w:r w:rsidR="00FC4FD6">
        <w:t xml:space="preserve">, </w:t>
      </w:r>
      <w:r w:rsidR="00FC4FD6" w:rsidRPr="00FC4FD6">
        <w:t>um produto que garante ao segurado o recebimento do faturamento acordado na apólice de seguro, mesmo que haja queda no preço da commodity ou menor faturamento em função de doenças ou morte do gado. Com a extensão do piloto, o produto passou a ser distribuído em 10 estados brasileiros e 3.457 agências do Banco do Brasil</w:t>
      </w:r>
      <w:r w:rsidRPr="009624B1">
        <w:t xml:space="preserve">. </w:t>
      </w:r>
    </w:p>
    <w:p w14:paraId="4B7CFFE2" w14:textId="3058812B" w:rsidR="009624B1" w:rsidRPr="009624B1" w:rsidRDefault="009624B1" w:rsidP="009624B1">
      <w:pPr>
        <w:pStyle w:val="050-TextoPadro"/>
      </w:pPr>
      <w:r w:rsidRPr="009624B1">
        <w:t>Trazendo melhorias significativas como o pagamento automatizado de indenizações por óbito e a oferta de novas coberturas como invalidez permanente total por acidente, desemprego involuntário e incapacidade física temporária por acidente, o novo Seguro Crédito Protegido foi lançado em outubro. Além disso, foi realizada uma revisão da estrutura de oferta que o tornou mais flexível a aplicação de taxas comerciais diferenciadas por canais e linhas de crédito. Nos primeiros meses de operação, o novo produto apresentou emissão de</w:t>
      </w:r>
      <w:r w:rsidR="00A9187A">
        <w:t xml:space="preserve"> aproximadamente</w:t>
      </w:r>
      <w:r w:rsidRPr="009624B1">
        <w:t xml:space="preserve"> </w:t>
      </w:r>
      <w:r w:rsidR="00FC4FD6" w:rsidRPr="00FC4FD6">
        <w:t>R$3</w:t>
      </w:r>
      <w:r w:rsidR="00A9187A">
        <w:t>80</w:t>
      </w:r>
      <w:r w:rsidR="00FC4FD6" w:rsidRPr="00FC4FD6">
        <w:t xml:space="preserve"> milhões em prêmios </w:t>
      </w:r>
      <w:r w:rsidR="00B3753E">
        <w:t xml:space="preserve">contratados </w:t>
      </w:r>
      <w:r w:rsidR="00FC4FD6" w:rsidRPr="00FC4FD6">
        <w:t xml:space="preserve">até </w:t>
      </w:r>
      <w:r w:rsidR="00FC4FD6">
        <w:t>d</w:t>
      </w:r>
      <w:r w:rsidR="00FC4FD6" w:rsidRPr="00FC4FD6">
        <w:t>ez</w:t>
      </w:r>
      <w:r w:rsidR="00FC4FD6">
        <w:t>embro de 20</w:t>
      </w:r>
      <w:r w:rsidR="00FC4FD6" w:rsidRPr="00FC4FD6">
        <w:t>20 e cerca de 186</w:t>
      </w:r>
      <w:r w:rsidR="00FC4FD6">
        <w:t xml:space="preserve"> </w:t>
      </w:r>
      <w:r w:rsidR="00FC4FD6" w:rsidRPr="00FC4FD6">
        <w:t>mil contratações, com um aumento do ticket médio de R$434 em 2019 para R$2.018 em 2020</w:t>
      </w:r>
      <w:r w:rsidRPr="009624B1">
        <w:t>.</w:t>
      </w:r>
    </w:p>
    <w:p w14:paraId="15715F97" w14:textId="77777777" w:rsidR="009624B1" w:rsidRPr="009624B1" w:rsidRDefault="009624B1" w:rsidP="009624B1">
      <w:pPr>
        <w:pStyle w:val="050-TextoPadro"/>
      </w:pPr>
      <w:r w:rsidRPr="009624B1">
        <w:t xml:space="preserve">Para fechar as entregas no que se refere à gestão de portfólio, em dezembro, foi implementada uma nova melhoria no portfólio de fundos de previdência, com a implementação de taxas de administração mais competitivas para fundos de menor valor agregado e a disponibilização de novas estratégias de investimento com maior exposição em renda variável, aumentando o leque de opções para os clientes realocarem seus recursos em um cenário de manutenção das taxas de juros em patamares historicamente baixos no Brasil. Ainda, foi lançado o produto </w:t>
      </w:r>
      <w:proofErr w:type="spellStart"/>
      <w:r w:rsidRPr="009624B1">
        <w:t>Brasilprev</w:t>
      </w:r>
      <w:proofErr w:type="spellEnd"/>
      <w:r w:rsidRPr="009624B1">
        <w:t xml:space="preserve"> Carteira, que permite que clientes, de acordo com seus perfis de risco, aloquem seus recursos em fundos multimercado cujo balanceamento da estratégia de investimento flutua conforme o cenário econômico e as oportunidades de mercado.</w:t>
      </w:r>
    </w:p>
    <w:bookmarkEnd w:id="3"/>
    <w:p w14:paraId="418C1642" w14:textId="721B7E0F" w:rsidR="00765271" w:rsidRPr="00765271" w:rsidRDefault="00765271" w:rsidP="00765271">
      <w:pPr>
        <w:spacing w:before="120" w:after="120"/>
        <w:jc w:val="both"/>
        <w:rPr>
          <w:rFonts w:ascii="Arial" w:eastAsia="Times New Roman" w:hAnsi="Arial" w:cs="Times New Roman"/>
          <w:sz w:val="18"/>
          <w:szCs w:val="18"/>
          <w:lang w:eastAsia="pt-BR"/>
        </w:rPr>
      </w:pPr>
      <w:r w:rsidRPr="00765271">
        <w:rPr>
          <w:rFonts w:ascii="Arial" w:eastAsia="Times New Roman" w:hAnsi="Arial" w:cs="Times New Roman"/>
          <w:sz w:val="18"/>
          <w:szCs w:val="18"/>
          <w:lang w:eastAsia="pt-BR"/>
        </w:rPr>
        <w:t xml:space="preserve">No âmbito comercial, foi ampliada a estratégia de estímulo à força de vendas do BB por meio de premiações atreladas diretamente à venda de seguros, previdência, capitalização e planos odontológicos, com incentivos imediatos, mensais e semestrais. Somados a essas, foram realizadas </w:t>
      </w:r>
      <w:r w:rsidR="00F4214C">
        <w:rPr>
          <w:rFonts w:ascii="Arial" w:eastAsia="Times New Roman" w:hAnsi="Arial" w:cs="Times New Roman"/>
          <w:sz w:val="18"/>
          <w:szCs w:val="18"/>
          <w:lang w:eastAsia="pt-BR"/>
        </w:rPr>
        <w:t xml:space="preserve">ainda </w:t>
      </w:r>
      <w:r w:rsidRPr="00765271">
        <w:rPr>
          <w:rFonts w:ascii="Arial" w:eastAsia="Times New Roman" w:hAnsi="Arial" w:cs="Times New Roman"/>
          <w:sz w:val="18"/>
          <w:szCs w:val="18"/>
          <w:lang w:eastAsia="pt-BR"/>
        </w:rPr>
        <w:t>campanhas de indução específicas para atração de novos clientes de previdência, seguro de vida e seguros rurais.</w:t>
      </w:r>
    </w:p>
    <w:p w14:paraId="0D26A1D1" w14:textId="03FFE0D0" w:rsidR="00F61839" w:rsidRPr="00A35706" w:rsidRDefault="00381C30" w:rsidP="00A35706">
      <w:pPr>
        <w:jc w:val="both"/>
        <w:rPr>
          <w:rFonts w:ascii="Arial" w:hAnsi="Arial" w:cs="Arial"/>
          <w:sz w:val="18"/>
          <w:szCs w:val="18"/>
        </w:rPr>
      </w:pPr>
      <w:r>
        <w:rPr>
          <w:rFonts w:ascii="Arial" w:eastAsia="Times New Roman" w:hAnsi="Arial" w:cs="Times New Roman"/>
          <w:sz w:val="18"/>
          <w:szCs w:val="18"/>
          <w:lang w:eastAsia="pt-BR"/>
        </w:rPr>
        <w:t xml:space="preserve">Ao longo do </w:t>
      </w:r>
      <w:r w:rsidR="00765271" w:rsidRPr="00765271">
        <w:rPr>
          <w:rFonts w:ascii="Arial" w:eastAsia="Times New Roman" w:hAnsi="Arial" w:cs="Times New Roman"/>
          <w:sz w:val="18"/>
          <w:szCs w:val="18"/>
          <w:lang w:eastAsia="pt-BR"/>
        </w:rPr>
        <w:t>ano foram realizadas ações comerciais, em especial a</w:t>
      </w:r>
      <w:r>
        <w:rPr>
          <w:rFonts w:ascii="Arial" w:eastAsia="Times New Roman" w:hAnsi="Arial" w:cs="Times New Roman"/>
          <w:sz w:val="18"/>
          <w:szCs w:val="18"/>
          <w:lang w:eastAsia="pt-BR"/>
        </w:rPr>
        <w:t>s</w:t>
      </w:r>
      <w:r w:rsidR="00765271" w:rsidRPr="00765271">
        <w:rPr>
          <w:rFonts w:ascii="Arial" w:eastAsia="Times New Roman" w:hAnsi="Arial" w:cs="Times New Roman"/>
          <w:sz w:val="18"/>
          <w:szCs w:val="18"/>
          <w:lang w:eastAsia="pt-BR"/>
        </w:rPr>
        <w:t xml:space="preserve"> campanha</w:t>
      </w:r>
      <w:r>
        <w:rPr>
          <w:rFonts w:ascii="Arial" w:eastAsia="Times New Roman" w:hAnsi="Arial" w:cs="Times New Roman"/>
          <w:sz w:val="18"/>
          <w:szCs w:val="18"/>
          <w:lang w:eastAsia="pt-BR"/>
        </w:rPr>
        <w:t>s</w:t>
      </w:r>
      <w:r w:rsidR="00765271" w:rsidRPr="00765271">
        <w:rPr>
          <w:rFonts w:ascii="Arial" w:eastAsia="Times New Roman" w:hAnsi="Arial" w:cs="Times New Roman"/>
          <w:sz w:val="18"/>
          <w:szCs w:val="18"/>
          <w:lang w:eastAsia="pt-BR"/>
        </w:rPr>
        <w:t xml:space="preserve"> </w:t>
      </w:r>
      <w:r w:rsidR="00F61839">
        <w:rPr>
          <w:rFonts w:ascii="Arial" w:eastAsia="Times New Roman" w:hAnsi="Arial" w:cs="Times New Roman"/>
          <w:sz w:val="18"/>
          <w:szCs w:val="18"/>
          <w:lang w:eastAsia="pt-BR"/>
        </w:rPr>
        <w:t>“</w:t>
      </w:r>
      <w:r w:rsidR="00765271" w:rsidRPr="00765271">
        <w:rPr>
          <w:rFonts w:ascii="Arial" w:eastAsia="Times New Roman" w:hAnsi="Arial" w:cs="Times New Roman"/>
          <w:sz w:val="18"/>
          <w:szCs w:val="18"/>
          <w:lang w:eastAsia="pt-BR"/>
        </w:rPr>
        <w:t>Perfil de Ganhador</w:t>
      </w:r>
      <w:r w:rsidR="00F61839">
        <w:rPr>
          <w:rFonts w:ascii="Arial" w:eastAsia="Times New Roman" w:hAnsi="Arial" w:cs="Times New Roman"/>
          <w:sz w:val="18"/>
          <w:szCs w:val="18"/>
          <w:lang w:eastAsia="pt-BR"/>
        </w:rPr>
        <w:t>”</w:t>
      </w:r>
      <w:r w:rsidR="00765271" w:rsidRPr="00765271">
        <w:rPr>
          <w:rFonts w:ascii="Arial" w:eastAsia="Times New Roman" w:hAnsi="Arial" w:cs="Times New Roman"/>
          <w:sz w:val="18"/>
          <w:szCs w:val="18"/>
          <w:lang w:eastAsia="pt-BR"/>
        </w:rPr>
        <w:t xml:space="preserve">, para comercialização e agendamento de contato para o </w:t>
      </w:r>
      <w:r w:rsidR="00F61839">
        <w:rPr>
          <w:rFonts w:ascii="Arial" w:eastAsia="Times New Roman" w:hAnsi="Arial" w:cs="Times New Roman"/>
          <w:sz w:val="18"/>
          <w:szCs w:val="18"/>
          <w:lang w:eastAsia="pt-BR"/>
        </w:rPr>
        <w:t xml:space="preserve">produto </w:t>
      </w:r>
      <w:r w:rsidR="00765271" w:rsidRPr="00765271">
        <w:rPr>
          <w:rFonts w:ascii="Arial" w:eastAsia="Times New Roman" w:hAnsi="Arial" w:cs="Times New Roman"/>
          <w:sz w:val="18"/>
          <w:szCs w:val="18"/>
          <w:lang w:eastAsia="pt-BR"/>
        </w:rPr>
        <w:t xml:space="preserve">BB Seguro Auto, </w:t>
      </w:r>
      <w:r w:rsidR="00F4214C">
        <w:rPr>
          <w:rFonts w:ascii="Arial" w:eastAsia="Times New Roman" w:hAnsi="Arial" w:cs="Times New Roman"/>
          <w:sz w:val="18"/>
          <w:szCs w:val="18"/>
          <w:lang w:eastAsia="pt-BR"/>
        </w:rPr>
        <w:t>“</w:t>
      </w:r>
      <w:r w:rsidR="00765271" w:rsidRPr="00765271">
        <w:rPr>
          <w:rFonts w:ascii="Arial" w:eastAsia="Times New Roman" w:hAnsi="Arial" w:cs="Times New Roman"/>
          <w:sz w:val="18"/>
          <w:szCs w:val="18"/>
          <w:lang w:eastAsia="pt-BR"/>
        </w:rPr>
        <w:t>Semana Brasil</w:t>
      </w:r>
      <w:r w:rsidR="00F4214C">
        <w:rPr>
          <w:rFonts w:ascii="Arial" w:eastAsia="Times New Roman" w:hAnsi="Arial" w:cs="Times New Roman"/>
          <w:sz w:val="18"/>
          <w:szCs w:val="18"/>
          <w:lang w:eastAsia="pt-BR"/>
        </w:rPr>
        <w:t>”</w:t>
      </w:r>
      <w:r w:rsidR="00765271" w:rsidRPr="00765271">
        <w:rPr>
          <w:rFonts w:ascii="Arial" w:eastAsia="Times New Roman" w:hAnsi="Arial" w:cs="Times New Roman"/>
          <w:sz w:val="18"/>
          <w:szCs w:val="18"/>
          <w:lang w:eastAsia="pt-BR"/>
        </w:rPr>
        <w:t xml:space="preserve">, </w:t>
      </w:r>
      <w:r w:rsidR="00F4214C">
        <w:rPr>
          <w:rFonts w:ascii="Arial" w:eastAsia="Times New Roman" w:hAnsi="Arial" w:cs="Times New Roman"/>
          <w:sz w:val="18"/>
          <w:szCs w:val="18"/>
          <w:lang w:eastAsia="pt-BR"/>
        </w:rPr>
        <w:t>“</w:t>
      </w:r>
      <w:r w:rsidR="00765271" w:rsidRPr="00765271">
        <w:rPr>
          <w:rFonts w:ascii="Arial" w:eastAsia="Times New Roman" w:hAnsi="Arial" w:cs="Times New Roman"/>
          <w:sz w:val="18"/>
          <w:szCs w:val="18"/>
          <w:lang w:eastAsia="pt-BR"/>
        </w:rPr>
        <w:t>Semana do Cliente</w:t>
      </w:r>
      <w:r w:rsidR="00F4214C">
        <w:rPr>
          <w:rFonts w:ascii="Arial" w:eastAsia="Times New Roman" w:hAnsi="Arial" w:cs="Times New Roman"/>
          <w:sz w:val="18"/>
          <w:szCs w:val="18"/>
          <w:lang w:eastAsia="pt-BR"/>
        </w:rPr>
        <w:t>”</w:t>
      </w:r>
      <w:r w:rsidR="00765271" w:rsidRPr="00765271">
        <w:rPr>
          <w:rFonts w:ascii="Arial" w:eastAsia="Times New Roman" w:hAnsi="Arial" w:cs="Times New Roman"/>
          <w:sz w:val="18"/>
          <w:szCs w:val="18"/>
          <w:lang w:eastAsia="pt-BR"/>
        </w:rPr>
        <w:t xml:space="preserve"> e</w:t>
      </w:r>
      <w:r w:rsidR="00F4214C">
        <w:rPr>
          <w:rFonts w:ascii="Arial" w:eastAsia="Times New Roman" w:hAnsi="Arial" w:cs="Times New Roman"/>
          <w:sz w:val="18"/>
          <w:szCs w:val="18"/>
          <w:lang w:eastAsia="pt-BR"/>
        </w:rPr>
        <w:t xml:space="preserve"> a já tradicional</w:t>
      </w:r>
      <w:r w:rsidR="00765271" w:rsidRPr="00765271">
        <w:rPr>
          <w:rFonts w:ascii="Arial" w:eastAsia="Times New Roman" w:hAnsi="Arial" w:cs="Times New Roman"/>
          <w:sz w:val="18"/>
          <w:szCs w:val="18"/>
          <w:lang w:eastAsia="pt-BR"/>
        </w:rPr>
        <w:t xml:space="preserve"> </w:t>
      </w:r>
      <w:r w:rsidR="00F4214C">
        <w:rPr>
          <w:rFonts w:ascii="Arial" w:eastAsia="Times New Roman" w:hAnsi="Arial" w:cs="Times New Roman"/>
          <w:sz w:val="18"/>
          <w:szCs w:val="18"/>
          <w:lang w:eastAsia="pt-BR"/>
        </w:rPr>
        <w:t>“</w:t>
      </w:r>
      <w:r w:rsidR="00765271" w:rsidRPr="00765271">
        <w:rPr>
          <w:rFonts w:ascii="Arial" w:eastAsia="Times New Roman" w:hAnsi="Arial" w:cs="Times New Roman"/>
          <w:sz w:val="18"/>
          <w:szCs w:val="18"/>
          <w:lang w:eastAsia="pt-BR"/>
        </w:rPr>
        <w:t>Black Friday</w:t>
      </w:r>
      <w:r w:rsidR="00F4214C">
        <w:rPr>
          <w:rFonts w:ascii="Arial" w:eastAsia="Times New Roman" w:hAnsi="Arial" w:cs="Times New Roman"/>
          <w:sz w:val="18"/>
          <w:szCs w:val="18"/>
          <w:lang w:eastAsia="pt-BR"/>
        </w:rPr>
        <w:t>”</w:t>
      </w:r>
      <w:r w:rsidR="00765271" w:rsidRPr="00765271">
        <w:rPr>
          <w:rFonts w:ascii="Arial" w:eastAsia="Times New Roman" w:hAnsi="Arial" w:cs="Times New Roman"/>
          <w:sz w:val="18"/>
          <w:szCs w:val="18"/>
          <w:lang w:eastAsia="pt-BR"/>
        </w:rPr>
        <w:t xml:space="preserve">, que contribuíram de forma positiva para o atingimento dos resultados e a fidelização de novos clientes. </w:t>
      </w:r>
      <w:r w:rsidR="00492F75" w:rsidRPr="00A35706">
        <w:rPr>
          <w:rFonts w:ascii="Arial" w:hAnsi="Arial" w:cs="Arial"/>
          <w:sz w:val="18"/>
          <w:szCs w:val="18"/>
        </w:rPr>
        <w:t>Além disso, f</w:t>
      </w:r>
      <w:r w:rsidR="00F61839" w:rsidRPr="00A35706">
        <w:rPr>
          <w:rFonts w:ascii="Arial" w:hAnsi="Arial" w:cs="Arial"/>
          <w:sz w:val="18"/>
          <w:szCs w:val="18"/>
        </w:rPr>
        <w:t>oram realizadas campanhas publicitária</w:t>
      </w:r>
      <w:r w:rsidR="00492F75" w:rsidRPr="00A35706">
        <w:rPr>
          <w:rFonts w:ascii="Arial" w:hAnsi="Arial" w:cs="Arial"/>
          <w:sz w:val="18"/>
          <w:szCs w:val="18"/>
        </w:rPr>
        <w:t xml:space="preserve">s para divulgação do </w:t>
      </w:r>
      <w:r w:rsidR="00F61839" w:rsidRPr="00A35706">
        <w:rPr>
          <w:rFonts w:ascii="Arial" w:hAnsi="Arial" w:cs="Arial"/>
          <w:sz w:val="18"/>
          <w:szCs w:val="18"/>
        </w:rPr>
        <w:t>novo seguro de vida na TV e m</w:t>
      </w:r>
      <w:r w:rsidR="00492F75" w:rsidRPr="00A35706">
        <w:rPr>
          <w:rFonts w:ascii="Arial" w:hAnsi="Arial" w:cs="Arial"/>
          <w:sz w:val="18"/>
          <w:szCs w:val="18"/>
        </w:rPr>
        <w:t>ídias digitai</w:t>
      </w:r>
      <w:r w:rsidR="00F61839" w:rsidRPr="00A35706">
        <w:rPr>
          <w:rFonts w:ascii="Arial" w:hAnsi="Arial" w:cs="Arial"/>
          <w:sz w:val="18"/>
          <w:szCs w:val="18"/>
        </w:rPr>
        <w:t>s</w:t>
      </w:r>
      <w:r w:rsidR="00492F75" w:rsidRPr="00A35706">
        <w:rPr>
          <w:rFonts w:ascii="Arial" w:hAnsi="Arial" w:cs="Arial"/>
          <w:sz w:val="18"/>
          <w:szCs w:val="18"/>
        </w:rPr>
        <w:t xml:space="preserve">, além de propagandas na TV de produtos como </w:t>
      </w:r>
      <w:proofErr w:type="spellStart"/>
      <w:r w:rsidR="00492F75" w:rsidRPr="00A35706">
        <w:rPr>
          <w:rFonts w:ascii="Arial" w:hAnsi="Arial" w:cs="Arial"/>
          <w:sz w:val="18"/>
          <w:szCs w:val="18"/>
        </w:rPr>
        <w:t>Brasilprev</w:t>
      </w:r>
      <w:proofErr w:type="spellEnd"/>
      <w:r w:rsidR="00492F75" w:rsidRPr="00A35706">
        <w:rPr>
          <w:rFonts w:ascii="Arial" w:hAnsi="Arial" w:cs="Arial"/>
          <w:sz w:val="18"/>
          <w:szCs w:val="18"/>
        </w:rPr>
        <w:t xml:space="preserve"> Fácil, </w:t>
      </w:r>
      <w:proofErr w:type="spellStart"/>
      <w:r w:rsidR="00492F75" w:rsidRPr="00A35706">
        <w:rPr>
          <w:rFonts w:ascii="Arial" w:hAnsi="Arial" w:cs="Arial"/>
          <w:sz w:val="18"/>
          <w:szCs w:val="18"/>
        </w:rPr>
        <w:t>Brasilprev</w:t>
      </w:r>
      <w:proofErr w:type="spellEnd"/>
      <w:r w:rsidR="00492F75" w:rsidRPr="00A35706">
        <w:rPr>
          <w:rFonts w:ascii="Arial" w:hAnsi="Arial" w:cs="Arial"/>
          <w:sz w:val="18"/>
          <w:szCs w:val="18"/>
        </w:rPr>
        <w:t xml:space="preserve"> Júnior e </w:t>
      </w:r>
      <w:proofErr w:type="spellStart"/>
      <w:r w:rsidR="00492F75" w:rsidRPr="00A35706">
        <w:rPr>
          <w:rFonts w:ascii="Arial" w:hAnsi="Arial" w:cs="Arial"/>
          <w:sz w:val="18"/>
          <w:szCs w:val="18"/>
        </w:rPr>
        <w:t>Ourocap</w:t>
      </w:r>
      <w:proofErr w:type="spellEnd"/>
      <w:r w:rsidR="00492F75" w:rsidRPr="00A35706">
        <w:rPr>
          <w:rFonts w:ascii="Arial" w:hAnsi="Arial" w:cs="Arial"/>
          <w:sz w:val="18"/>
          <w:szCs w:val="18"/>
        </w:rPr>
        <w:t xml:space="preserve"> 25 anos</w:t>
      </w:r>
      <w:r w:rsidR="00F61839" w:rsidRPr="00A35706">
        <w:rPr>
          <w:rFonts w:ascii="Arial" w:hAnsi="Arial" w:cs="Arial"/>
          <w:sz w:val="18"/>
          <w:szCs w:val="18"/>
        </w:rPr>
        <w:t xml:space="preserve">. </w:t>
      </w:r>
    </w:p>
    <w:p w14:paraId="672DE5B9" w14:textId="5F472F09" w:rsidR="00765271" w:rsidRPr="00765271" w:rsidRDefault="00381C30" w:rsidP="00765271">
      <w:pPr>
        <w:jc w:val="both"/>
        <w:rPr>
          <w:rFonts w:ascii="Arial" w:eastAsia="Times New Roman" w:hAnsi="Arial" w:cs="Times New Roman"/>
          <w:sz w:val="18"/>
          <w:szCs w:val="18"/>
          <w:lang w:eastAsia="pt-BR"/>
        </w:rPr>
      </w:pPr>
      <w:r>
        <w:rPr>
          <w:rFonts w:ascii="Arial" w:eastAsia="Times New Roman" w:hAnsi="Arial" w:cs="Times New Roman"/>
          <w:sz w:val="18"/>
          <w:szCs w:val="18"/>
          <w:lang w:eastAsia="pt-BR"/>
        </w:rPr>
        <w:t xml:space="preserve">Reforçando o posicionamento da BB Seguros, foram realizadas no início do ano ações em feiras agropecuárias – Coopavel e </w:t>
      </w:r>
      <w:proofErr w:type="spellStart"/>
      <w:r>
        <w:rPr>
          <w:rFonts w:ascii="Arial" w:eastAsia="Times New Roman" w:hAnsi="Arial" w:cs="Times New Roman"/>
          <w:sz w:val="18"/>
          <w:szCs w:val="18"/>
          <w:lang w:eastAsia="pt-BR"/>
        </w:rPr>
        <w:t>Cotrijal</w:t>
      </w:r>
      <w:proofErr w:type="spellEnd"/>
      <w:r w:rsidR="00F4214C">
        <w:rPr>
          <w:rFonts w:ascii="Arial" w:eastAsia="Times New Roman" w:hAnsi="Arial" w:cs="Times New Roman"/>
          <w:sz w:val="18"/>
          <w:szCs w:val="18"/>
          <w:lang w:eastAsia="pt-BR"/>
        </w:rPr>
        <w:t xml:space="preserve"> </w:t>
      </w:r>
      <w:r>
        <w:rPr>
          <w:rFonts w:ascii="Arial" w:eastAsia="Times New Roman" w:hAnsi="Arial" w:cs="Times New Roman"/>
          <w:sz w:val="18"/>
          <w:szCs w:val="18"/>
          <w:lang w:eastAsia="pt-BR"/>
        </w:rPr>
        <w:t>e, mesmo após a decretação da pandemia de Covid-19</w:t>
      </w:r>
      <w:r w:rsidR="00BA3D4E">
        <w:rPr>
          <w:rFonts w:ascii="Arial" w:eastAsia="Times New Roman" w:hAnsi="Arial" w:cs="Times New Roman"/>
          <w:sz w:val="18"/>
          <w:szCs w:val="18"/>
          <w:lang w:eastAsia="pt-BR"/>
        </w:rPr>
        <w:t xml:space="preserve">, </w:t>
      </w:r>
      <w:r>
        <w:rPr>
          <w:rFonts w:ascii="Arial" w:eastAsia="Times New Roman" w:hAnsi="Arial" w:cs="Times New Roman"/>
          <w:sz w:val="18"/>
          <w:szCs w:val="18"/>
          <w:lang w:eastAsia="pt-BR"/>
        </w:rPr>
        <w:t xml:space="preserve">a Companhia continuou </w:t>
      </w:r>
      <w:r w:rsidR="00BA3D4E">
        <w:rPr>
          <w:rFonts w:ascii="Arial" w:eastAsia="Times New Roman" w:hAnsi="Arial" w:cs="Times New Roman"/>
          <w:sz w:val="18"/>
          <w:szCs w:val="18"/>
          <w:lang w:eastAsia="pt-BR"/>
        </w:rPr>
        <w:t>participa</w:t>
      </w:r>
      <w:r>
        <w:rPr>
          <w:rFonts w:ascii="Arial" w:eastAsia="Times New Roman" w:hAnsi="Arial" w:cs="Times New Roman"/>
          <w:sz w:val="18"/>
          <w:szCs w:val="18"/>
          <w:lang w:eastAsia="pt-BR"/>
        </w:rPr>
        <w:t>ndo</w:t>
      </w:r>
      <w:r w:rsidR="00BA3D4E">
        <w:rPr>
          <w:rFonts w:ascii="Arial" w:eastAsia="Times New Roman" w:hAnsi="Arial" w:cs="Times New Roman"/>
          <w:sz w:val="18"/>
          <w:szCs w:val="18"/>
          <w:lang w:eastAsia="pt-BR"/>
        </w:rPr>
        <w:t xml:space="preserve"> de</w:t>
      </w:r>
      <w:r w:rsidR="00B85392">
        <w:rPr>
          <w:rFonts w:ascii="Arial" w:eastAsia="Times New Roman" w:hAnsi="Arial" w:cs="Times New Roman"/>
          <w:sz w:val="18"/>
          <w:szCs w:val="18"/>
          <w:lang w:eastAsia="pt-BR"/>
        </w:rPr>
        <w:t xml:space="preserve"> </w:t>
      </w:r>
      <w:r w:rsidR="00F4214C">
        <w:rPr>
          <w:rFonts w:ascii="Arial" w:eastAsia="Times New Roman" w:hAnsi="Arial" w:cs="Times New Roman"/>
          <w:sz w:val="18"/>
          <w:szCs w:val="18"/>
          <w:lang w:eastAsia="pt-BR"/>
        </w:rPr>
        <w:t>eventos</w:t>
      </w:r>
      <w:r w:rsidR="00B85392">
        <w:rPr>
          <w:rFonts w:ascii="Arial" w:eastAsia="Times New Roman" w:hAnsi="Arial" w:cs="Times New Roman"/>
          <w:sz w:val="18"/>
          <w:szCs w:val="18"/>
          <w:lang w:eastAsia="pt-BR"/>
        </w:rPr>
        <w:t xml:space="preserve"> de forma virtual</w:t>
      </w:r>
      <w:r>
        <w:rPr>
          <w:rFonts w:ascii="Arial" w:eastAsia="Times New Roman" w:hAnsi="Arial" w:cs="Times New Roman"/>
          <w:sz w:val="18"/>
          <w:szCs w:val="18"/>
          <w:lang w:eastAsia="pt-BR"/>
        </w:rPr>
        <w:t>. A</w:t>
      </w:r>
      <w:r w:rsidR="00B85392">
        <w:rPr>
          <w:rFonts w:ascii="Arial" w:eastAsia="Times New Roman" w:hAnsi="Arial" w:cs="Times New Roman"/>
          <w:sz w:val="18"/>
          <w:szCs w:val="18"/>
          <w:lang w:eastAsia="pt-BR"/>
        </w:rPr>
        <w:t>inda</w:t>
      </w:r>
      <w:r>
        <w:rPr>
          <w:rFonts w:ascii="Arial" w:eastAsia="Times New Roman" w:hAnsi="Arial" w:cs="Times New Roman"/>
          <w:sz w:val="18"/>
          <w:szCs w:val="18"/>
          <w:lang w:eastAsia="pt-BR"/>
        </w:rPr>
        <w:t xml:space="preserve"> em 2020, </w:t>
      </w:r>
      <w:r w:rsidR="00F4214C">
        <w:rPr>
          <w:rFonts w:ascii="Arial" w:eastAsia="Times New Roman" w:hAnsi="Arial" w:cs="Times New Roman"/>
          <w:sz w:val="18"/>
          <w:szCs w:val="18"/>
          <w:lang w:eastAsia="pt-BR"/>
        </w:rPr>
        <w:t>foi realizada</w:t>
      </w:r>
      <w:r w:rsidR="00B85392">
        <w:rPr>
          <w:rFonts w:ascii="Arial" w:eastAsia="Times New Roman" w:hAnsi="Arial" w:cs="Times New Roman"/>
          <w:sz w:val="18"/>
          <w:szCs w:val="18"/>
          <w:lang w:eastAsia="pt-BR"/>
        </w:rPr>
        <w:t xml:space="preserve"> a </w:t>
      </w:r>
      <w:r w:rsidR="00765271" w:rsidRPr="00765271">
        <w:rPr>
          <w:rFonts w:ascii="Arial" w:eastAsia="Times New Roman" w:hAnsi="Arial" w:cs="Times New Roman"/>
          <w:sz w:val="18"/>
          <w:szCs w:val="18"/>
          <w:lang w:eastAsia="pt-BR"/>
        </w:rPr>
        <w:t>6ª edição do Festival BB Segur</w:t>
      </w:r>
      <w:r w:rsidR="00B85392">
        <w:rPr>
          <w:rFonts w:ascii="Arial" w:eastAsia="Times New Roman" w:hAnsi="Arial" w:cs="Times New Roman"/>
          <w:sz w:val="18"/>
          <w:szCs w:val="18"/>
          <w:lang w:eastAsia="pt-BR"/>
        </w:rPr>
        <w:t>os de Blues e Jazz, de forma onl</w:t>
      </w:r>
      <w:r w:rsidR="00765271" w:rsidRPr="00765271">
        <w:rPr>
          <w:rFonts w:ascii="Arial" w:eastAsia="Times New Roman" w:hAnsi="Arial" w:cs="Times New Roman"/>
          <w:sz w:val="18"/>
          <w:szCs w:val="18"/>
          <w:lang w:eastAsia="pt-BR"/>
        </w:rPr>
        <w:t xml:space="preserve">ine, por meio de </w:t>
      </w:r>
      <w:proofErr w:type="spellStart"/>
      <w:r w:rsidR="00B85392" w:rsidRPr="00B85392">
        <w:rPr>
          <w:rFonts w:ascii="Arial" w:eastAsia="Times New Roman" w:hAnsi="Arial" w:cs="Times New Roman"/>
          <w:i/>
          <w:sz w:val="18"/>
          <w:szCs w:val="18"/>
          <w:lang w:eastAsia="pt-BR"/>
        </w:rPr>
        <w:t>l</w:t>
      </w:r>
      <w:r w:rsidR="00765271" w:rsidRPr="00765271">
        <w:rPr>
          <w:rFonts w:ascii="Arial" w:eastAsia="Times New Roman" w:hAnsi="Arial" w:cs="Times New Roman"/>
          <w:i/>
          <w:sz w:val="18"/>
          <w:szCs w:val="18"/>
          <w:lang w:eastAsia="pt-BR"/>
        </w:rPr>
        <w:t>ives</w:t>
      </w:r>
      <w:proofErr w:type="spellEnd"/>
      <w:r w:rsidR="00765271" w:rsidRPr="00765271">
        <w:rPr>
          <w:rFonts w:ascii="Arial" w:eastAsia="Times New Roman" w:hAnsi="Arial" w:cs="Times New Roman"/>
          <w:sz w:val="18"/>
          <w:szCs w:val="18"/>
          <w:lang w:eastAsia="pt-BR"/>
        </w:rPr>
        <w:t xml:space="preserve"> e com exibição em </w:t>
      </w:r>
      <w:r>
        <w:rPr>
          <w:rFonts w:ascii="Arial" w:eastAsia="Times New Roman" w:hAnsi="Arial" w:cs="Times New Roman"/>
          <w:sz w:val="18"/>
          <w:szCs w:val="18"/>
          <w:lang w:eastAsia="pt-BR"/>
        </w:rPr>
        <w:t>d</w:t>
      </w:r>
      <w:r w:rsidR="00765271" w:rsidRPr="00765271">
        <w:rPr>
          <w:rFonts w:ascii="Arial" w:eastAsia="Times New Roman" w:hAnsi="Arial" w:cs="Times New Roman"/>
          <w:sz w:val="18"/>
          <w:szCs w:val="18"/>
          <w:lang w:eastAsia="pt-BR"/>
        </w:rPr>
        <w:t>rive-in.</w:t>
      </w:r>
    </w:p>
    <w:p w14:paraId="134B9CB5" w14:textId="77777777" w:rsidR="005507F9" w:rsidRPr="005507F9" w:rsidRDefault="005507F9" w:rsidP="002E067B">
      <w:pPr>
        <w:pStyle w:val="01-TtulodeNota"/>
        <w:ind w:left="357"/>
        <w:rPr>
          <w:color w:val="1F4E79" w:themeColor="accent1" w:themeShade="80"/>
        </w:rPr>
      </w:pPr>
    </w:p>
    <w:p w14:paraId="56C78898"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CAPITAL HUMANO</w:t>
      </w:r>
    </w:p>
    <w:p w14:paraId="1638E171" w14:textId="059DC6A2" w:rsidR="005B2A55" w:rsidRPr="0015738C" w:rsidRDefault="005B2A55" w:rsidP="005B2A55">
      <w:pPr>
        <w:spacing w:before="120" w:after="120"/>
        <w:jc w:val="both"/>
        <w:rPr>
          <w:rFonts w:ascii="Arial" w:hAnsi="Arial" w:cs="Arial"/>
          <w:color w:val="000000"/>
          <w:sz w:val="18"/>
          <w:szCs w:val="18"/>
        </w:rPr>
      </w:pPr>
      <w:r w:rsidRPr="00AD1C7F">
        <w:rPr>
          <w:rFonts w:ascii="Arial" w:hAnsi="Arial" w:cs="Arial"/>
          <w:color w:val="000000"/>
          <w:sz w:val="18"/>
          <w:szCs w:val="18"/>
        </w:rPr>
        <w:t xml:space="preserve">O quadro de pessoal da BB Seguridade é composto, em sua maioria, por funcionários cedidos pelo </w:t>
      </w:r>
      <w:r>
        <w:rPr>
          <w:rFonts w:ascii="Arial" w:hAnsi="Arial" w:cs="Arial"/>
          <w:color w:val="000000"/>
          <w:sz w:val="18"/>
          <w:szCs w:val="18"/>
        </w:rPr>
        <w:t>BB.</w:t>
      </w:r>
      <w:r w:rsidRPr="00AD1C7F">
        <w:rPr>
          <w:rFonts w:ascii="Arial" w:hAnsi="Arial" w:cs="Arial"/>
          <w:color w:val="000000"/>
          <w:sz w:val="18"/>
          <w:szCs w:val="18"/>
        </w:rPr>
        <w:t xml:space="preserve"> Em </w:t>
      </w:r>
      <w:r w:rsidRPr="00043A52">
        <w:rPr>
          <w:rFonts w:ascii="Arial" w:hAnsi="Arial" w:cs="Arial"/>
          <w:color w:val="000000"/>
          <w:sz w:val="18"/>
          <w:szCs w:val="18"/>
        </w:rPr>
        <w:t>31.12.20</w:t>
      </w:r>
      <w:r>
        <w:rPr>
          <w:rFonts w:ascii="Arial" w:hAnsi="Arial" w:cs="Arial"/>
          <w:color w:val="000000"/>
          <w:sz w:val="18"/>
          <w:szCs w:val="18"/>
        </w:rPr>
        <w:t>20</w:t>
      </w:r>
      <w:r w:rsidRPr="00AD1C7F">
        <w:rPr>
          <w:rFonts w:ascii="Arial" w:hAnsi="Arial" w:cs="Arial"/>
          <w:color w:val="000000"/>
          <w:sz w:val="18"/>
          <w:szCs w:val="18"/>
        </w:rPr>
        <w:t xml:space="preserve">, a Companhia contava com </w:t>
      </w:r>
      <w:r w:rsidR="008E1721">
        <w:rPr>
          <w:rFonts w:ascii="Arial" w:hAnsi="Arial" w:cs="Arial"/>
          <w:color w:val="000000"/>
          <w:sz w:val="18"/>
          <w:szCs w:val="18"/>
        </w:rPr>
        <w:t>150</w:t>
      </w:r>
      <w:r w:rsidR="008E1721" w:rsidRPr="00AD1C7F">
        <w:rPr>
          <w:rFonts w:ascii="Arial" w:hAnsi="Arial" w:cs="Arial"/>
          <w:color w:val="000000"/>
          <w:sz w:val="18"/>
          <w:szCs w:val="18"/>
        </w:rPr>
        <w:t xml:space="preserve"> </w:t>
      </w:r>
      <w:r w:rsidRPr="00AD1C7F">
        <w:rPr>
          <w:rFonts w:ascii="Arial" w:hAnsi="Arial" w:cs="Arial"/>
          <w:color w:val="000000"/>
          <w:sz w:val="18"/>
          <w:szCs w:val="18"/>
        </w:rPr>
        <w:t>funcionários</w:t>
      </w:r>
      <w:r w:rsidR="008E1721">
        <w:rPr>
          <w:rFonts w:ascii="Arial" w:hAnsi="Arial" w:cs="Arial"/>
          <w:color w:val="000000"/>
          <w:sz w:val="18"/>
          <w:szCs w:val="18"/>
        </w:rPr>
        <w:t xml:space="preserve"> celetistas e 4 diretores estatutários</w:t>
      </w:r>
      <w:r w:rsidRPr="00AD1C7F">
        <w:rPr>
          <w:rFonts w:ascii="Arial" w:hAnsi="Arial" w:cs="Arial"/>
          <w:color w:val="000000"/>
          <w:sz w:val="18"/>
          <w:szCs w:val="18"/>
        </w:rPr>
        <w:t xml:space="preserve">, localizados em Brasília e </w:t>
      </w:r>
      <w:r w:rsidRPr="0015738C">
        <w:rPr>
          <w:rFonts w:ascii="Arial" w:hAnsi="Arial" w:cs="Arial"/>
          <w:color w:val="000000"/>
          <w:sz w:val="18"/>
          <w:szCs w:val="18"/>
        </w:rPr>
        <w:t>São Paulo</w:t>
      </w:r>
      <w:r w:rsidRPr="00FA60D5">
        <w:rPr>
          <w:rFonts w:ascii="Arial" w:hAnsi="Arial" w:cs="Arial"/>
          <w:color w:val="000000"/>
          <w:sz w:val="18"/>
          <w:szCs w:val="18"/>
        </w:rPr>
        <w:t xml:space="preserve">, </w:t>
      </w:r>
      <w:r w:rsidR="008E1721">
        <w:rPr>
          <w:rFonts w:ascii="Arial" w:hAnsi="Arial" w:cs="Arial"/>
          <w:color w:val="000000"/>
          <w:sz w:val="18"/>
          <w:szCs w:val="18"/>
        </w:rPr>
        <w:t>9</w:t>
      </w:r>
      <w:r w:rsidR="008E1721" w:rsidRPr="00FA60D5">
        <w:rPr>
          <w:rFonts w:ascii="Arial" w:hAnsi="Arial" w:cs="Arial"/>
          <w:color w:val="000000"/>
          <w:sz w:val="18"/>
          <w:szCs w:val="18"/>
        </w:rPr>
        <w:t xml:space="preserve"> </w:t>
      </w:r>
      <w:r w:rsidRPr="00FA60D5">
        <w:rPr>
          <w:rFonts w:ascii="Arial" w:hAnsi="Arial" w:cs="Arial"/>
          <w:color w:val="000000"/>
          <w:sz w:val="18"/>
          <w:szCs w:val="18"/>
        </w:rPr>
        <w:t xml:space="preserve">estagiários e </w:t>
      </w:r>
      <w:r w:rsidR="008E1721">
        <w:rPr>
          <w:rFonts w:ascii="Arial" w:hAnsi="Arial" w:cs="Arial"/>
          <w:color w:val="000000"/>
          <w:sz w:val="18"/>
          <w:szCs w:val="18"/>
        </w:rPr>
        <w:t>20</w:t>
      </w:r>
      <w:r w:rsidR="008E1721" w:rsidRPr="00FA60D5">
        <w:rPr>
          <w:rFonts w:ascii="Arial" w:hAnsi="Arial" w:cs="Arial"/>
          <w:color w:val="000000"/>
          <w:sz w:val="18"/>
          <w:szCs w:val="18"/>
        </w:rPr>
        <w:t xml:space="preserve"> </w:t>
      </w:r>
      <w:r w:rsidRPr="00FA60D5">
        <w:rPr>
          <w:rFonts w:ascii="Arial" w:hAnsi="Arial" w:cs="Arial"/>
          <w:color w:val="000000"/>
          <w:sz w:val="18"/>
          <w:szCs w:val="18"/>
        </w:rPr>
        <w:t>contratados.</w:t>
      </w:r>
      <w:r w:rsidRPr="0015738C">
        <w:rPr>
          <w:rFonts w:ascii="Arial" w:hAnsi="Arial" w:cs="Arial"/>
          <w:color w:val="000000"/>
          <w:sz w:val="18"/>
          <w:szCs w:val="18"/>
        </w:rPr>
        <w:t xml:space="preserve"> </w:t>
      </w:r>
    </w:p>
    <w:p w14:paraId="1F2D6274" w14:textId="6F911356" w:rsidR="005B2A55" w:rsidRDefault="005B2A55" w:rsidP="005B2A55">
      <w:pPr>
        <w:spacing w:before="120" w:after="120"/>
        <w:jc w:val="both"/>
        <w:rPr>
          <w:rFonts w:ascii="Arial" w:hAnsi="Arial" w:cs="Arial"/>
          <w:color w:val="000000"/>
          <w:sz w:val="18"/>
          <w:szCs w:val="18"/>
        </w:rPr>
      </w:pPr>
      <w:r w:rsidRPr="0015738C">
        <w:rPr>
          <w:rFonts w:ascii="Arial" w:hAnsi="Arial" w:cs="Arial"/>
          <w:color w:val="000000"/>
          <w:sz w:val="18"/>
          <w:szCs w:val="18"/>
        </w:rPr>
        <w:t xml:space="preserve">A BB Seguridade acredita que seu capital humano é o principal ativo da empresa. Tendo isso em mente, </w:t>
      </w:r>
      <w:r>
        <w:rPr>
          <w:rFonts w:ascii="Arial" w:hAnsi="Arial" w:cs="Arial"/>
          <w:color w:val="000000"/>
          <w:sz w:val="18"/>
          <w:szCs w:val="18"/>
        </w:rPr>
        <w:t xml:space="preserve">a área de Capital Humano </w:t>
      </w:r>
      <w:r w:rsidR="000E615C">
        <w:rPr>
          <w:rFonts w:ascii="Arial" w:hAnsi="Arial" w:cs="Arial"/>
          <w:color w:val="000000"/>
          <w:sz w:val="18"/>
          <w:szCs w:val="18"/>
        </w:rPr>
        <w:t>tem</w:t>
      </w:r>
      <w:r w:rsidRPr="0015738C">
        <w:rPr>
          <w:rFonts w:ascii="Arial" w:hAnsi="Arial" w:cs="Arial"/>
          <w:color w:val="000000"/>
          <w:sz w:val="18"/>
          <w:szCs w:val="18"/>
        </w:rPr>
        <w:t xml:space="preserve"> o propósito de conferir um papel </w:t>
      </w:r>
      <w:r>
        <w:rPr>
          <w:rFonts w:ascii="Arial" w:hAnsi="Arial" w:cs="Arial"/>
          <w:color w:val="000000"/>
          <w:sz w:val="18"/>
          <w:szCs w:val="18"/>
        </w:rPr>
        <w:t xml:space="preserve">mais </w:t>
      </w:r>
      <w:r w:rsidRPr="0015738C">
        <w:rPr>
          <w:rFonts w:ascii="Arial" w:hAnsi="Arial" w:cs="Arial"/>
          <w:color w:val="000000"/>
          <w:sz w:val="18"/>
          <w:szCs w:val="18"/>
        </w:rPr>
        <w:t>estratégico</w:t>
      </w:r>
      <w:r>
        <w:rPr>
          <w:rFonts w:ascii="Arial" w:hAnsi="Arial" w:cs="Arial"/>
          <w:color w:val="000000"/>
          <w:sz w:val="18"/>
          <w:szCs w:val="18"/>
        </w:rPr>
        <w:t xml:space="preserve"> e menos transacional</w:t>
      </w:r>
      <w:r w:rsidRPr="0015738C">
        <w:rPr>
          <w:rFonts w:ascii="Arial" w:hAnsi="Arial" w:cs="Arial"/>
          <w:color w:val="000000"/>
          <w:sz w:val="18"/>
          <w:szCs w:val="18"/>
        </w:rPr>
        <w:t xml:space="preserve"> </w:t>
      </w:r>
      <w:r>
        <w:rPr>
          <w:rFonts w:ascii="Arial" w:hAnsi="Arial" w:cs="Arial"/>
          <w:color w:val="000000"/>
          <w:sz w:val="18"/>
          <w:szCs w:val="18"/>
        </w:rPr>
        <w:t>à</w:t>
      </w:r>
      <w:r w:rsidRPr="0015738C">
        <w:rPr>
          <w:rFonts w:ascii="Arial" w:hAnsi="Arial" w:cs="Arial"/>
          <w:color w:val="000000"/>
          <w:sz w:val="18"/>
          <w:szCs w:val="18"/>
        </w:rPr>
        <w:t xml:space="preserve"> área de gestão de pessoas</w:t>
      </w:r>
      <w:r>
        <w:rPr>
          <w:rFonts w:ascii="Arial" w:hAnsi="Arial" w:cs="Arial"/>
          <w:color w:val="000000"/>
          <w:sz w:val="18"/>
          <w:szCs w:val="18"/>
        </w:rPr>
        <w:t xml:space="preserve">, </w:t>
      </w:r>
      <w:r w:rsidRPr="0015738C">
        <w:rPr>
          <w:rFonts w:ascii="Arial" w:hAnsi="Arial" w:cs="Arial"/>
          <w:color w:val="000000"/>
          <w:sz w:val="18"/>
          <w:szCs w:val="18"/>
        </w:rPr>
        <w:t>reformulando seus processos.</w:t>
      </w:r>
      <w:r w:rsidR="000E615C">
        <w:rPr>
          <w:rFonts w:ascii="Arial" w:hAnsi="Arial" w:cs="Arial"/>
          <w:color w:val="000000"/>
          <w:sz w:val="18"/>
          <w:szCs w:val="18"/>
        </w:rPr>
        <w:t xml:space="preserve"> Com esse propósito em mente,</w:t>
      </w:r>
      <w:r w:rsidRPr="0015738C">
        <w:rPr>
          <w:rFonts w:ascii="Arial" w:hAnsi="Arial" w:cs="Arial"/>
          <w:color w:val="000000"/>
          <w:sz w:val="18"/>
          <w:szCs w:val="18"/>
        </w:rPr>
        <w:t xml:space="preserve"> foram </w:t>
      </w:r>
      <w:r>
        <w:rPr>
          <w:rFonts w:ascii="Arial" w:hAnsi="Arial" w:cs="Arial"/>
          <w:color w:val="000000"/>
          <w:sz w:val="18"/>
          <w:szCs w:val="18"/>
        </w:rPr>
        <w:t>revisitados</w:t>
      </w:r>
      <w:r w:rsidRPr="0015738C">
        <w:rPr>
          <w:rFonts w:ascii="Arial" w:hAnsi="Arial" w:cs="Arial"/>
          <w:color w:val="000000"/>
          <w:sz w:val="18"/>
          <w:szCs w:val="18"/>
        </w:rPr>
        <w:t xml:space="preserve"> e estruturados, entre outros,</w:t>
      </w:r>
      <w:r>
        <w:rPr>
          <w:rFonts w:ascii="Arial" w:hAnsi="Arial" w:cs="Arial"/>
          <w:color w:val="000000"/>
          <w:sz w:val="18"/>
          <w:szCs w:val="18"/>
        </w:rPr>
        <w:t xml:space="preserve"> os</w:t>
      </w:r>
      <w:r w:rsidRPr="0015738C">
        <w:rPr>
          <w:rFonts w:ascii="Arial" w:hAnsi="Arial" w:cs="Arial"/>
          <w:color w:val="000000"/>
          <w:sz w:val="18"/>
          <w:szCs w:val="18"/>
        </w:rPr>
        <w:t xml:space="preserve"> processos de r</w:t>
      </w:r>
      <w:r>
        <w:rPr>
          <w:rFonts w:ascii="Arial" w:hAnsi="Arial" w:cs="Arial"/>
          <w:color w:val="000000"/>
          <w:sz w:val="18"/>
          <w:szCs w:val="18"/>
        </w:rPr>
        <w:t>ecrutamento e seleção, gestão</w:t>
      </w:r>
      <w:r w:rsidRPr="0015738C">
        <w:rPr>
          <w:rFonts w:ascii="Arial" w:hAnsi="Arial" w:cs="Arial"/>
          <w:color w:val="000000"/>
          <w:sz w:val="18"/>
          <w:szCs w:val="18"/>
        </w:rPr>
        <w:t xml:space="preserve"> de desempenho, treinamento e desenvolvimento,</w:t>
      </w:r>
      <w:r>
        <w:rPr>
          <w:rFonts w:ascii="Arial" w:hAnsi="Arial" w:cs="Arial"/>
          <w:color w:val="000000"/>
          <w:sz w:val="18"/>
          <w:szCs w:val="18"/>
        </w:rPr>
        <w:t xml:space="preserve"> retenção,</w:t>
      </w:r>
      <w:r w:rsidRPr="0015738C">
        <w:rPr>
          <w:rFonts w:ascii="Arial" w:hAnsi="Arial" w:cs="Arial"/>
          <w:color w:val="000000"/>
          <w:sz w:val="18"/>
          <w:szCs w:val="18"/>
        </w:rPr>
        <w:t xml:space="preserve"> sucessão</w:t>
      </w:r>
      <w:r>
        <w:rPr>
          <w:rFonts w:ascii="Arial" w:hAnsi="Arial" w:cs="Arial"/>
          <w:color w:val="000000"/>
          <w:sz w:val="18"/>
          <w:szCs w:val="18"/>
        </w:rPr>
        <w:t xml:space="preserve"> e gestão de clima,</w:t>
      </w:r>
      <w:r w:rsidRPr="0015738C">
        <w:rPr>
          <w:rFonts w:ascii="Arial" w:hAnsi="Arial" w:cs="Arial"/>
          <w:color w:val="000000"/>
          <w:sz w:val="18"/>
          <w:szCs w:val="18"/>
        </w:rPr>
        <w:t xml:space="preserve"> com o objetivo principal de atrair, reter e desenvolver os talentos da BB Seguridade, disseminar e fortalecer a cultura organizacional e atuar como parceiro estratégico do negócio, buscando uma performance sustentável em todas as áreas da Companhia.</w:t>
      </w:r>
    </w:p>
    <w:p w14:paraId="0E4DF067" w14:textId="2BB7D0B3" w:rsidR="00BB0833" w:rsidRDefault="00125B56" w:rsidP="005B2A55">
      <w:pPr>
        <w:spacing w:before="120" w:after="120"/>
        <w:jc w:val="both"/>
        <w:rPr>
          <w:rFonts w:ascii="Arial" w:hAnsi="Arial" w:cs="Arial"/>
          <w:color w:val="000000"/>
          <w:sz w:val="18"/>
          <w:szCs w:val="18"/>
        </w:rPr>
      </w:pPr>
      <w:r>
        <w:rPr>
          <w:rFonts w:ascii="Arial" w:hAnsi="Arial" w:cs="Arial"/>
          <w:color w:val="000000"/>
          <w:sz w:val="18"/>
          <w:szCs w:val="18"/>
        </w:rPr>
        <w:t xml:space="preserve">Diante do cenário causado pela pandemia de Covid-19, </w:t>
      </w:r>
      <w:r w:rsidR="000F1DE7">
        <w:rPr>
          <w:rFonts w:ascii="Arial" w:hAnsi="Arial" w:cs="Arial"/>
          <w:color w:val="000000"/>
          <w:sz w:val="18"/>
          <w:szCs w:val="18"/>
        </w:rPr>
        <w:t>a Companhia adotou em 2020 medidas com o objetivo de manter a segurança das suas equipes, como o trabalho remoto e teletrabalho para todos os colaboradores</w:t>
      </w:r>
      <w:r>
        <w:rPr>
          <w:rFonts w:ascii="Arial" w:hAnsi="Arial" w:cs="Arial"/>
          <w:color w:val="000000"/>
          <w:sz w:val="18"/>
          <w:szCs w:val="18"/>
        </w:rPr>
        <w:t xml:space="preserve">, bem como a suspensão de treinamentos e eventos corporativos presenciais. Além disso, preparando-se para o pós-crise, a BB Seguridade elaborou um Plano de Retorno ao Escritório (PRE) para garantir um ambiente seguro aos funcionários quando do retorno às atividades presenciais. </w:t>
      </w:r>
    </w:p>
    <w:p w14:paraId="6B65E125" w14:textId="77777777" w:rsidR="004959FD" w:rsidRDefault="004959FD" w:rsidP="005B2A55">
      <w:pPr>
        <w:tabs>
          <w:tab w:val="left" w:pos="1175"/>
        </w:tabs>
        <w:spacing w:before="120" w:after="120"/>
        <w:jc w:val="both"/>
        <w:rPr>
          <w:rFonts w:ascii="Arial" w:hAnsi="Arial" w:cs="Arial"/>
          <w:color w:val="000000"/>
          <w:sz w:val="18"/>
          <w:szCs w:val="18"/>
        </w:rPr>
      </w:pPr>
    </w:p>
    <w:p w14:paraId="355F6FA5" w14:textId="24FDCF1E" w:rsidR="00595CE6" w:rsidRPr="0063302F" w:rsidRDefault="00595CE6" w:rsidP="00595CE6">
      <w:pPr>
        <w:tabs>
          <w:tab w:val="left" w:pos="1175"/>
        </w:tabs>
        <w:spacing w:before="120" w:after="120"/>
        <w:jc w:val="both"/>
        <w:rPr>
          <w:rFonts w:ascii="Arial" w:hAnsi="Arial" w:cs="Arial"/>
          <w:b/>
          <w:color w:val="254E79"/>
          <w:sz w:val="18"/>
          <w:szCs w:val="18"/>
        </w:rPr>
      </w:pPr>
      <w:r w:rsidRPr="0063302F">
        <w:rPr>
          <w:rFonts w:ascii="Arial" w:hAnsi="Arial" w:cs="Arial"/>
          <w:b/>
          <w:color w:val="254E79"/>
          <w:sz w:val="18"/>
          <w:szCs w:val="18"/>
        </w:rPr>
        <w:t>Diversidade</w:t>
      </w:r>
    </w:p>
    <w:p w14:paraId="52ED1227" w14:textId="732AA197" w:rsidR="00595CE6" w:rsidRDefault="00595CE6" w:rsidP="00595CE6">
      <w:pPr>
        <w:tabs>
          <w:tab w:val="left" w:pos="1175"/>
        </w:tabs>
        <w:spacing w:before="120" w:after="120"/>
        <w:jc w:val="both"/>
        <w:rPr>
          <w:rFonts w:ascii="Arial" w:hAnsi="Arial" w:cs="Arial"/>
          <w:color w:val="000000"/>
          <w:sz w:val="18"/>
          <w:szCs w:val="18"/>
        </w:rPr>
      </w:pPr>
      <w:r>
        <w:rPr>
          <w:rFonts w:ascii="Arial" w:hAnsi="Arial" w:cs="Arial"/>
          <w:color w:val="000000"/>
          <w:sz w:val="18"/>
          <w:szCs w:val="18"/>
        </w:rPr>
        <w:t>N</w:t>
      </w:r>
      <w:r w:rsidRPr="00414DED">
        <w:rPr>
          <w:rFonts w:ascii="Arial" w:hAnsi="Arial" w:cs="Arial"/>
          <w:color w:val="000000"/>
          <w:sz w:val="18"/>
          <w:szCs w:val="18"/>
        </w:rPr>
        <w:t>os</w:t>
      </w:r>
      <w:r>
        <w:rPr>
          <w:rFonts w:ascii="Arial" w:hAnsi="Arial" w:cs="Arial"/>
          <w:color w:val="000000"/>
          <w:sz w:val="18"/>
          <w:szCs w:val="18"/>
        </w:rPr>
        <w:t xml:space="preserve"> </w:t>
      </w:r>
      <w:r w:rsidRPr="00414DED">
        <w:rPr>
          <w:rFonts w:ascii="Arial" w:hAnsi="Arial" w:cs="Arial"/>
          <w:color w:val="000000"/>
          <w:sz w:val="18"/>
          <w:szCs w:val="18"/>
        </w:rPr>
        <w:t>processos de recrutamento e seleção</w:t>
      </w:r>
      <w:r>
        <w:rPr>
          <w:rFonts w:ascii="Arial" w:hAnsi="Arial" w:cs="Arial"/>
          <w:color w:val="000000"/>
          <w:sz w:val="18"/>
          <w:szCs w:val="18"/>
        </w:rPr>
        <w:t xml:space="preserve">, com o objetivo de </w:t>
      </w:r>
      <w:r w:rsidRPr="00414DED">
        <w:rPr>
          <w:rFonts w:ascii="Arial" w:hAnsi="Arial" w:cs="Arial"/>
          <w:color w:val="000000"/>
          <w:sz w:val="18"/>
          <w:szCs w:val="18"/>
        </w:rPr>
        <w:t>elevar a representatividade feminina na Companhia</w:t>
      </w:r>
      <w:r>
        <w:rPr>
          <w:rFonts w:ascii="Arial" w:hAnsi="Arial" w:cs="Arial"/>
          <w:color w:val="000000"/>
          <w:sz w:val="18"/>
          <w:szCs w:val="18"/>
        </w:rPr>
        <w:t xml:space="preserve"> e </w:t>
      </w:r>
      <w:r w:rsidRPr="00414DED">
        <w:rPr>
          <w:rFonts w:ascii="Arial" w:hAnsi="Arial" w:cs="Arial"/>
          <w:color w:val="000000"/>
          <w:sz w:val="18"/>
          <w:szCs w:val="18"/>
        </w:rPr>
        <w:t>resguardar a equidade de gênero na etapa técnica (cujas</w:t>
      </w:r>
      <w:r>
        <w:rPr>
          <w:rFonts w:ascii="Arial" w:hAnsi="Arial" w:cs="Arial"/>
          <w:color w:val="000000"/>
          <w:sz w:val="18"/>
          <w:szCs w:val="18"/>
        </w:rPr>
        <w:t xml:space="preserve"> </w:t>
      </w:r>
      <w:r w:rsidRPr="00414DED">
        <w:rPr>
          <w:rFonts w:ascii="Arial" w:hAnsi="Arial" w:cs="Arial"/>
          <w:color w:val="000000"/>
          <w:sz w:val="18"/>
          <w:szCs w:val="18"/>
        </w:rPr>
        <w:t>provas são corrigidas às cegas), podem ser convocados mais do que o número ordinariamente estabelecido</w:t>
      </w:r>
      <w:r>
        <w:rPr>
          <w:rFonts w:ascii="Arial" w:hAnsi="Arial" w:cs="Arial"/>
          <w:color w:val="000000"/>
          <w:sz w:val="18"/>
          <w:szCs w:val="18"/>
        </w:rPr>
        <w:t xml:space="preserve"> </w:t>
      </w:r>
      <w:r w:rsidRPr="00414DED">
        <w:rPr>
          <w:rFonts w:ascii="Arial" w:hAnsi="Arial" w:cs="Arial"/>
          <w:color w:val="000000"/>
          <w:sz w:val="18"/>
          <w:szCs w:val="18"/>
        </w:rPr>
        <w:t>de candidatos, considerando-se a proporção de inscritos entre homens e mulheres e os pré-requisitos da</w:t>
      </w:r>
      <w:r>
        <w:rPr>
          <w:rFonts w:ascii="Arial" w:hAnsi="Arial" w:cs="Arial"/>
          <w:color w:val="000000"/>
          <w:sz w:val="18"/>
          <w:szCs w:val="18"/>
        </w:rPr>
        <w:t xml:space="preserve"> </w:t>
      </w:r>
      <w:r w:rsidRPr="00414DED">
        <w:rPr>
          <w:rFonts w:ascii="Arial" w:hAnsi="Arial" w:cs="Arial"/>
          <w:color w:val="000000"/>
          <w:sz w:val="18"/>
          <w:szCs w:val="18"/>
        </w:rPr>
        <w:t>posição</w:t>
      </w:r>
      <w:r>
        <w:rPr>
          <w:rFonts w:ascii="Arial" w:hAnsi="Arial" w:cs="Arial"/>
          <w:color w:val="000000"/>
          <w:sz w:val="18"/>
          <w:szCs w:val="18"/>
        </w:rPr>
        <w:t>.</w:t>
      </w:r>
    </w:p>
    <w:p w14:paraId="6BDE54E1" w14:textId="77777777" w:rsidR="00595CE6" w:rsidRPr="00992222" w:rsidRDefault="00595CE6" w:rsidP="00595CE6">
      <w:pPr>
        <w:tabs>
          <w:tab w:val="left" w:pos="1175"/>
        </w:tabs>
        <w:spacing w:before="120" w:after="120"/>
        <w:jc w:val="both"/>
        <w:rPr>
          <w:rFonts w:ascii="Arial" w:hAnsi="Arial" w:cs="Arial"/>
          <w:color w:val="000000"/>
          <w:sz w:val="18"/>
          <w:szCs w:val="18"/>
        </w:rPr>
      </w:pPr>
      <w:r w:rsidRPr="00992222">
        <w:rPr>
          <w:rFonts w:ascii="Arial" w:hAnsi="Arial" w:cs="Arial"/>
          <w:color w:val="000000"/>
          <w:sz w:val="18"/>
          <w:szCs w:val="18"/>
        </w:rPr>
        <w:t>Importante esclarecer que, na BB Seguridade, não há distinção de remuneração para aqueles que ocupam</w:t>
      </w:r>
      <w:r>
        <w:rPr>
          <w:rFonts w:ascii="Arial" w:hAnsi="Arial" w:cs="Arial"/>
          <w:color w:val="000000"/>
          <w:sz w:val="18"/>
          <w:szCs w:val="18"/>
        </w:rPr>
        <w:t xml:space="preserve"> </w:t>
      </w:r>
      <w:r w:rsidRPr="00992222">
        <w:rPr>
          <w:rFonts w:ascii="Arial" w:hAnsi="Arial" w:cs="Arial"/>
          <w:color w:val="000000"/>
          <w:sz w:val="18"/>
          <w:szCs w:val="18"/>
        </w:rPr>
        <w:t>a mesma função, respeitando-se a diversidade na definição da política salarial.</w:t>
      </w:r>
    </w:p>
    <w:p w14:paraId="6EF1836D" w14:textId="77777777" w:rsidR="005B2A55" w:rsidRPr="00992222" w:rsidRDefault="005B2A55" w:rsidP="005B2A55">
      <w:pPr>
        <w:tabs>
          <w:tab w:val="left" w:pos="1175"/>
        </w:tabs>
        <w:spacing w:before="120" w:after="120"/>
        <w:jc w:val="both"/>
        <w:rPr>
          <w:rFonts w:ascii="Arial" w:hAnsi="Arial" w:cs="Arial"/>
          <w:color w:val="000000"/>
          <w:sz w:val="18"/>
          <w:szCs w:val="18"/>
        </w:rPr>
      </w:pPr>
      <w:r w:rsidRPr="00992222">
        <w:rPr>
          <w:rFonts w:ascii="Arial" w:hAnsi="Arial" w:cs="Arial"/>
          <w:color w:val="000000"/>
          <w:sz w:val="18"/>
          <w:szCs w:val="18"/>
        </w:rPr>
        <w:t>Já no campo da educação corporativa, a Companhia faz uso da plataforma da Universidade Corporativa do</w:t>
      </w:r>
      <w:r>
        <w:rPr>
          <w:rFonts w:ascii="Arial" w:hAnsi="Arial" w:cs="Arial"/>
          <w:color w:val="000000"/>
          <w:sz w:val="18"/>
          <w:szCs w:val="18"/>
        </w:rPr>
        <w:t xml:space="preserve"> </w:t>
      </w:r>
      <w:r w:rsidRPr="00992222">
        <w:rPr>
          <w:rFonts w:ascii="Arial" w:hAnsi="Arial" w:cs="Arial"/>
          <w:color w:val="000000"/>
          <w:sz w:val="18"/>
          <w:szCs w:val="18"/>
        </w:rPr>
        <w:t>BB, onde encontram-se cursos que tratam do tema, como, por exemplo, o curso Liderança</w:t>
      </w:r>
      <w:r>
        <w:rPr>
          <w:rFonts w:ascii="Arial" w:hAnsi="Arial" w:cs="Arial"/>
          <w:color w:val="000000"/>
          <w:sz w:val="18"/>
          <w:szCs w:val="18"/>
        </w:rPr>
        <w:t xml:space="preserve"> </w:t>
      </w:r>
      <w:r w:rsidRPr="00992222">
        <w:rPr>
          <w:rFonts w:ascii="Arial" w:hAnsi="Arial" w:cs="Arial"/>
          <w:color w:val="000000"/>
          <w:sz w:val="18"/>
          <w:szCs w:val="18"/>
        </w:rPr>
        <w:t>Feminina, que tem como principal objetivo disseminar a importância estratégica da promoção da equidade</w:t>
      </w:r>
      <w:r>
        <w:rPr>
          <w:rFonts w:ascii="Arial" w:hAnsi="Arial" w:cs="Arial"/>
          <w:color w:val="000000"/>
          <w:sz w:val="18"/>
          <w:szCs w:val="18"/>
        </w:rPr>
        <w:t xml:space="preserve"> </w:t>
      </w:r>
      <w:r w:rsidRPr="00992222">
        <w:rPr>
          <w:rFonts w:ascii="Arial" w:hAnsi="Arial" w:cs="Arial"/>
          <w:color w:val="000000"/>
          <w:sz w:val="18"/>
          <w:szCs w:val="18"/>
        </w:rPr>
        <w:t>de gênero na empresa.</w:t>
      </w:r>
    </w:p>
    <w:p w14:paraId="424BDD7A" w14:textId="282F96E4" w:rsidR="005B2A55" w:rsidRDefault="005B2A55" w:rsidP="005B2A55">
      <w:pPr>
        <w:tabs>
          <w:tab w:val="left" w:pos="1175"/>
        </w:tabs>
        <w:spacing w:before="120" w:after="120"/>
        <w:jc w:val="both"/>
        <w:rPr>
          <w:rFonts w:ascii="Arial" w:hAnsi="Arial" w:cs="Arial"/>
          <w:color w:val="000000"/>
          <w:sz w:val="18"/>
          <w:szCs w:val="18"/>
        </w:rPr>
      </w:pPr>
      <w:r w:rsidRPr="00A31110">
        <w:rPr>
          <w:rFonts w:ascii="Arial" w:hAnsi="Arial" w:cs="Arial"/>
          <w:color w:val="000000"/>
          <w:sz w:val="18"/>
          <w:szCs w:val="18"/>
        </w:rPr>
        <w:t xml:space="preserve">Em 2020, </w:t>
      </w:r>
      <w:r w:rsidR="0076500F">
        <w:rPr>
          <w:rFonts w:ascii="Arial" w:hAnsi="Arial" w:cs="Arial"/>
          <w:color w:val="000000"/>
          <w:sz w:val="18"/>
          <w:szCs w:val="18"/>
        </w:rPr>
        <w:t xml:space="preserve">iniciou-se </w:t>
      </w:r>
      <w:r w:rsidRPr="00A31110">
        <w:rPr>
          <w:rFonts w:ascii="Arial" w:hAnsi="Arial" w:cs="Arial"/>
          <w:color w:val="000000"/>
          <w:sz w:val="18"/>
          <w:szCs w:val="18"/>
        </w:rPr>
        <w:t>a estruturação de um projeto com o objetivo de promover o fortalecimento da liderança feminina, cujas etapas envolvem: (i) diagnóstico, a fim de identificar barreiras que porventura possam impedir a ascensão feminina; (</w:t>
      </w:r>
      <w:proofErr w:type="spellStart"/>
      <w:r w:rsidRPr="00A31110">
        <w:rPr>
          <w:rFonts w:ascii="Arial" w:hAnsi="Arial" w:cs="Arial"/>
          <w:color w:val="000000"/>
          <w:sz w:val="18"/>
          <w:szCs w:val="18"/>
        </w:rPr>
        <w:t>ii</w:t>
      </w:r>
      <w:proofErr w:type="spellEnd"/>
      <w:r w:rsidRPr="00A31110">
        <w:rPr>
          <w:rFonts w:ascii="Arial" w:hAnsi="Arial" w:cs="Arial"/>
          <w:color w:val="000000"/>
          <w:sz w:val="18"/>
          <w:szCs w:val="18"/>
        </w:rPr>
        <w:t>) workshop, com o objetivo de discutir os resultados do diagnóstico e planejar o empoderamento feminino na Companhia; e (</w:t>
      </w:r>
      <w:proofErr w:type="spellStart"/>
      <w:r w:rsidRPr="00A31110">
        <w:rPr>
          <w:rFonts w:ascii="Arial" w:hAnsi="Arial" w:cs="Arial"/>
          <w:color w:val="000000"/>
          <w:sz w:val="18"/>
          <w:szCs w:val="18"/>
        </w:rPr>
        <w:t>iii</w:t>
      </w:r>
      <w:proofErr w:type="spellEnd"/>
      <w:r w:rsidRPr="00A31110">
        <w:rPr>
          <w:rFonts w:ascii="Arial" w:hAnsi="Arial" w:cs="Arial"/>
          <w:color w:val="000000"/>
          <w:sz w:val="18"/>
          <w:szCs w:val="18"/>
        </w:rPr>
        <w:t>) realização de cursos voltados à disseminação da cultura de equidade, a importância da liderança feminina e a estratégia da empresa para a condução do tema.</w:t>
      </w:r>
      <w:r>
        <w:rPr>
          <w:rFonts w:ascii="Arial" w:hAnsi="Arial" w:cs="Arial"/>
          <w:color w:val="000000"/>
          <w:sz w:val="18"/>
          <w:szCs w:val="18"/>
        </w:rPr>
        <w:t xml:space="preserve"> Contudo, com o i</w:t>
      </w:r>
      <w:r w:rsidR="00595CE6">
        <w:rPr>
          <w:rFonts w:ascii="Arial" w:hAnsi="Arial" w:cs="Arial"/>
          <w:color w:val="000000"/>
          <w:sz w:val="18"/>
          <w:szCs w:val="18"/>
        </w:rPr>
        <w:t>nício da pandemia</w:t>
      </w:r>
      <w:r>
        <w:rPr>
          <w:rFonts w:ascii="Arial" w:hAnsi="Arial" w:cs="Arial"/>
          <w:color w:val="000000"/>
          <w:sz w:val="18"/>
          <w:szCs w:val="18"/>
        </w:rPr>
        <w:t xml:space="preserve">, outros projetos tiveram que ser priorizados, postergando para 2021 a aceleração das etapas </w:t>
      </w:r>
      <w:r w:rsidR="00595CE6">
        <w:rPr>
          <w:rFonts w:ascii="Arial" w:hAnsi="Arial" w:cs="Arial"/>
          <w:color w:val="000000"/>
          <w:sz w:val="18"/>
          <w:szCs w:val="18"/>
        </w:rPr>
        <w:t>mencionadas</w:t>
      </w:r>
      <w:r>
        <w:rPr>
          <w:rFonts w:ascii="Arial" w:hAnsi="Arial" w:cs="Arial"/>
          <w:color w:val="000000"/>
          <w:sz w:val="18"/>
          <w:szCs w:val="18"/>
        </w:rPr>
        <w:t>.</w:t>
      </w:r>
    </w:p>
    <w:p w14:paraId="0943E227" w14:textId="77777777" w:rsidR="009208AB" w:rsidRDefault="005B2A55" w:rsidP="005B2A55">
      <w:pPr>
        <w:tabs>
          <w:tab w:val="left" w:pos="1175"/>
        </w:tabs>
        <w:spacing w:before="120" w:after="120"/>
        <w:jc w:val="both"/>
        <w:rPr>
          <w:rFonts w:ascii="Arial" w:hAnsi="Arial" w:cs="Arial"/>
          <w:color w:val="000000"/>
          <w:sz w:val="18"/>
          <w:szCs w:val="18"/>
        </w:rPr>
      </w:pPr>
      <w:r>
        <w:rPr>
          <w:rFonts w:ascii="Arial" w:hAnsi="Arial" w:cs="Arial"/>
          <w:color w:val="000000"/>
          <w:sz w:val="18"/>
          <w:szCs w:val="18"/>
        </w:rPr>
        <w:t>No que diz respeito à igualdade de raça e etnia, e</w:t>
      </w:r>
      <w:r w:rsidR="00595CE6">
        <w:rPr>
          <w:rFonts w:ascii="Arial" w:hAnsi="Arial" w:cs="Arial"/>
          <w:color w:val="000000"/>
          <w:sz w:val="18"/>
          <w:szCs w:val="18"/>
        </w:rPr>
        <w:t xml:space="preserve">m setembro de </w:t>
      </w:r>
      <w:r w:rsidRPr="00C05391">
        <w:rPr>
          <w:rFonts w:ascii="Arial" w:hAnsi="Arial" w:cs="Arial"/>
          <w:color w:val="000000"/>
          <w:sz w:val="18"/>
          <w:szCs w:val="18"/>
        </w:rPr>
        <w:t>2017, o Banco do Brasil e a Iniciativa Empresarial pela Igualdade anunciaram um acordo em</w:t>
      </w:r>
      <w:r>
        <w:rPr>
          <w:rFonts w:ascii="Arial" w:hAnsi="Arial" w:cs="Arial"/>
          <w:color w:val="000000"/>
          <w:sz w:val="18"/>
          <w:szCs w:val="18"/>
        </w:rPr>
        <w:t xml:space="preserve"> </w:t>
      </w:r>
      <w:r w:rsidRPr="00C05391">
        <w:rPr>
          <w:rFonts w:ascii="Arial" w:hAnsi="Arial" w:cs="Arial"/>
          <w:color w:val="000000"/>
          <w:sz w:val="18"/>
          <w:szCs w:val="18"/>
        </w:rPr>
        <w:t>que a instituição e suas empresas coligadas</w:t>
      </w:r>
      <w:r>
        <w:rPr>
          <w:rFonts w:ascii="Arial" w:hAnsi="Arial" w:cs="Arial"/>
          <w:color w:val="000000"/>
          <w:sz w:val="18"/>
          <w:szCs w:val="18"/>
        </w:rPr>
        <w:t>, que inclui a BB Seguridade,</w:t>
      </w:r>
      <w:r w:rsidRPr="00C05391">
        <w:rPr>
          <w:rFonts w:ascii="Arial" w:hAnsi="Arial" w:cs="Arial"/>
          <w:color w:val="000000"/>
          <w:sz w:val="18"/>
          <w:szCs w:val="18"/>
        </w:rPr>
        <w:t xml:space="preserve"> assumem os “10 Compromissos das Empresas com a Promoção</w:t>
      </w:r>
      <w:r>
        <w:rPr>
          <w:rFonts w:ascii="Arial" w:hAnsi="Arial" w:cs="Arial"/>
          <w:color w:val="000000"/>
          <w:sz w:val="18"/>
          <w:szCs w:val="18"/>
        </w:rPr>
        <w:t xml:space="preserve"> </w:t>
      </w:r>
      <w:r w:rsidRPr="00C05391">
        <w:rPr>
          <w:rFonts w:ascii="Arial" w:hAnsi="Arial" w:cs="Arial"/>
          <w:color w:val="000000"/>
          <w:sz w:val="18"/>
          <w:szCs w:val="18"/>
        </w:rPr>
        <w:t>da Igualdade Racial”.</w:t>
      </w:r>
      <w:r>
        <w:rPr>
          <w:rFonts w:ascii="Arial" w:hAnsi="Arial" w:cs="Arial"/>
          <w:color w:val="000000"/>
          <w:sz w:val="18"/>
          <w:szCs w:val="18"/>
        </w:rPr>
        <w:t xml:space="preserve"> </w:t>
      </w:r>
      <w:r w:rsidRPr="00C05391">
        <w:rPr>
          <w:rFonts w:ascii="Arial" w:hAnsi="Arial" w:cs="Arial"/>
          <w:color w:val="000000"/>
          <w:sz w:val="18"/>
          <w:szCs w:val="18"/>
        </w:rPr>
        <w:t>A carta-compromisso prevê iniciativas para sensibilizar e educar para o respeito e a</w:t>
      </w:r>
      <w:r>
        <w:rPr>
          <w:rFonts w:ascii="Arial" w:hAnsi="Arial" w:cs="Arial"/>
          <w:color w:val="000000"/>
          <w:sz w:val="18"/>
          <w:szCs w:val="18"/>
        </w:rPr>
        <w:t xml:space="preserve"> </w:t>
      </w:r>
      <w:r w:rsidRPr="00C05391">
        <w:rPr>
          <w:rFonts w:ascii="Arial" w:hAnsi="Arial" w:cs="Arial"/>
          <w:color w:val="000000"/>
          <w:sz w:val="18"/>
          <w:szCs w:val="18"/>
        </w:rPr>
        <w:t>promoção da diversidade racial no planejamento de produtos, serviços e atendimento aos clientes e a</w:t>
      </w:r>
      <w:r>
        <w:rPr>
          <w:rFonts w:ascii="Arial" w:hAnsi="Arial" w:cs="Arial"/>
          <w:color w:val="000000"/>
          <w:sz w:val="18"/>
          <w:szCs w:val="18"/>
        </w:rPr>
        <w:t xml:space="preserve"> </w:t>
      </w:r>
      <w:r w:rsidRPr="00C05391">
        <w:rPr>
          <w:rFonts w:ascii="Arial" w:hAnsi="Arial" w:cs="Arial"/>
          <w:color w:val="000000"/>
          <w:sz w:val="18"/>
          <w:szCs w:val="18"/>
        </w:rPr>
        <w:t>promoção de ações de desenvolvimento profissional com foco na igualdade racial no acesso</w:t>
      </w:r>
      <w:r>
        <w:rPr>
          <w:rFonts w:ascii="Arial" w:hAnsi="Arial" w:cs="Arial"/>
          <w:color w:val="000000"/>
          <w:sz w:val="18"/>
          <w:szCs w:val="18"/>
        </w:rPr>
        <w:t xml:space="preserve"> </w:t>
      </w:r>
      <w:r w:rsidRPr="00C05391">
        <w:rPr>
          <w:rFonts w:ascii="Arial" w:hAnsi="Arial" w:cs="Arial"/>
          <w:color w:val="000000"/>
          <w:sz w:val="18"/>
          <w:szCs w:val="18"/>
        </w:rPr>
        <w:t>a</w:t>
      </w:r>
      <w:r>
        <w:rPr>
          <w:rFonts w:ascii="Arial" w:hAnsi="Arial" w:cs="Arial"/>
          <w:color w:val="000000"/>
          <w:sz w:val="18"/>
          <w:szCs w:val="18"/>
        </w:rPr>
        <w:t xml:space="preserve"> </w:t>
      </w:r>
      <w:r w:rsidRPr="00C05391">
        <w:rPr>
          <w:rFonts w:ascii="Arial" w:hAnsi="Arial" w:cs="Arial"/>
          <w:color w:val="000000"/>
          <w:sz w:val="18"/>
          <w:szCs w:val="18"/>
        </w:rPr>
        <w:t>oportunidades de trabalho e renda. Na BB Seguridade, em 31.12.20</w:t>
      </w:r>
      <w:r>
        <w:rPr>
          <w:rFonts w:ascii="Arial" w:hAnsi="Arial" w:cs="Arial"/>
          <w:color w:val="000000"/>
          <w:sz w:val="18"/>
          <w:szCs w:val="18"/>
        </w:rPr>
        <w:t>20</w:t>
      </w:r>
      <w:r w:rsidRPr="00C05391">
        <w:rPr>
          <w:rFonts w:ascii="Arial" w:hAnsi="Arial" w:cs="Arial"/>
          <w:color w:val="000000"/>
          <w:sz w:val="18"/>
          <w:szCs w:val="18"/>
        </w:rPr>
        <w:t xml:space="preserve">, </w:t>
      </w:r>
      <w:r w:rsidRPr="009B7402">
        <w:rPr>
          <w:rFonts w:ascii="Arial" w:hAnsi="Arial" w:cs="Arial"/>
          <w:color w:val="000000"/>
          <w:sz w:val="18"/>
          <w:szCs w:val="18"/>
        </w:rPr>
        <w:t>19% d</w:t>
      </w:r>
      <w:r w:rsidRPr="00C05391">
        <w:rPr>
          <w:rFonts w:ascii="Arial" w:hAnsi="Arial" w:cs="Arial"/>
          <w:color w:val="000000"/>
          <w:sz w:val="18"/>
          <w:szCs w:val="18"/>
        </w:rPr>
        <w:t>os funcionários se</w:t>
      </w:r>
      <w:r>
        <w:rPr>
          <w:rFonts w:ascii="Arial" w:hAnsi="Arial" w:cs="Arial"/>
          <w:color w:val="000000"/>
          <w:sz w:val="18"/>
          <w:szCs w:val="18"/>
        </w:rPr>
        <w:t xml:space="preserve"> </w:t>
      </w:r>
      <w:r w:rsidRPr="00C05391">
        <w:rPr>
          <w:rFonts w:ascii="Arial" w:hAnsi="Arial" w:cs="Arial"/>
          <w:color w:val="000000"/>
          <w:sz w:val="18"/>
          <w:szCs w:val="18"/>
        </w:rPr>
        <w:t>autodeclararam pardos ou negros.</w:t>
      </w:r>
      <w:r>
        <w:rPr>
          <w:rFonts w:ascii="Arial" w:hAnsi="Arial" w:cs="Arial"/>
          <w:color w:val="000000"/>
          <w:sz w:val="18"/>
          <w:szCs w:val="18"/>
        </w:rPr>
        <w:t xml:space="preserve"> </w:t>
      </w:r>
    </w:p>
    <w:p w14:paraId="2CF27659" w14:textId="77777777" w:rsidR="009208AB" w:rsidRDefault="009208AB" w:rsidP="005B2A55">
      <w:pPr>
        <w:tabs>
          <w:tab w:val="left" w:pos="1175"/>
        </w:tabs>
        <w:spacing w:before="120" w:after="120"/>
        <w:jc w:val="both"/>
        <w:rPr>
          <w:rFonts w:ascii="Arial" w:hAnsi="Arial" w:cs="Arial"/>
          <w:color w:val="000000"/>
          <w:sz w:val="18"/>
          <w:szCs w:val="18"/>
        </w:rPr>
      </w:pPr>
      <w:r>
        <w:rPr>
          <w:rFonts w:ascii="Arial" w:hAnsi="Arial" w:cs="Arial"/>
          <w:color w:val="000000"/>
          <w:sz w:val="18"/>
          <w:szCs w:val="18"/>
        </w:rPr>
        <w:t>E</w:t>
      </w:r>
      <w:r w:rsidR="005B2A55">
        <w:rPr>
          <w:rFonts w:ascii="Arial" w:hAnsi="Arial" w:cs="Arial"/>
          <w:color w:val="000000"/>
          <w:sz w:val="18"/>
          <w:szCs w:val="18"/>
        </w:rPr>
        <w:t xml:space="preserve">m relação à promoção de </w:t>
      </w:r>
      <w:r w:rsidR="005B2A55" w:rsidRPr="00C05391">
        <w:rPr>
          <w:rFonts w:ascii="Arial" w:hAnsi="Arial" w:cs="Arial"/>
          <w:color w:val="000000"/>
          <w:sz w:val="18"/>
          <w:szCs w:val="18"/>
        </w:rPr>
        <w:t>direitos iguais e tratamento justo para</w:t>
      </w:r>
      <w:r w:rsidR="005B2A55">
        <w:rPr>
          <w:rFonts w:ascii="Arial" w:hAnsi="Arial" w:cs="Arial"/>
          <w:color w:val="000000"/>
          <w:sz w:val="18"/>
          <w:szCs w:val="18"/>
        </w:rPr>
        <w:t xml:space="preserve"> o público</w:t>
      </w:r>
      <w:r w:rsidR="005B2A55" w:rsidRPr="00C05391">
        <w:rPr>
          <w:rFonts w:ascii="Arial" w:hAnsi="Arial" w:cs="Arial"/>
          <w:color w:val="000000"/>
          <w:sz w:val="18"/>
          <w:szCs w:val="18"/>
        </w:rPr>
        <w:t xml:space="preserve"> </w:t>
      </w:r>
      <w:proofErr w:type="spellStart"/>
      <w:r w:rsidR="005B2A55" w:rsidRPr="00C05391">
        <w:rPr>
          <w:rFonts w:ascii="Arial" w:hAnsi="Arial" w:cs="Arial"/>
          <w:color w:val="000000"/>
          <w:sz w:val="18"/>
          <w:szCs w:val="18"/>
        </w:rPr>
        <w:t>LGBTIs</w:t>
      </w:r>
      <w:proofErr w:type="spellEnd"/>
      <w:r w:rsidR="005B2A55">
        <w:rPr>
          <w:rFonts w:ascii="Arial" w:hAnsi="Arial" w:cs="Arial"/>
          <w:color w:val="000000"/>
          <w:sz w:val="18"/>
          <w:szCs w:val="18"/>
        </w:rPr>
        <w:t xml:space="preserve">, podemos citar os seguintes avanços que foram </w:t>
      </w:r>
      <w:r w:rsidR="005B2A55" w:rsidRPr="00C05391">
        <w:rPr>
          <w:rFonts w:ascii="Arial" w:hAnsi="Arial" w:cs="Arial"/>
          <w:color w:val="000000"/>
          <w:sz w:val="18"/>
          <w:szCs w:val="18"/>
        </w:rPr>
        <w:t>promovidos pelo B</w:t>
      </w:r>
      <w:r w:rsidR="005B2A55">
        <w:rPr>
          <w:rFonts w:ascii="Arial" w:hAnsi="Arial" w:cs="Arial"/>
          <w:color w:val="000000"/>
          <w:sz w:val="18"/>
          <w:szCs w:val="18"/>
        </w:rPr>
        <w:t xml:space="preserve">B e </w:t>
      </w:r>
      <w:r w:rsidR="005B2A55" w:rsidRPr="00C05391">
        <w:rPr>
          <w:rFonts w:ascii="Arial" w:hAnsi="Arial" w:cs="Arial"/>
          <w:color w:val="000000"/>
          <w:sz w:val="18"/>
          <w:szCs w:val="18"/>
        </w:rPr>
        <w:t>que alcançam a BB Seguridade: (i) possibilidade do uso do</w:t>
      </w:r>
      <w:r w:rsidR="005B2A55">
        <w:rPr>
          <w:rFonts w:ascii="Arial" w:hAnsi="Arial" w:cs="Arial"/>
          <w:color w:val="000000"/>
          <w:sz w:val="18"/>
          <w:szCs w:val="18"/>
        </w:rPr>
        <w:t xml:space="preserve"> </w:t>
      </w:r>
      <w:r w:rsidR="005B2A55" w:rsidRPr="00C05391">
        <w:rPr>
          <w:rFonts w:ascii="Arial" w:hAnsi="Arial" w:cs="Arial"/>
          <w:color w:val="000000"/>
          <w:sz w:val="18"/>
          <w:szCs w:val="18"/>
        </w:rPr>
        <w:t>nome social no crachá, cartão de visitas, carimbos e e-mail para pessoa trans e travesti; (</w:t>
      </w:r>
      <w:proofErr w:type="spellStart"/>
      <w:r w:rsidR="005B2A55" w:rsidRPr="00C05391">
        <w:rPr>
          <w:rFonts w:ascii="Arial" w:hAnsi="Arial" w:cs="Arial"/>
          <w:color w:val="000000"/>
          <w:sz w:val="18"/>
          <w:szCs w:val="18"/>
        </w:rPr>
        <w:t>ii</w:t>
      </w:r>
      <w:proofErr w:type="spellEnd"/>
      <w:r w:rsidR="005B2A55" w:rsidRPr="00C05391">
        <w:rPr>
          <w:rFonts w:ascii="Arial" w:hAnsi="Arial" w:cs="Arial"/>
          <w:color w:val="000000"/>
          <w:sz w:val="18"/>
          <w:szCs w:val="18"/>
        </w:rPr>
        <w:t>) uso de banheiro de</w:t>
      </w:r>
      <w:r w:rsidR="005B2A55">
        <w:rPr>
          <w:rFonts w:ascii="Arial" w:hAnsi="Arial" w:cs="Arial"/>
          <w:color w:val="000000"/>
          <w:sz w:val="18"/>
          <w:szCs w:val="18"/>
        </w:rPr>
        <w:t xml:space="preserve"> </w:t>
      </w:r>
      <w:r w:rsidR="005B2A55" w:rsidRPr="00C05391">
        <w:rPr>
          <w:rFonts w:ascii="Arial" w:hAnsi="Arial" w:cs="Arial"/>
          <w:color w:val="000000"/>
          <w:sz w:val="18"/>
          <w:szCs w:val="18"/>
        </w:rPr>
        <w:t>acordo com a identidade de gênero do funcionário; (</w:t>
      </w:r>
      <w:proofErr w:type="spellStart"/>
      <w:r w:rsidR="005B2A55" w:rsidRPr="00C05391">
        <w:rPr>
          <w:rFonts w:ascii="Arial" w:hAnsi="Arial" w:cs="Arial"/>
          <w:color w:val="000000"/>
          <w:sz w:val="18"/>
          <w:szCs w:val="18"/>
        </w:rPr>
        <w:t>iii</w:t>
      </w:r>
      <w:proofErr w:type="spellEnd"/>
      <w:r w:rsidR="005B2A55" w:rsidRPr="00C05391">
        <w:rPr>
          <w:rFonts w:ascii="Arial" w:hAnsi="Arial" w:cs="Arial"/>
          <w:color w:val="000000"/>
          <w:sz w:val="18"/>
          <w:szCs w:val="18"/>
        </w:rPr>
        <w:t>) simplificação dos procedimentos para inclusão de</w:t>
      </w:r>
      <w:r w:rsidR="005B2A55">
        <w:rPr>
          <w:rFonts w:ascii="Arial" w:hAnsi="Arial" w:cs="Arial"/>
          <w:color w:val="000000"/>
          <w:sz w:val="18"/>
          <w:szCs w:val="18"/>
        </w:rPr>
        <w:t xml:space="preserve"> </w:t>
      </w:r>
      <w:r w:rsidR="005B2A55" w:rsidRPr="00C05391">
        <w:rPr>
          <w:rFonts w:ascii="Arial" w:hAnsi="Arial" w:cs="Arial"/>
          <w:color w:val="000000"/>
          <w:sz w:val="18"/>
          <w:szCs w:val="18"/>
        </w:rPr>
        <w:t xml:space="preserve">dependentes por união </w:t>
      </w:r>
      <w:proofErr w:type="spellStart"/>
      <w:r w:rsidR="005B2A55" w:rsidRPr="00C05391">
        <w:rPr>
          <w:rFonts w:ascii="Arial" w:hAnsi="Arial" w:cs="Arial"/>
          <w:color w:val="000000"/>
          <w:sz w:val="18"/>
          <w:szCs w:val="18"/>
        </w:rPr>
        <w:t>homoafetiva</w:t>
      </w:r>
      <w:proofErr w:type="spellEnd"/>
      <w:r w:rsidR="005B2A55" w:rsidRPr="00C05391">
        <w:rPr>
          <w:rFonts w:ascii="Arial" w:hAnsi="Arial" w:cs="Arial"/>
          <w:color w:val="000000"/>
          <w:sz w:val="18"/>
          <w:szCs w:val="18"/>
        </w:rPr>
        <w:t>; e (</w:t>
      </w:r>
      <w:proofErr w:type="spellStart"/>
      <w:r w:rsidR="005B2A55" w:rsidRPr="00C05391">
        <w:rPr>
          <w:rFonts w:ascii="Arial" w:hAnsi="Arial" w:cs="Arial"/>
          <w:color w:val="000000"/>
          <w:sz w:val="18"/>
          <w:szCs w:val="18"/>
        </w:rPr>
        <w:t>iv</w:t>
      </w:r>
      <w:proofErr w:type="spellEnd"/>
      <w:r w:rsidR="005B2A55" w:rsidRPr="00C05391">
        <w:rPr>
          <w:rFonts w:ascii="Arial" w:hAnsi="Arial" w:cs="Arial"/>
          <w:color w:val="000000"/>
          <w:sz w:val="18"/>
          <w:szCs w:val="18"/>
        </w:rPr>
        <w:t>) licença-maternidade para um dos cônjuges de pais de filhos gerados</w:t>
      </w:r>
      <w:r w:rsidR="005B2A55">
        <w:rPr>
          <w:rFonts w:ascii="Arial" w:hAnsi="Arial" w:cs="Arial"/>
          <w:color w:val="000000"/>
          <w:sz w:val="18"/>
          <w:szCs w:val="18"/>
        </w:rPr>
        <w:t xml:space="preserve"> </w:t>
      </w:r>
      <w:r w:rsidR="005B2A55" w:rsidRPr="00C05391">
        <w:rPr>
          <w:rFonts w:ascii="Arial" w:hAnsi="Arial" w:cs="Arial"/>
          <w:color w:val="000000"/>
          <w:sz w:val="18"/>
          <w:szCs w:val="18"/>
        </w:rPr>
        <w:t>por útero de substituição.</w:t>
      </w:r>
      <w:r w:rsidR="005B2A55">
        <w:rPr>
          <w:rFonts w:ascii="Arial" w:hAnsi="Arial" w:cs="Arial"/>
          <w:color w:val="000000"/>
          <w:sz w:val="18"/>
          <w:szCs w:val="18"/>
        </w:rPr>
        <w:t xml:space="preserve"> </w:t>
      </w:r>
    </w:p>
    <w:p w14:paraId="737C70B4" w14:textId="6B36B609" w:rsidR="005B2A55" w:rsidRDefault="005B2A55" w:rsidP="005B2A55">
      <w:pPr>
        <w:tabs>
          <w:tab w:val="left" w:pos="1175"/>
        </w:tabs>
        <w:spacing w:before="120" w:after="120"/>
        <w:jc w:val="both"/>
        <w:rPr>
          <w:rFonts w:ascii="Arial" w:hAnsi="Arial" w:cs="Arial"/>
          <w:color w:val="000000"/>
          <w:sz w:val="18"/>
          <w:szCs w:val="18"/>
        </w:rPr>
      </w:pPr>
      <w:r w:rsidRPr="007574F5">
        <w:rPr>
          <w:rFonts w:ascii="Arial" w:hAnsi="Arial" w:cs="Arial"/>
          <w:color w:val="000000"/>
          <w:sz w:val="18"/>
          <w:szCs w:val="18"/>
        </w:rPr>
        <w:t>A inclusão da pessoa com deficiência na BB Seguridade</w:t>
      </w:r>
      <w:r>
        <w:rPr>
          <w:rFonts w:ascii="Arial" w:hAnsi="Arial" w:cs="Arial"/>
          <w:color w:val="000000"/>
          <w:sz w:val="18"/>
          <w:szCs w:val="18"/>
        </w:rPr>
        <w:t xml:space="preserve"> também </w:t>
      </w:r>
      <w:r w:rsidRPr="007574F5">
        <w:rPr>
          <w:rFonts w:ascii="Arial" w:hAnsi="Arial" w:cs="Arial"/>
          <w:color w:val="000000"/>
          <w:sz w:val="18"/>
          <w:szCs w:val="18"/>
        </w:rPr>
        <w:t>integra um conjunto de ações que visa promover a</w:t>
      </w:r>
      <w:r>
        <w:rPr>
          <w:rFonts w:ascii="Arial" w:hAnsi="Arial" w:cs="Arial"/>
          <w:color w:val="000000"/>
          <w:sz w:val="18"/>
          <w:szCs w:val="18"/>
        </w:rPr>
        <w:t xml:space="preserve"> </w:t>
      </w:r>
      <w:r w:rsidRPr="007574F5">
        <w:rPr>
          <w:rFonts w:ascii="Arial" w:hAnsi="Arial" w:cs="Arial"/>
          <w:color w:val="000000"/>
          <w:sz w:val="18"/>
          <w:szCs w:val="18"/>
        </w:rPr>
        <w:t>igualdade de direitos e de cidadania. Nesse sentido, há promoção da adequação dos ambientes físicos de</w:t>
      </w:r>
      <w:r>
        <w:rPr>
          <w:rFonts w:ascii="Arial" w:hAnsi="Arial" w:cs="Arial"/>
          <w:color w:val="000000"/>
          <w:sz w:val="18"/>
          <w:szCs w:val="18"/>
        </w:rPr>
        <w:t xml:space="preserve"> </w:t>
      </w:r>
      <w:r w:rsidRPr="007574F5">
        <w:rPr>
          <w:rFonts w:ascii="Arial" w:hAnsi="Arial" w:cs="Arial"/>
          <w:color w:val="000000"/>
          <w:sz w:val="18"/>
          <w:szCs w:val="18"/>
        </w:rPr>
        <w:t>trabalho e orientação de conduta para a recepção de funcionários com deficiência.</w:t>
      </w:r>
    </w:p>
    <w:p w14:paraId="0484BDEF" w14:textId="4D2C7191" w:rsidR="005507F9" w:rsidRDefault="005B2A55" w:rsidP="005B2A55">
      <w:pPr>
        <w:spacing w:before="120" w:after="120"/>
        <w:jc w:val="both"/>
        <w:rPr>
          <w:rFonts w:ascii="Arial" w:hAnsi="Arial" w:cs="Arial"/>
          <w:color w:val="000000"/>
          <w:sz w:val="18"/>
          <w:szCs w:val="18"/>
        </w:rPr>
      </w:pPr>
      <w:r>
        <w:rPr>
          <w:rFonts w:ascii="Arial" w:hAnsi="Arial" w:cs="Arial"/>
          <w:color w:val="000000"/>
          <w:sz w:val="18"/>
          <w:szCs w:val="18"/>
        </w:rPr>
        <w:t xml:space="preserve">Em linha com todas as ações mencionadas, a BB Seguridade, em suas políticas, práticas e cultura, preza pela manutenção da diversidade de pessoal. </w:t>
      </w:r>
      <w:r w:rsidRPr="00DA3431">
        <w:rPr>
          <w:rFonts w:ascii="Arial" w:hAnsi="Arial" w:cs="Arial"/>
          <w:color w:val="000000"/>
          <w:sz w:val="18"/>
          <w:szCs w:val="18"/>
        </w:rPr>
        <w:t>O quadro a seguir apresenta</w:t>
      </w:r>
      <w:r>
        <w:rPr>
          <w:rFonts w:ascii="Arial" w:hAnsi="Arial" w:cs="Arial"/>
          <w:color w:val="000000"/>
          <w:sz w:val="18"/>
          <w:szCs w:val="18"/>
        </w:rPr>
        <w:t>,</w:t>
      </w:r>
      <w:r w:rsidRPr="00DA3431">
        <w:rPr>
          <w:rFonts w:ascii="Arial" w:hAnsi="Arial" w:cs="Arial"/>
          <w:color w:val="000000"/>
          <w:sz w:val="18"/>
          <w:szCs w:val="18"/>
        </w:rPr>
        <w:t xml:space="preserve"> de forma resumida</w:t>
      </w:r>
      <w:r>
        <w:rPr>
          <w:rFonts w:ascii="Arial" w:hAnsi="Arial" w:cs="Arial"/>
          <w:color w:val="000000"/>
          <w:sz w:val="18"/>
          <w:szCs w:val="18"/>
        </w:rPr>
        <w:t>,</w:t>
      </w:r>
      <w:r w:rsidRPr="00DA3431">
        <w:rPr>
          <w:rFonts w:ascii="Arial" w:hAnsi="Arial" w:cs="Arial"/>
          <w:color w:val="000000"/>
          <w:sz w:val="18"/>
          <w:szCs w:val="18"/>
        </w:rPr>
        <w:t xml:space="preserve"> a composição dos colaboradores da BB Seguridade</w:t>
      </w:r>
      <w:r w:rsidR="005507F9" w:rsidRPr="00DA3431">
        <w:rPr>
          <w:rFonts w:ascii="Arial" w:hAnsi="Arial" w:cs="Arial"/>
          <w:color w:val="000000"/>
          <w:sz w:val="18"/>
          <w:szCs w:val="18"/>
        </w:rPr>
        <w:t>:</w:t>
      </w:r>
    </w:p>
    <w:p w14:paraId="182F77C2" w14:textId="76A29F3B" w:rsidR="00DE7760" w:rsidRDefault="00DE7760" w:rsidP="00DE7760">
      <w:pPr>
        <w:pStyle w:val="01-TtulodeNota"/>
        <w:rPr>
          <w:b w:val="0"/>
          <w:sz w:val="14"/>
        </w:rPr>
      </w:pPr>
      <w:r w:rsidRPr="009E060D">
        <w:rPr>
          <w:rFonts w:cs="Arial"/>
          <w:b w:val="0"/>
          <w:sz w:val="14"/>
          <w:szCs w:val="14"/>
        </w:rPr>
        <w:t xml:space="preserve">Tabela </w:t>
      </w:r>
      <w:r w:rsidRPr="009E060D">
        <w:rPr>
          <w:rFonts w:cs="Arial"/>
          <w:b w:val="0"/>
          <w:sz w:val="14"/>
          <w:szCs w:val="14"/>
        </w:rPr>
        <w:fldChar w:fldCharType="begin"/>
      </w:r>
      <w:r w:rsidRPr="009E060D">
        <w:rPr>
          <w:rFonts w:cs="Arial"/>
          <w:b w:val="0"/>
          <w:sz w:val="14"/>
          <w:szCs w:val="14"/>
        </w:rPr>
        <w:instrText xml:space="preserve"> SEQ Tabela \* ARABIC </w:instrText>
      </w:r>
      <w:r w:rsidRPr="009E060D">
        <w:rPr>
          <w:rFonts w:cs="Arial"/>
          <w:b w:val="0"/>
          <w:sz w:val="14"/>
          <w:szCs w:val="14"/>
        </w:rPr>
        <w:fldChar w:fldCharType="separate"/>
      </w:r>
      <w:r w:rsidR="0068396B">
        <w:rPr>
          <w:rFonts w:cs="Arial"/>
          <w:b w:val="0"/>
          <w:noProof/>
          <w:sz w:val="14"/>
          <w:szCs w:val="14"/>
        </w:rPr>
        <w:t>5</w:t>
      </w:r>
      <w:r w:rsidRPr="009E060D">
        <w:rPr>
          <w:rFonts w:cs="Arial"/>
          <w:b w:val="0"/>
          <w:noProof/>
          <w:sz w:val="14"/>
          <w:szCs w:val="14"/>
        </w:rPr>
        <w:fldChar w:fldCharType="end"/>
      </w:r>
      <w:r w:rsidRPr="002A6B1F">
        <w:rPr>
          <w:b w:val="0"/>
          <w:sz w:val="14"/>
        </w:rPr>
        <w:t xml:space="preserve"> – </w:t>
      </w:r>
      <w:r>
        <w:rPr>
          <w:rFonts w:cs="Arial"/>
          <w:b w:val="0"/>
          <w:sz w:val="14"/>
        </w:rPr>
        <w:t>Capital Humano - Composição</w:t>
      </w:r>
    </w:p>
    <w:tbl>
      <w:tblPr>
        <w:tblStyle w:val="TabeladeLista6Colorida-nfase5"/>
        <w:tblW w:w="9639" w:type="dxa"/>
        <w:tblLook w:val="04A0" w:firstRow="1" w:lastRow="0" w:firstColumn="1" w:lastColumn="0" w:noHBand="0" w:noVBand="1"/>
      </w:tblPr>
      <w:tblGrid>
        <w:gridCol w:w="4063"/>
        <w:gridCol w:w="1859"/>
        <w:gridCol w:w="1859"/>
        <w:gridCol w:w="1858"/>
      </w:tblGrid>
      <w:tr w:rsidR="00622037" w:rsidRPr="00201B3F" w14:paraId="62860B28" w14:textId="77777777" w:rsidTr="00D7056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bottom w:val="nil"/>
            </w:tcBorders>
            <w:shd w:val="clear" w:color="auto" w:fill="D9E2F3" w:themeFill="accent5" w:themeFillTint="33"/>
            <w:vAlign w:val="center"/>
          </w:tcPr>
          <w:p w14:paraId="7AE64502" w14:textId="77777777" w:rsidR="00622037" w:rsidRPr="00201B3F" w:rsidRDefault="00622037" w:rsidP="00D7056E">
            <w:pPr>
              <w:pStyle w:val="08-Tabelageral"/>
              <w:jc w:val="left"/>
              <w:rPr>
                <w:rFonts w:cs="Arial"/>
              </w:rPr>
            </w:pPr>
          </w:p>
        </w:tc>
        <w:tc>
          <w:tcPr>
            <w:tcW w:w="5576" w:type="dxa"/>
            <w:gridSpan w:val="3"/>
            <w:tcBorders>
              <w:top w:val="single" w:sz="2" w:space="0" w:color="8EAADB" w:themeColor="accent5" w:themeTint="99"/>
              <w:bottom w:val="nil"/>
            </w:tcBorders>
            <w:shd w:val="clear" w:color="auto" w:fill="D9E2F3" w:themeFill="accent5" w:themeFillTint="33"/>
            <w:vAlign w:val="center"/>
          </w:tcPr>
          <w:p w14:paraId="6EF25A7B" w14:textId="77777777" w:rsidR="00622037" w:rsidRPr="004A3EB4" w:rsidRDefault="00622037" w:rsidP="00D7056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4A3EB4">
              <w:rPr>
                <w:rFonts w:cs="Arial"/>
              </w:rPr>
              <w:t>Fluxo Anual</w:t>
            </w:r>
          </w:p>
        </w:tc>
      </w:tr>
      <w:tr w:rsidR="00CA160D" w:rsidRPr="001D6BE8" w14:paraId="13C227D0"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single" w:sz="2" w:space="0" w:color="8EAADB" w:themeColor="accent5" w:themeTint="99"/>
            </w:tcBorders>
          </w:tcPr>
          <w:p w14:paraId="4B66DBB7" w14:textId="77777777" w:rsidR="00CA160D" w:rsidRPr="00C806B0" w:rsidRDefault="00CA160D" w:rsidP="00CA160D">
            <w:pPr>
              <w:pStyle w:val="08-Tabelageral"/>
              <w:jc w:val="left"/>
              <w:rPr>
                <w:rFonts w:cs="Arial"/>
                <w:bCs w:val="0"/>
                <w:szCs w:val="14"/>
              </w:rPr>
            </w:pPr>
          </w:p>
        </w:tc>
        <w:tc>
          <w:tcPr>
            <w:tcW w:w="1859" w:type="dxa"/>
            <w:tcBorders>
              <w:top w:val="nil"/>
              <w:bottom w:val="single" w:sz="2" w:space="0" w:color="8EAADB" w:themeColor="accent5" w:themeTint="99"/>
            </w:tcBorders>
            <w:vAlign w:val="center"/>
          </w:tcPr>
          <w:p w14:paraId="4407E1AF" w14:textId="424D1276" w:rsidR="00CA160D" w:rsidRPr="002A6B1F" w:rsidRDefault="00CA160D" w:rsidP="00CA160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2020</w:t>
            </w:r>
          </w:p>
        </w:tc>
        <w:tc>
          <w:tcPr>
            <w:tcW w:w="1859" w:type="dxa"/>
            <w:tcBorders>
              <w:top w:val="nil"/>
              <w:bottom w:val="single" w:sz="2" w:space="0" w:color="8EAADB" w:themeColor="accent5" w:themeTint="99"/>
            </w:tcBorders>
            <w:vAlign w:val="center"/>
          </w:tcPr>
          <w:p w14:paraId="7D69C71E" w14:textId="1B6DA7C7" w:rsidR="00CA160D" w:rsidRPr="002A6B1F" w:rsidRDefault="00CA160D" w:rsidP="00CA160D">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2019</w:t>
            </w:r>
          </w:p>
        </w:tc>
        <w:tc>
          <w:tcPr>
            <w:tcW w:w="1858" w:type="dxa"/>
            <w:tcBorders>
              <w:top w:val="nil"/>
              <w:bottom w:val="single" w:sz="2" w:space="0" w:color="8EAADB" w:themeColor="accent5" w:themeTint="99"/>
            </w:tcBorders>
            <w:vAlign w:val="center"/>
          </w:tcPr>
          <w:p w14:paraId="5E08D437" w14:textId="5F05CF83" w:rsidR="00CA160D" w:rsidRPr="002A6B1F" w:rsidRDefault="00CA160D" w:rsidP="00CA160D">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2018</w:t>
            </w:r>
          </w:p>
        </w:tc>
      </w:tr>
      <w:tr w:rsidR="00CA160D" w:rsidRPr="001D6BE8" w14:paraId="2F23BF73" w14:textId="77777777" w:rsidTr="00D7056E">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bottom w:val="nil"/>
            </w:tcBorders>
          </w:tcPr>
          <w:p w14:paraId="1A7E0445" w14:textId="77777777" w:rsidR="00CA160D" w:rsidRPr="004A3EB4" w:rsidRDefault="00CA160D" w:rsidP="00CA160D">
            <w:pPr>
              <w:pStyle w:val="08-Tabelageral"/>
              <w:jc w:val="left"/>
              <w:rPr>
                <w:rFonts w:cs="Arial"/>
                <w:snapToGrid w:val="0"/>
                <w:color w:val="000000"/>
              </w:rPr>
            </w:pPr>
            <w:r w:rsidRPr="004A3EB4">
              <w:rPr>
                <w:color w:val="000000"/>
              </w:rPr>
              <w:t>Quantidade de colaboradores</w:t>
            </w:r>
          </w:p>
        </w:tc>
        <w:tc>
          <w:tcPr>
            <w:tcW w:w="1859" w:type="dxa"/>
            <w:tcBorders>
              <w:top w:val="single" w:sz="2" w:space="0" w:color="8EAADB" w:themeColor="accent5" w:themeTint="99"/>
              <w:bottom w:val="nil"/>
            </w:tcBorders>
            <w:vAlign w:val="center"/>
          </w:tcPr>
          <w:p w14:paraId="6F769D43" w14:textId="77777777" w:rsidR="00CA160D" w:rsidRPr="002A6B1F" w:rsidRDefault="00CA160D" w:rsidP="00CA160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p>
        </w:tc>
        <w:tc>
          <w:tcPr>
            <w:tcW w:w="1859" w:type="dxa"/>
            <w:tcBorders>
              <w:top w:val="single" w:sz="2" w:space="0" w:color="8EAADB" w:themeColor="accent5" w:themeTint="99"/>
              <w:bottom w:val="nil"/>
            </w:tcBorders>
            <w:vAlign w:val="center"/>
          </w:tcPr>
          <w:p w14:paraId="347BF725" w14:textId="77777777" w:rsidR="00CA160D" w:rsidRPr="002A6B1F" w:rsidRDefault="00CA160D" w:rsidP="00CA160D">
            <w:pPr>
              <w:pStyle w:val="08-Tabelageral"/>
              <w:cnfStyle w:val="000000000000" w:firstRow="0" w:lastRow="0" w:firstColumn="0" w:lastColumn="0" w:oddVBand="0" w:evenVBand="0" w:oddHBand="0" w:evenHBand="0" w:firstRowFirstColumn="0" w:firstRowLastColumn="0" w:lastRowFirstColumn="0" w:lastRowLastColumn="0"/>
              <w:rPr>
                <w:rFonts w:cs="Arial"/>
                <w:b/>
                <w:szCs w:val="14"/>
              </w:rPr>
            </w:pPr>
          </w:p>
        </w:tc>
        <w:tc>
          <w:tcPr>
            <w:tcW w:w="1858" w:type="dxa"/>
            <w:tcBorders>
              <w:top w:val="single" w:sz="2" w:space="0" w:color="8EAADB" w:themeColor="accent5" w:themeTint="99"/>
              <w:bottom w:val="nil"/>
            </w:tcBorders>
            <w:vAlign w:val="center"/>
          </w:tcPr>
          <w:p w14:paraId="12C51E2F" w14:textId="77777777" w:rsidR="00CA160D" w:rsidRPr="002A6B1F" w:rsidRDefault="00CA160D" w:rsidP="00CA160D">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rPr>
            </w:pPr>
          </w:p>
        </w:tc>
      </w:tr>
      <w:tr w:rsidR="00D63A91" w:rsidRPr="001D6BE8" w14:paraId="5A70AB1A"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09747878"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Funcionários</w:t>
            </w:r>
          </w:p>
        </w:tc>
        <w:tc>
          <w:tcPr>
            <w:tcW w:w="1859" w:type="dxa"/>
            <w:tcBorders>
              <w:top w:val="nil"/>
              <w:bottom w:val="nil"/>
            </w:tcBorders>
            <w:vAlign w:val="center"/>
          </w:tcPr>
          <w:p w14:paraId="543E5754" w14:textId="68BBA223" w:rsidR="00D63A91" w:rsidRPr="00CA160D"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FF0000"/>
              </w:rPr>
            </w:pPr>
            <w:r w:rsidRPr="00C05C7A">
              <w:rPr>
                <w:color w:val="auto"/>
              </w:rPr>
              <w:t>1</w:t>
            </w:r>
            <w:r>
              <w:rPr>
                <w:color w:val="auto"/>
              </w:rPr>
              <w:t>54</w:t>
            </w:r>
          </w:p>
        </w:tc>
        <w:tc>
          <w:tcPr>
            <w:tcW w:w="1859" w:type="dxa"/>
            <w:tcBorders>
              <w:top w:val="nil"/>
              <w:bottom w:val="nil"/>
            </w:tcBorders>
            <w:vAlign w:val="center"/>
          </w:tcPr>
          <w:p w14:paraId="76A91325" w14:textId="23850A79" w:rsidR="00D63A91" w:rsidRPr="005B4116"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000000"/>
              </w:rPr>
            </w:pPr>
            <w:r w:rsidRPr="00EC38CB">
              <w:rPr>
                <w:color w:val="auto"/>
              </w:rPr>
              <w:t>1</w:t>
            </w:r>
            <w:r>
              <w:rPr>
                <w:color w:val="auto"/>
              </w:rPr>
              <w:t>61</w:t>
            </w:r>
          </w:p>
        </w:tc>
        <w:tc>
          <w:tcPr>
            <w:tcW w:w="1858" w:type="dxa"/>
            <w:tcBorders>
              <w:top w:val="nil"/>
              <w:bottom w:val="nil"/>
            </w:tcBorders>
            <w:vAlign w:val="center"/>
          </w:tcPr>
          <w:p w14:paraId="4F506648" w14:textId="1DB10D60" w:rsidR="00D63A91" w:rsidRPr="00EC38CB"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auto"/>
              </w:rPr>
            </w:pPr>
            <w:r>
              <w:rPr>
                <w:color w:val="000000"/>
              </w:rPr>
              <w:t>151</w:t>
            </w:r>
          </w:p>
        </w:tc>
      </w:tr>
      <w:tr w:rsidR="00D63A91" w:rsidRPr="001D6BE8" w14:paraId="0FF9F6B1"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F60E135"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Contratados</w:t>
            </w:r>
          </w:p>
        </w:tc>
        <w:tc>
          <w:tcPr>
            <w:tcW w:w="1859" w:type="dxa"/>
            <w:tcBorders>
              <w:top w:val="nil"/>
              <w:bottom w:val="nil"/>
            </w:tcBorders>
            <w:vAlign w:val="center"/>
          </w:tcPr>
          <w:p w14:paraId="32AC8326" w14:textId="01481852" w:rsidR="00D63A91" w:rsidRPr="00CA160D"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FF0000"/>
              </w:rPr>
            </w:pPr>
            <w:r>
              <w:rPr>
                <w:color w:val="auto"/>
              </w:rPr>
              <w:t>20</w:t>
            </w:r>
          </w:p>
        </w:tc>
        <w:tc>
          <w:tcPr>
            <w:tcW w:w="1859" w:type="dxa"/>
            <w:tcBorders>
              <w:top w:val="nil"/>
              <w:bottom w:val="nil"/>
            </w:tcBorders>
            <w:vAlign w:val="center"/>
          </w:tcPr>
          <w:p w14:paraId="1F301AEE" w14:textId="3327BD7D" w:rsidR="00D63A91" w:rsidRPr="005B4116"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000000"/>
              </w:rPr>
            </w:pPr>
            <w:r w:rsidRPr="00EC38CB">
              <w:rPr>
                <w:color w:val="auto"/>
              </w:rPr>
              <w:t>3</w:t>
            </w:r>
            <w:r>
              <w:rPr>
                <w:color w:val="auto"/>
              </w:rPr>
              <w:t>1</w:t>
            </w:r>
          </w:p>
        </w:tc>
        <w:tc>
          <w:tcPr>
            <w:tcW w:w="1858" w:type="dxa"/>
            <w:tcBorders>
              <w:top w:val="nil"/>
              <w:bottom w:val="nil"/>
            </w:tcBorders>
            <w:vAlign w:val="center"/>
          </w:tcPr>
          <w:p w14:paraId="1385D2F0" w14:textId="2810FE71" w:rsidR="00D63A91" w:rsidRPr="00EC38CB"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auto"/>
              </w:rPr>
            </w:pPr>
            <w:r>
              <w:rPr>
                <w:color w:val="000000"/>
              </w:rPr>
              <w:t>32</w:t>
            </w:r>
          </w:p>
        </w:tc>
      </w:tr>
      <w:tr w:rsidR="00D63A91" w:rsidRPr="001D6BE8" w14:paraId="4FC55CDC"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03798BF1"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Estagiários</w:t>
            </w:r>
          </w:p>
        </w:tc>
        <w:tc>
          <w:tcPr>
            <w:tcW w:w="1859" w:type="dxa"/>
            <w:tcBorders>
              <w:top w:val="nil"/>
              <w:bottom w:val="nil"/>
            </w:tcBorders>
            <w:vAlign w:val="center"/>
          </w:tcPr>
          <w:p w14:paraId="68FA5365" w14:textId="45D9C214" w:rsidR="00D63A91" w:rsidRPr="00CA160D"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FF0000"/>
              </w:rPr>
            </w:pPr>
            <w:r>
              <w:rPr>
                <w:color w:val="auto"/>
              </w:rPr>
              <w:t>9</w:t>
            </w:r>
          </w:p>
        </w:tc>
        <w:tc>
          <w:tcPr>
            <w:tcW w:w="1859" w:type="dxa"/>
            <w:tcBorders>
              <w:top w:val="nil"/>
              <w:bottom w:val="nil"/>
            </w:tcBorders>
            <w:vAlign w:val="center"/>
          </w:tcPr>
          <w:p w14:paraId="665E4865" w14:textId="62DBDA84" w:rsidR="00D63A91" w:rsidRPr="005B4116"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000000"/>
              </w:rPr>
            </w:pPr>
            <w:r>
              <w:rPr>
                <w:color w:val="auto"/>
              </w:rPr>
              <w:t>15</w:t>
            </w:r>
          </w:p>
        </w:tc>
        <w:tc>
          <w:tcPr>
            <w:tcW w:w="1858" w:type="dxa"/>
            <w:tcBorders>
              <w:top w:val="nil"/>
              <w:bottom w:val="nil"/>
            </w:tcBorders>
            <w:vAlign w:val="center"/>
          </w:tcPr>
          <w:p w14:paraId="4A0C2A73" w14:textId="6636397B" w:rsidR="00D63A91" w:rsidRPr="00EC38CB"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auto"/>
              </w:rPr>
            </w:pPr>
            <w:r>
              <w:rPr>
                <w:color w:val="000000"/>
              </w:rPr>
              <w:t>8</w:t>
            </w:r>
          </w:p>
        </w:tc>
      </w:tr>
      <w:tr w:rsidR="00D63A91" w:rsidRPr="001D6BE8" w14:paraId="1AC065BB"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61885104"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Conselheiros</w:t>
            </w:r>
          </w:p>
        </w:tc>
        <w:tc>
          <w:tcPr>
            <w:tcW w:w="1859" w:type="dxa"/>
            <w:tcBorders>
              <w:top w:val="nil"/>
              <w:bottom w:val="nil"/>
            </w:tcBorders>
            <w:vAlign w:val="center"/>
          </w:tcPr>
          <w:p w14:paraId="4598F246" w14:textId="4DF74D43" w:rsidR="00D63A91" w:rsidRPr="00CA160D"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FF0000"/>
              </w:rPr>
            </w:pPr>
            <w:r>
              <w:rPr>
                <w:color w:val="auto"/>
              </w:rPr>
              <w:t>10</w:t>
            </w:r>
          </w:p>
        </w:tc>
        <w:tc>
          <w:tcPr>
            <w:tcW w:w="1859" w:type="dxa"/>
            <w:tcBorders>
              <w:top w:val="nil"/>
              <w:bottom w:val="nil"/>
            </w:tcBorders>
            <w:vAlign w:val="center"/>
          </w:tcPr>
          <w:p w14:paraId="17934FE2" w14:textId="6BB2F9E2" w:rsidR="00D63A91" w:rsidRPr="005B4116"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000000"/>
              </w:rPr>
            </w:pPr>
            <w:r w:rsidRPr="00EC38CB">
              <w:rPr>
                <w:color w:val="auto"/>
              </w:rPr>
              <w:t>14</w:t>
            </w:r>
          </w:p>
        </w:tc>
        <w:tc>
          <w:tcPr>
            <w:tcW w:w="1858" w:type="dxa"/>
            <w:tcBorders>
              <w:top w:val="nil"/>
              <w:bottom w:val="nil"/>
            </w:tcBorders>
            <w:vAlign w:val="center"/>
          </w:tcPr>
          <w:p w14:paraId="096C4C86" w14:textId="6393E0F3" w:rsidR="00D63A91" w:rsidRPr="00EC38CB"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auto"/>
              </w:rPr>
            </w:pPr>
            <w:r>
              <w:rPr>
                <w:color w:val="000000"/>
              </w:rPr>
              <w:t>14</w:t>
            </w:r>
          </w:p>
        </w:tc>
      </w:tr>
      <w:tr w:rsidR="00D63A91" w:rsidRPr="001D6BE8" w14:paraId="169C6AF2"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620B817C" w14:textId="77777777" w:rsidR="00D63A91" w:rsidRPr="004A3EB4" w:rsidRDefault="00D63A91" w:rsidP="00D63A91">
            <w:pPr>
              <w:pStyle w:val="08-Tabelageral"/>
              <w:jc w:val="left"/>
              <w:rPr>
                <w:rFonts w:cs="Arial"/>
                <w:snapToGrid w:val="0"/>
                <w:color w:val="000000"/>
                <w:vertAlign w:val="superscript"/>
              </w:rPr>
            </w:pPr>
            <w:r w:rsidRPr="004A3EB4">
              <w:rPr>
                <w:color w:val="000000"/>
              </w:rPr>
              <w:t xml:space="preserve">TOTAL </w:t>
            </w:r>
          </w:p>
        </w:tc>
        <w:tc>
          <w:tcPr>
            <w:tcW w:w="1859" w:type="dxa"/>
            <w:tcBorders>
              <w:top w:val="nil"/>
              <w:bottom w:val="nil"/>
            </w:tcBorders>
            <w:vAlign w:val="center"/>
          </w:tcPr>
          <w:p w14:paraId="6E7367FB" w14:textId="235BDA09" w:rsidR="00D63A91" w:rsidRPr="00CA160D"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b/>
                <w:color w:val="FF0000"/>
              </w:rPr>
            </w:pPr>
            <w:r>
              <w:rPr>
                <w:b/>
                <w:color w:val="auto"/>
              </w:rPr>
              <w:t>193</w:t>
            </w:r>
          </w:p>
        </w:tc>
        <w:tc>
          <w:tcPr>
            <w:tcW w:w="1859" w:type="dxa"/>
            <w:tcBorders>
              <w:top w:val="nil"/>
              <w:bottom w:val="nil"/>
            </w:tcBorders>
            <w:vAlign w:val="center"/>
          </w:tcPr>
          <w:p w14:paraId="5C6904A3" w14:textId="4AD9DE6B" w:rsidR="00D63A91" w:rsidRPr="005B4116"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b/>
                <w:color w:val="000000"/>
              </w:rPr>
            </w:pPr>
            <w:r w:rsidRPr="00EC38CB">
              <w:rPr>
                <w:b/>
                <w:color w:val="auto"/>
              </w:rPr>
              <w:t>2</w:t>
            </w:r>
            <w:r>
              <w:rPr>
                <w:b/>
                <w:color w:val="auto"/>
              </w:rPr>
              <w:t>21</w:t>
            </w:r>
          </w:p>
        </w:tc>
        <w:tc>
          <w:tcPr>
            <w:tcW w:w="1858" w:type="dxa"/>
            <w:tcBorders>
              <w:top w:val="nil"/>
              <w:bottom w:val="nil"/>
            </w:tcBorders>
            <w:vAlign w:val="center"/>
          </w:tcPr>
          <w:p w14:paraId="43E3D62E" w14:textId="7FDF4C00" w:rsidR="00D63A91" w:rsidRPr="00EC38CB"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b/>
                <w:color w:val="auto"/>
              </w:rPr>
            </w:pPr>
            <w:r>
              <w:rPr>
                <w:b/>
                <w:color w:val="000000"/>
              </w:rPr>
              <w:t>205</w:t>
            </w:r>
          </w:p>
        </w:tc>
      </w:tr>
      <w:tr w:rsidR="00D63A91" w:rsidRPr="001D6BE8" w14:paraId="36A96487"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09BF7D4A" w14:textId="77777777" w:rsidR="00D63A91" w:rsidRPr="004A3EB4" w:rsidRDefault="00D63A91" w:rsidP="00D63A91">
            <w:pPr>
              <w:pStyle w:val="08-Tabelageral"/>
              <w:jc w:val="left"/>
              <w:rPr>
                <w:rFonts w:cs="Arial"/>
                <w:snapToGrid w:val="0"/>
                <w:color w:val="000000"/>
              </w:rPr>
            </w:pPr>
            <w:r w:rsidRPr="004A3EB4">
              <w:rPr>
                <w:color w:val="000000"/>
              </w:rPr>
              <w:t>Sexo</w:t>
            </w:r>
          </w:p>
        </w:tc>
        <w:tc>
          <w:tcPr>
            <w:tcW w:w="1859" w:type="dxa"/>
            <w:tcBorders>
              <w:top w:val="nil"/>
              <w:bottom w:val="nil"/>
            </w:tcBorders>
            <w:vAlign w:val="center"/>
          </w:tcPr>
          <w:p w14:paraId="12363C47" w14:textId="77777777" w:rsidR="00D63A91" w:rsidRPr="00CA160D"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FF0000"/>
              </w:rPr>
            </w:pPr>
          </w:p>
        </w:tc>
        <w:tc>
          <w:tcPr>
            <w:tcW w:w="1859" w:type="dxa"/>
            <w:tcBorders>
              <w:top w:val="nil"/>
              <w:bottom w:val="nil"/>
            </w:tcBorders>
            <w:vAlign w:val="center"/>
          </w:tcPr>
          <w:p w14:paraId="45B332B4" w14:textId="77777777" w:rsidR="00D63A91" w:rsidRPr="005B4116"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000000"/>
              </w:rPr>
            </w:pPr>
          </w:p>
        </w:tc>
        <w:tc>
          <w:tcPr>
            <w:tcW w:w="1858" w:type="dxa"/>
            <w:tcBorders>
              <w:top w:val="nil"/>
              <w:bottom w:val="nil"/>
            </w:tcBorders>
            <w:vAlign w:val="center"/>
          </w:tcPr>
          <w:p w14:paraId="06AD051A" w14:textId="77777777" w:rsidR="00D63A91" w:rsidRPr="00EC38CB"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auto"/>
              </w:rPr>
            </w:pPr>
          </w:p>
        </w:tc>
      </w:tr>
      <w:tr w:rsidR="00D63A91" w:rsidRPr="001D6BE8" w14:paraId="6FA18339" w14:textId="77777777" w:rsidTr="00D7056E">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1B825DB8"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Feminino</w:t>
            </w:r>
          </w:p>
        </w:tc>
        <w:tc>
          <w:tcPr>
            <w:tcW w:w="1859" w:type="dxa"/>
            <w:tcBorders>
              <w:top w:val="nil"/>
              <w:bottom w:val="nil"/>
            </w:tcBorders>
            <w:vAlign w:val="center"/>
          </w:tcPr>
          <w:p w14:paraId="73522B0A" w14:textId="15C844D1" w:rsidR="00D63A91" w:rsidRPr="00CA160D"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FF0000"/>
              </w:rPr>
            </w:pPr>
            <w:r w:rsidRPr="00C05C7A">
              <w:rPr>
                <w:color w:val="auto"/>
              </w:rPr>
              <w:t>34%</w:t>
            </w:r>
          </w:p>
        </w:tc>
        <w:tc>
          <w:tcPr>
            <w:tcW w:w="1859" w:type="dxa"/>
            <w:tcBorders>
              <w:top w:val="nil"/>
              <w:bottom w:val="nil"/>
            </w:tcBorders>
            <w:vAlign w:val="center"/>
          </w:tcPr>
          <w:p w14:paraId="324A1E9D" w14:textId="4FAA0654" w:rsidR="00D63A91" w:rsidRPr="005B4116"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000000"/>
              </w:rPr>
            </w:pPr>
            <w:r w:rsidRPr="00EC38CB">
              <w:rPr>
                <w:color w:val="auto"/>
              </w:rPr>
              <w:t>3</w:t>
            </w:r>
            <w:r>
              <w:rPr>
                <w:color w:val="auto"/>
              </w:rPr>
              <w:t>4</w:t>
            </w:r>
            <w:r w:rsidRPr="00EC38CB">
              <w:rPr>
                <w:color w:val="auto"/>
              </w:rPr>
              <w:t>%</w:t>
            </w:r>
          </w:p>
        </w:tc>
        <w:tc>
          <w:tcPr>
            <w:tcW w:w="1858" w:type="dxa"/>
            <w:tcBorders>
              <w:top w:val="nil"/>
              <w:bottom w:val="nil"/>
            </w:tcBorders>
            <w:vAlign w:val="center"/>
          </w:tcPr>
          <w:p w14:paraId="608529CD" w14:textId="469CFDF7" w:rsidR="00D63A91" w:rsidRPr="00EC38CB"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auto"/>
              </w:rPr>
            </w:pPr>
            <w:r w:rsidRPr="005B4116">
              <w:rPr>
                <w:color w:val="000000"/>
              </w:rPr>
              <w:t>3</w:t>
            </w:r>
            <w:r>
              <w:rPr>
                <w:color w:val="000000"/>
              </w:rPr>
              <w:t>3</w:t>
            </w:r>
            <w:r w:rsidRPr="005B4116">
              <w:rPr>
                <w:color w:val="000000"/>
              </w:rPr>
              <w:t>%</w:t>
            </w:r>
          </w:p>
        </w:tc>
      </w:tr>
      <w:tr w:rsidR="00D63A91" w:rsidRPr="001D6BE8" w14:paraId="2CA60865"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234152C"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Masculino</w:t>
            </w:r>
          </w:p>
        </w:tc>
        <w:tc>
          <w:tcPr>
            <w:tcW w:w="1859" w:type="dxa"/>
            <w:tcBorders>
              <w:top w:val="nil"/>
              <w:bottom w:val="nil"/>
            </w:tcBorders>
            <w:vAlign w:val="center"/>
          </w:tcPr>
          <w:p w14:paraId="431D0F60" w14:textId="3F04CC95" w:rsidR="00D63A91" w:rsidRPr="00CA160D"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FF0000"/>
              </w:rPr>
            </w:pPr>
            <w:r w:rsidRPr="00C05C7A">
              <w:rPr>
                <w:color w:val="auto"/>
              </w:rPr>
              <w:t>66%</w:t>
            </w:r>
          </w:p>
        </w:tc>
        <w:tc>
          <w:tcPr>
            <w:tcW w:w="1859" w:type="dxa"/>
            <w:tcBorders>
              <w:top w:val="nil"/>
              <w:bottom w:val="nil"/>
            </w:tcBorders>
            <w:vAlign w:val="center"/>
          </w:tcPr>
          <w:p w14:paraId="4CE3C046" w14:textId="7C39964E" w:rsidR="00D63A91" w:rsidRPr="005B4116"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000000"/>
              </w:rPr>
            </w:pPr>
            <w:r w:rsidRPr="00EC38CB">
              <w:rPr>
                <w:color w:val="auto"/>
              </w:rPr>
              <w:t>6</w:t>
            </w:r>
            <w:r>
              <w:rPr>
                <w:color w:val="auto"/>
              </w:rPr>
              <w:t>6</w:t>
            </w:r>
            <w:r w:rsidRPr="00EC38CB">
              <w:rPr>
                <w:color w:val="auto"/>
              </w:rPr>
              <w:t>%</w:t>
            </w:r>
          </w:p>
        </w:tc>
        <w:tc>
          <w:tcPr>
            <w:tcW w:w="1858" w:type="dxa"/>
            <w:tcBorders>
              <w:top w:val="nil"/>
              <w:bottom w:val="nil"/>
            </w:tcBorders>
            <w:vAlign w:val="center"/>
          </w:tcPr>
          <w:p w14:paraId="58541492" w14:textId="13C3DABE" w:rsidR="00D63A91" w:rsidRPr="00EC38CB"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auto"/>
              </w:rPr>
            </w:pPr>
            <w:r w:rsidRPr="005B4116">
              <w:rPr>
                <w:color w:val="000000"/>
              </w:rPr>
              <w:t>6</w:t>
            </w:r>
            <w:r>
              <w:rPr>
                <w:color w:val="000000"/>
              </w:rPr>
              <w:t>7</w:t>
            </w:r>
            <w:r w:rsidRPr="005B4116">
              <w:rPr>
                <w:color w:val="000000"/>
              </w:rPr>
              <w:t>%</w:t>
            </w:r>
          </w:p>
        </w:tc>
      </w:tr>
      <w:tr w:rsidR="00D63A91" w:rsidRPr="001D6BE8" w14:paraId="62DF586C"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789CDEFC" w14:textId="77777777" w:rsidR="00D63A91" w:rsidRPr="004A3EB4" w:rsidRDefault="00D63A91" w:rsidP="00D63A91">
            <w:pPr>
              <w:pStyle w:val="08-Tabelageral"/>
              <w:jc w:val="left"/>
              <w:rPr>
                <w:rFonts w:cs="Arial"/>
                <w:snapToGrid w:val="0"/>
                <w:color w:val="000000"/>
              </w:rPr>
            </w:pPr>
            <w:r w:rsidRPr="004A3EB4">
              <w:rPr>
                <w:color w:val="000000"/>
              </w:rPr>
              <w:t>Grau de instrução dos colaboradores</w:t>
            </w:r>
          </w:p>
        </w:tc>
        <w:tc>
          <w:tcPr>
            <w:tcW w:w="1859" w:type="dxa"/>
            <w:tcBorders>
              <w:top w:val="nil"/>
              <w:bottom w:val="nil"/>
            </w:tcBorders>
            <w:vAlign w:val="center"/>
          </w:tcPr>
          <w:p w14:paraId="352350A6" w14:textId="77777777" w:rsidR="00D63A91" w:rsidRPr="00CA160D"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b/>
                <w:color w:val="FF0000"/>
              </w:rPr>
            </w:pPr>
          </w:p>
        </w:tc>
        <w:tc>
          <w:tcPr>
            <w:tcW w:w="1859" w:type="dxa"/>
            <w:tcBorders>
              <w:top w:val="nil"/>
              <w:bottom w:val="nil"/>
            </w:tcBorders>
            <w:vAlign w:val="center"/>
          </w:tcPr>
          <w:p w14:paraId="26D9C7BF" w14:textId="77777777" w:rsidR="00D63A91" w:rsidRPr="005B4116"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b/>
                <w:color w:val="000000"/>
              </w:rPr>
            </w:pPr>
          </w:p>
        </w:tc>
        <w:tc>
          <w:tcPr>
            <w:tcW w:w="1858" w:type="dxa"/>
            <w:tcBorders>
              <w:top w:val="nil"/>
              <w:bottom w:val="nil"/>
            </w:tcBorders>
            <w:vAlign w:val="center"/>
          </w:tcPr>
          <w:p w14:paraId="0BD0C341" w14:textId="77777777" w:rsidR="00D63A91" w:rsidRPr="00EC38CB"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b/>
                <w:color w:val="auto"/>
              </w:rPr>
            </w:pPr>
          </w:p>
        </w:tc>
      </w:tr>
      <w:tr w:rsidR="00D63A91" w:rsidRPr="001D6BE8" w14:paraId="5CBF4FA5"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D500FD6"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Pós-graduação</w:t>
            </w:r>
          </w:p>
        </w:tc>
        <w:tc>
          <w:tcPr>
            <w:tcW w:w="1859" w:type="dxa"/>
            <w:tcBorders>
              <w:top w:val="nil"/>
              <w:bottom w:val="nil"/>
            </w:tcBorders>
            <w:vAlign w:val="center"/>
          </w:tcPr>
          <w:p w14:paraId="737C4E18" w14:textId="362954FC" w:rsidR="00D63A91" w:rsidRPr="00CA160D"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FF0000"/>
              </w:rPr>
            </w:pPr>
            <w:r>
              <w:rPr>
                <w:color w:val="auto"/>
              </w:rPr>
              <w:t>80</w:t>
            </w:r>
            <w:r w:rsidRPr="00C05C7A">
              <w:rPr>
                <w:color w:val="auto"/>
              </w:rPr>
              <w:t>%</w:t>
            </w:r>
          </w:p>
        </w:tc>
        <w:tc>
          <w:tcPr>
            <w:tcW w:w="1859" w:type="dxa"/>
            <w:tcBorders>
              <w:top w:val="nil"/>
              <w:bottom w:val="nil"/>
            </w:tcBorders>
            <w:vAlign w:val="center"/>
          </w:tcPr>
          <w:p w14:paraId="02CCE842" w14:textId="5A353093" w:rsidR="00D63A91" w:rsidRPr="005B4116"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000000"/>
              </w:rPr>
            </w:pPr>
            <w:r>
              <w:rPr>
                <w:color w:val="auto"/>
              </w:rPr>
              <w:t>67</w:t>
            </w:r>
            <w:r w:rsidRPr="00EC38CB">
              <w:rPr>
                <w:color w:val="auto"/>
              </w:rPr>
              <w:t>%</w:t>
            </w:r>
          </w:p>
        </w:tc>
        <w:tc>
          <w:tcPr>
            <w:tcW w:w="1858" w:type="dxa"/>
            <w:tcBorders>
              <w:top w:val="nil"/>
              <w:bottom w:val="nil"/>
            </w:tcBorders>
            <w:vAlign w:val="center"/>
          </w:tcPr>
          <w:p w14:paraId="09F6D112" w14:textId="0CA265F7" w:rsidR="00D63A91" w:rsidRPr="00EC38CB"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auto"/>
              </w:rPr>
            </w:pPr>
            <w:r>
              <w:rPr>
                <w:color w:val="000000"/>
              </w:rPr>
              <w:t>77</w:t>
            </w:r>
            <w:r w:rsidRPr="005B4116">
              <w:rPr>
                <w:color w:val="000000"/>
              </w:rPr>
              <w:t>%</w:t>
            </w:r>
          </w:p>
        </w:tc>
      </w:tr>
      <w:tr w:rsidR="00D63A91" w:rsidRPr="001D6BE8" w14:paraId="13028A35" w14:textId="77777777" w:rsidTr="00D7056E">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325F4EF0"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Graduação</w:t>
            </w:r>
          </w:p>
        </w:tc>
        <w:tc>
          <w:tcPr>
            <w:tcW w:w="1859" w:type="dxa"/>
            <w:tcBorders>
              <w:top w:val="nil"/>
              <w:bottom w:val="nil"/>
            </w:tcBorders>
            <w:vAlign w:val="center"/>
          </w:tcPr>
          <w:p w14:paraId="0D642E39" w14:textId="6AAE0DC1" w:rsidR="00D63A91" w:rsidRPr="00CA160D"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FF0000"/>
              </w:rPr>
            </w:pPr>
            <w:r>
              <w:rPr>
                <w:color w:val="auto"/>
              </w:rPr>
              <w:t>13</w:t>
            </w:r>
            <w:r w:rsidRPr="00C05C7A">
              <w:rPr>
                <w:color w:val="auto"/>
              </w:rPr>
              <w:t>%</w:t>
            </w:r>
          </w:p>
        </w:tc>
        <w:tc>
          <w:tcPr>
            <w:tcW w:w="1859" w:type="dxa"/>
            <w:tcBorders>
              <w:top w:val="nil"/>
              <w:bottom w:val="nil"/>
            </w:tcBorders>
            <w:vAlign w:val="center"/>
          </w:tcPr>
          <w:p w14:paraId="574DFCCC" w14:textId="0A1E16E2" w:rsidR="00D63A91" w:rsidRPr="005B4116"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000000"/>
              </w:rPr>
            </w:pPr>
            <w:r>
              <w:rPr>
                <w:color w:val="auto"/>
              </w:rPr>
              <w:t>29</w:t>
            </w:r>
            <w:r w:rsidRPr="00EC38CB">
              <w:rPr>
                <w:color w:val="auto"/>
              </w:rPr>
              <w:t>%</w:t>
            </w:r>
          </w:p>
        </w:tc>
        <w:tc>
          <w:tcPr>
            <w:tcW w:w="1858" w:type="dxa"/>
            <w:tcBorders>
              <w:top w:val="nil"/>
              <w:bottom w:val="nil"/>
            </w:tcBorders>
            <w:vAlign w:val="center"/>
          </w:tcPr>
          <w:p w14:paraId="65E811DF" w14:textId="78623C10" w:rsidR="00D63A91" w:rsidRPr="00EC38CB"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auto"/>
              </w:rPr>
            </w:pPr>
            <w:r w:rsidRPr="005B4116">
              <w:rPr>
                <w:color w:val="000000"/>
              </w:rPr>
              <w:t>2</w:t>
            </w:r>
            <w:r>
              <w:rPr>
                <w:color w:val="000000"/>
              </w:rPr>
              <w:t>0</w:t>
            </w:r>
            <w:r w:rsidRPr="005B4116">
              <w:rPr>
                <w:color w:val="000000"/>
              </w:rPr>
              <w:t>%</w:t>
            </w:r>
          </w:p>
        </w:tc>
      </w:tr>
      <w:tr w:rsidR="00D63A91" w:rsidRPr="001D6BE8" w14:paraId="683A646B" w14:textId="77777777" w:rsidTr="00D7056E">
        <w:trPr>
          <w:trHeight w:hRule="exact" w:val="284"/>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637CBFD6" w14:textId="77777777" w:rsidR="00D63A91" w:rsidRPr="004A3EB4" w:rsidRDefault="00D63A91" w:rsidP="00D63A91">
            <w:pPr>
              <w:pStyle w:val="08-Tabelageral"/>
              <w:ind w:left="113"/>
              <w:jc w:val="left"/>
              <w:rPr>
                <w:rFonts w:cs="Arial"/>
                <w:b w:val="0"/>
                <w:snapToGrid w:val="0"/>
                <w:color w:val="000000"/>
                <w:vertAlign w:val="superscript"/>
              </w:rPr>
            </w:pPr>
            <w:r w:rsidRPr="004A3EB4">
              <w:rPr>
                <w:b w:val="0"/>
                <w:color w:val="000000"/>
              </w:rPr>
              <w:t>Ensino médio</w:t>
            </w:r>
          </w:p>
        </w:tc>
        <w:tc>
          <w:tcPr>
            <w:tcW w:w="1859" w:type="dxa"/>
            <w:tcBorders>
              <w:top w:val="nil"/>
              <w:bottom w:val="nil"/>
            </w:tcBorders>
            <w:vAlign w:val="center"/>
          </w:tcPr>
          <w:p w14:paraId="43D85181" w14:textId="32528685" w:rsidR="00D63A91" w:rsidRPr="00CA160D"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FF0000"/>
              </w:rPr>
            </w:pPr>
            <w:r>
              <w:rPr>
                <w:color w:val="auto"/>
              </w:rPr>
              <w:t>5</w:t>
            </w:r>
            <w:r w:rsidRPr="00C05C7A">
              <w:rPr>
                <w:color w:val="auto"/>
              </w:rPr>
              <w:t>%</w:t>
            </w:r>
          </w:p>
        </w:tc>
        <w:tc>
          <w:tcPr>
            <w:tcW w:w="1859" w:type="dxa"/>
            <w:tcBorders>
              <w:top w:val="nil"/>
              <w:bottom w:val="nil"/>
            </w:tcBorders>
            <w:vAlign w:val="center"/>
          </w:tcPr>
          <w:p w14:paraId="5CBB96C1" w14:textId="04C9DCB9" w:rsidR="00D63A91" w:rsidRPr="005B4116"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000000"/>
              </w:rPr>
            </w:pPr>
            <w:r w:rsidRPr="00EC38CB">
              <w:rPr>
                <w:color w:val="auto"/>
              </w:rPr>
              <w:t>3%</w:t>
            </w:r>
          </w:p>
        </w:tc>
        <w:tc>
          <w:tcPr>
            <w:tcW w:w="1858" w:type="dxa"/>
            <w:tcBorders>
              <w:top w:val="nil"/>
              <w:bottom w:val="nil"/>
            </w:tcBorders>
            <w:vAlign w:val="center"/>
          </w:tcPr>
          <w:p w14:paraId="2393629A" w14:textId="67747B7C" w:rsidR="00D63A91" w:rsidRPr="00EC38CB"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auto"/>
              </w:rPr>
            </w:pPr>
            <w:r>
              <w:rPr>
                <w:color w:val="000000"/>
              </w:rPr>
              <w:t>3</w:t>
            </w:r>
            <w:r w:rsidRPr="005B4116">
              <w:rPr>
                <w:color w:val="000000"/>
              </w:rPr>
              <w:t>%</w:t>
            </w:r>
          </w:p>
        </w:tc>
      </w:tr>
      <w:tr w:rsidR="00D63A91" w:rsidRPr="001D6BE8" w14:paraId="2E55EA3F"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32B38BC"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Outros</w:t>
            </w:r>
          </w:p>
        </w:tc>
        <w:tc>
          <w:tcPr>
            <w:tcW w:w="1859" w:type="dxa"/>
            <w:tcBorders>
              <w:top w:val="nil"/>
              <w:bottom w:val="nil"/>
            </w:tcBorders>
            <w:vAlign w:val="center"/>
          </w:tcPr>
          <w:p w14:paraId="4C2C524C" w14:textId="22FF7B41" w:rsidR="00D63A91" w:rsidRPr="00CA160D"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b/>
                <w:color w:val="FF0000"/>
              </w:rPr>
            </w:pPr>
            <w:r>
              <w:rPr>
                <w:color w:val="auto"/>
              </w:rPr>
              <w:t>2</w:t>
            </w:r>
            <w:r w:rsidRPr="00C05C7A">
              <w:rPr>
                <w:color w:val="auto"/>
              </w:rPr>
              <w:t>%</w:t>
            </w:r>
          </w:p>
        </w:tc>
        <w:tc>
          <w:tcPr>
            <w:tcW w:w="1859" w:type="dxa"/>
            <w:tcBorders>
              <w:top w:val="nil"/>
              <w:bottom w:val="nil"/>
            </w:tcBorders>
            <w:vAlign w:val="center"/>
          </w:tcPr>
          <w:p w14:paraId="5B5E0AD2" w14:textId="21507B30" w:rsidR="00D63A91" w:rsidRPr="005B4116"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b/>
                <w:color w:val="000000"/>
              </w:rPr>
            </w:pPr>
            <w:r w:rsidRPr="00EC38CB">
              <w:rPr>
                <w:color w:val="auto"/>
              </w:rPr>
              <w:t>0%</w:t>
            </w:r>
          </w:p>
        </w:tc>
        <w:tc>
          <w:tcPr>
            <w:tcW w:w="1858" w:type="dxa"/>
            <w:tcBorders>
              <w:top w:val="nil"/>
              <w:bottom w:val="nil"/>
            </w:tcBorders>
            <w:vAlign w:val="center"/>
          </w:tcPr>
          <w:p w14:paraId="41D1F2A1" w14:textId="3DF94167" w:rsidR="00D63A91" w:rsidRPr="00EC38CB"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auto"/>
              </w:rPr>
            </w:pPr>
            <w:r>
              <w:rPr>
                <w:color w:val="000000"/>
              </w:rPr>
              <w:t>0</w:t>
            </w:r>
            <w:r w:rsidRPr="005B4116">
              <w:rPr>
                <w:color w:val="000000"/>
              </w:rPr>
              <w:t>%</w:t>
            </w:r>
          </w:p>
        </w:tc>
      </w:tr>
      <w:tr w:rsidR="00D63A91" w:rsidRPr="001D6BE8" w14:paraId="3334AC88"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310851F9" w14:textId="77777777" w:rsidR="00D63A91" w:rsidRPr="004A3EB4" w:rsidRDefault="00D63A91" w:rsidP="00D63A91">
            <w:pPr>
              <w:pStyle w:val="08-Tabelageral"/>
              <w:jc w:val="left"/>
              <w:rPr>
                <w:rFonts w:cs="Arial"/>
                <w:snapToGrid w:val="0"/>
                <w:color w:val="000000"/>
              </w:rPr>
            </w:pPr>
            <w:r w:rsidRPr="004A3EB4">
              <w:rPr>
                <w:color w:val="000000"/>
              </w:rPr>
              <w:t>Faixa de Idade</w:t>
            </w:r>
          </w:p>
        </w:tc>
        <w:tc>
          <w:tcPr>
            <w:tcW w:w="1859" w:type="dxa"/>
            <w:tcBorders>
              <w:top w:val="nil"/>
              <w:bottom w:val="nil"/>
            </w:tcBorders>
            <w:vAlign w:val="center"/>
          </w:tcPr>
          <w:p w14:paraId="273D8431" w14:textId="77777777" w:rsidR="00D63A91" w:rsidRPr="00CA160D"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FF0000"/>
              </w:rPr>
            </w:pPr>
          </w:p>
        </w:tc>
        <w:tc>
          <w:tcPr>
            <w:tcW w:w="1859" w:type="dxa"/>
            <w:tcBorders>
              <w:top w:val="nil"/>
              <w:bottom w:val="nil"/>
            </w:tcBorders>
            <w:vAlign w:val="center"/>
          </w:tcPr>
          <w:p w14:paraId="7E051141" w14:textId="77777777" w:rsidR="00D63A91" w:rsidRPr="005B4116"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000000"/>
              </w:rPr>
            </w:pPr>
          </w:p>
        </w:tc>
        <w:tc>
          <w:tcPr>
            <w:tcW w:w="1858" w:type="dxa"/>
            <w:tcBorders>
              <w:top w:val="nil"/>
              <w:bottom w:val="nil"/>
            </w:tcBorders>
            <w:vAlign w:val="center"/>
          </w:tcPr>
          <w:p w14:paraId="2373F96E" w14:textId="77777777" w:rsidR="00D63A91" w:rsidRPr="00EC38CB"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auto"/>
              </w:rPr>
            </w:pPr>
          </w:p>
        </w:tc>
      </w:tr>
      <w:tr w:rsidR="00D63A91" w:rsidRPr="001D6BE8" w14:paraId="2D1EAA97"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06CBA065" w14:textId="77777777" w:rsidR="00D63A91" w:rsidRPr="004A3EB4" w:rsidRDefault="00D63A91" w:rsidP="00D63A91">
            <w:pPr>
              <w:pStyle w:val="08-Tabelageral"/>
              <w:ind w:left="113"/>
              <w:jc w:val="left"/>
              <w:rPr>
                <w:rFonts w:cs="Arial"/>
                <w:b w:val="0"/>
                <w:snapToGrid w:val="0"/>
                <w:color w:val="000000"/>
                <w:vertAlign w:val="superscript"/>
              </w:rPr>
            </w:pPr>
            <w:r w:rsidRPr="004A3EB4">
              <w:rPr>
                <w:b w:val="0"/>
                <w:color w:val="000000"/>
              </w:rPr>
              <w:t>Abaixo de 30 anos</w:t>
            </w:r>
          </w:p>
        </w:tc>
        <w:tc>
          <w:tcPr>
            <w:tcW w:w="1859" w:type="dxa"/>
            <w:tcBorders>
              <w:top w:val="nil"/>
              <w:bottom w:val="nil"/>
            </w:tcBorders>
            <w:vAlign w:val="center"/>
          </w:tcPr>
          <w:p w14:paraId="4CD50501" w14:textId="3E282569" w:rsidR="00D63A91" w:rsidRPr="00CA160D"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FF0000"/>
              </w:rPr>
            </w:pPr>
            <w:r>
              <w:rPr>
                <w:color w:val="auto"/>
              </w:rPr>
              <w:t>4</w:t>
            </w:r>
            <w:r w:rsidRPr="00C05C7A">
              <w:rPr>
                <w:color w:val="auto"/>
              </w:rPr>
              <w:t>%</w:t>
            </w:r>
          </w:p>
        </w:tc>
        <w:tc>
          <w:tcPr>
            <w:tcW w:w="1859" w:type="dxa"/>
            <w:tcBorders>
              <w:top w:val="nil"/>
              <w:bottom w:val="nil"/>
            </w:tcBorders>
            <w:vAlign w:val="center"/>
          </w:tcPr>
          <w:p w14:paraId="232DC7B0" w14:textId="548AFC26" w:rsidR="00D63A91" w:rsidRPr="005B4116"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000000"/>
              </w:rPr>
            </w:pPr>
            <w:r>
              <w:rPr>
                <w:color w:val="auto"/>
              </w:rPr>
              <w:t>17</w:t>
            </w:r>
            <w:r w:rsidRPr="00EC38CB">
              <w:rPr>
                <w:color w:val="auto"/>
              </w:rPr>
              <w:t>%</w:t>
            </w:r>
          </w:p>
        </w:tc>
        <w:tc>
          <w:tcPr>
            <w:tcW w:w="1858" w:type="dxa"/>
            <w:tcBorders>
              <w:top w:val="nil"/>
              <w:bottom w:val="nil"/>
            </w:tcBorders>
            <w:vAlign w:val="center"/>
          </w:tcPr>
          <w:p w14:paraId="2E5279FD" w14:textId="314B76A7" w:rsidR="00D63A91" w:rsidRPr="00EC38CB"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auto"/>
              </w:rPr>
            </w:pPr>
            <w:r w:rsidRPr="005B4116">
              <w:rPr>
                <w:color w:val="000000"/>
              </w:rPr>
              <w:t>8%</w:t>
            </w:r>
          </w:p>
        </w:tc>
      </w:tr>
      <w:tr w:rsidR="00D63A91" w:rsidRPr="001D6BE8" w14:paraId="117A9971" w14:textId="77777777" w:rsidTr="00D7056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0C8327DE"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Entre 30 e 50 anos</w:t>
            </w:r>
          </w:p>
        </w:tc>
        <w:tc>
          <w:tcPr>
            <w:tcW w:w="1859" w:type="dxa"/>
            <w:tcBorders>
              <w:top w:val="nil"/>
              <w:bottom w:val="nil"/>
            </w:tcBorders>
            <w:vAlign w:val="center"/>
          </w:tcPr>
          <w:p w14:paraId="1E9D2E4A" w14:textId="252FFAD9" w:rsidR="00D63A91" w:rsidRPr="00CA160D"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FF0000"/>
              </w:rPr>
            </w:pPr>
            <w:r w:rsidRPr="00C05C7A">
              <w:rPr>
                <w:color w:val="auto"/>
              </w:rPr>
              <w:t>75%</w:t>
            </w:r>
          </w:p>
        </w:tc>
        <w:tc>
          <w:tcPr>
            <w:tcW w:w="1859" w:type="dxa"/>
            <w:tcBorders>
              <w:top w:val="nil"/>
              <w:bottom w:val="nil"/>
            </w:tcBorders>
            <w:vAlign w:val="center"/>
          </w:tcPr>
          <w:p w14:paraId="0F05A108" w14:textId="078C806D" w:rsidR="00D63A91" w:rsidRPr="005B4116"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b/>
                <w:color w:val="000000"/>
              </w:rPr>
            </w:pPr>
            <w:r>
              <w:rPr>
                <w:color w:val="auto"/>
              </w:rPr>
              <w:t>75</w:t>
            </w:r>
            <w:r w:rsidRPr="00EC38CB">
              <w:rPr>
                <w:color w:val="auto"/>
              </w:rPr>
              <w:t>%</w:t>
            </w:r>
          </w:p>
        </w:tc>
        <w:tc>
          <w:tcPr>
            <w:tcW w:w="1858" w:type="dxa"/>
            <w:tcBorders>
              <w:top w:val="nil"/>
              <w:bottom w:val="nil"/>
            </w:tcBorders>
            <w:vAlign w:val="center"/>
          </w:tcPr>
          <w:p w14:paraId="65FF62B5" w14:textId="6A9D3CC3" w:rsidR="00D63A91" w:rsidRPr="00EC38CB" w:rsidRDefault="00D63A91" w:rsidP="00D63A91">
            <w:pPr>
              <w:pStyle w:val="08-Tabelageral"/>
              <w:jc w:val="center"/>
              <w:cnfStyle w:val="000000000000" w:firstRow="0" w:lastRow="0" w:firstColumn="0" w:lastColumn="0" w:oddVBand="0" w:evenVBand="0" w:oddHBand="0" w:evenHBand="0" w:firstRowFirstColumn="0" w:firstRowLastColumn="0" w:lastRowFirstColumn="0" w:lastRowLastColumn="0"/>
              <w:rPr>
                <w:color w:val="auto"/>
              </w:rPr>
            </w:pPr>
            <w:r>
              <w:rPr>
                <w:color w:val="000000"/>
              </w:rPr>
              <w:t>88</w:t>
            </w:r>
            <w:r w:rsidRPr="005B4116">
              <w:rPr>
                <w:color w:val="000000"/>
              </w:rPr>
              <w:t>%</w:t>
            </w:r>
          </w:p>
        </w:tc>
      </w:tr>
      <w:tr w:rsidR="00D63A91" w:rsidRPr="001D6BE8" w14:paraId="08B29B6E"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tcPr>
          <w:p w14:paraId="275D35CE" w14:textId="77777777" w:rsidR="00D63A91" w:rsidRPr="004A3EB4" w:rsidRDefault="00D63A91" w:rsidP="00D63A91">
            <w:pPr>
              <w:pStyle w:val="08-Tabelageral"/>
              <w:ind w:left="113"/>
              <w:jc w:val="left"/>
              <w:rPr>
                <w:rFonts w:cs="Arial"/>
                <w:b w:val="0"/>
                <w:snapToGrid w:val="0"/>
                <w:color w:val="000000"/>
              </w:rPr>
            </w:pPr>
            <w:r w:rsidRPr="004A3EB4">
              <w:rPr>
                <w:b w:val="0"/>
                <w:color w:val="000000"/>
              </w:rPr>
              <w:t>Acima de 50 anos</w:t>
            </w:r>
          </w:p>
        </w:tc>
        <w:tc>
          <w:tcPr>
            <w:tcW w:w="1859" w:type="dxa"/>
            <w:tcBorders>
              <w:top w:val="nil"/>
              <w:bottom w:val="nil"/>
            </w:tcBorders>
            <w:vAlign w:val="center"/>
          </w:tcPr>
          <w:p w14:paraId="3DE5EAB1" w14:textId="3CB7182C" w:rsidR="00D63A91" w:rsidRPr="00CA160D"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FF0000"/>
              </w:rPr>
            </w:pPr>
            <w:r>
              <w:rPr>
                <w:color w:val="auto"/>
              </w:rPr>
              <w:t>21</w:t>
            </w:r>
            <w:r w:rsidRPr="00C05C7A">
              <w:rPr>
                <w:color w:val="auto"/>
              </w:rPr>
              <w:t>%</w:t>
            </w:r>
          </w:p>
        </w:tc>
        <w:tc>
          <w:tcPr>
            <w:tcW w:w="1859" w:type="dxa"/>
            <w:tcBorders>
              <w:top w:val="nil"/>
              <w:bottom w:val="nil"/>
            </w:tcBorders>
            <w:vAlign w:val="center"/>
          </w:tcPr>
          <w:p w14:paraId="38694D63" w14:textId="4C4ACC4A" w:rsidR="00D63A91" w:rsidRPr="005B4116"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000000"/>
              </w:rPr>
            </w:pPr>
            <w:r>
              <w:rPr>
                <w:color w:val="auto"/>
              </w:rPr>
              <w:t>8</w:t>
            </w:r>
            <w:r w:rsidRPr="00EC38CB">
              <w:rPr>
                <w:color w:val="auto"/>
              </w:rPr>
              <w:t>%</w:t>
            </w:r>
          </w:p>
        </w:tc>
        <w:tc>
          <w:tcPr>
            <w:tcW w:w="1858" w:type="dxa"/>
            <w:tcBorders>
              <w:top w:val="nil"/>
              <w:bottom w:val="nil"/>
            </w:tcBorders>
            <w:vAlign w:val="center"/>
          </w:tcPr>
          <w:p w14:paraId="3ACA9493" w14:textId="53CB2723" w:rsidR="00D63A91" w:rsidRPr="00EC38CB"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color w:val="auto"/>
              </w:rPr>
            </w:pPr>
            <w:r>
              <w:rPr>
                <w:color w:val="000000"/>
              </w:rPr>
              <w:t>4</w:t>
            </w:r>
            <w:r w:rsidRPr="005B4116">
              <w:rPr>
                <w:color w:val="000000"/>
              </w:rPr>
              <w:t>%</w:t>
            </w:r>
          </w:p>
        </w:tc>
      </w:tr>
    </w:tbl>
    <w:p w14:paraId="76B55F98" w14:textId="14259E0A" w:rsidR="005507F9" w:rsidRDefault="00A56D8E" w:rsidP="00A56D8E">
      <w:pPr>
        <w:pStyle w:val="07-Legenda"/>
        <w:numPr>
          <w:ilvl w:val="0"/>
          <w:numId w:val="24"/>
        </w:numPr>
        <w:ind w:left="0" w:firstLine="0"/>
        <w:rPr>
          <w:color w:val="000000"/>
        </w:rPr>
      </w:pPr>
      <w:r w:rsidRPr="00A56D8E">
        <w:rPr>
          <w:color w:val="000000"/>
        </w:rPr>
        <w:t>Celetistas e Estatutários</w:t>
      </w:r>
    </w:p>
    <w:p w14:paraId="022CAFAB" w14:textId="32AD48B7" w:rsidR="00A56D8E" w:rsidRPr="00A56D8E" w:rsidRDefault="00A56D8E" w:rsidP="00A56D8E">
      <w:pPr>
        <w:pStyle w:val="07-Legenda"/>
        <w:numPr>
          <w:ilvl w:val="0"/>
          <w:numId w:val="24"/>
        </w:numPr>
        <w:ind w:left="0" w:firstLine="0"/>
        <w:rPr>
          <w:color w:val="000000"/>
        </w:rPr>
      </w:pPr>
      <w:r w:rsidRPr="00A56D8E">
        <w:rPr>
          <w:color w:val="000000"/>
        </w:rPr>
        <w:t>Os percentuais referentes à sexo, grau de instrução e faixa de idade, foram calculados com base no número total de colaboradores (funcionários, contratados, estagiários e conselheiros).</w:t>
      </w:r>
    </w:p>
    <w:p w14:paraId="54D7DAEC" w14:textId="43A3315C" w:rsidR="00133430" w:rsidRDefault="00133430">
      <w:pPr>
        <w:spacing w:after="160" w:line="259" w:lineRule="auto"/>
        <w:rPr>
          <w:rFonts w:ascii="Arial" w:hAnsi="Arial" w:cs="Arial"/>
          <w:color w:val="000000"/>
          <w:sz w:val="18"/>
          <w:szCs w:val="18"/>
        </w:rPr>
      </w:pPr>
      <w:r>
        <w:rPr>
          <w:rFonts w:ascii="Arial" w:hAnsi="Arial" w:cs="Arial"/>
          <w:color w:val="000000"/>
          <w:sz w:val="18"/>
          <w:szCs w:val="18"/>
        </w:rPr>
        <w:br w:type="page"/>
      </w:r>
    </w:p>
    <w:p w14:paraId="17AA1C80" w14:textId="7BF5ABAA" w:rsidR="008E1721" w:rsidRPr="0063302F" w:rsidRDefault="008E1721" w:rsidP="008E1721">
      <w:pPr>
        <w:tabs>
          <w:tab w:val="left" w:pos="1175"/>
        </w:tabs>
        <w:spacing w:before="120" w:after="120"/>
        <w:jc w:val="both"/>
        <w:rPr>
          <w:rFonts w:ascii="Arial" w:hAnsi="Arial" w:cs="Arial"/>
          <w:b/>
          <w:color w:val="254E79"/>
          <w:sz w:val="18"/>
          <w:szCs w:val="18"/>
        </w:rPr>
      </w:pPr>
      <w:r w:rsidRPr="0063302F">
        <w:rPr>
          <w:rFonts w:ascii="Arial" w:hAnsi="Arial" w:cs="Arial"/>
          <w:b/>
          <w:color w:val="254E79"/>
          <w:sz w:val="18"/>
          <w:szCs w:val="18"/>
        </w:rPr>
        <w:t>Recrutamento e Seleção</w:t>
      </w:r>
    </w:p>
    <w:p w14:paraId="622A4E1D" w14:textId="7523ABBE" w:rsidR="008E1721" w:rsidRPr="00992222" w:rsidRDefault="008E1721" w:rsidP="008E1721">
      <w:pPr>
        <w:tabs>
          <w:tab w:val="left" w:pos="1175"/>
        </w:tabs>
        <w:spacing w:before="120" w:after="120"/>
        <w:jc w:val="both"/>
        <w:rPr>
          <w:rFonts w:ascii="Arial" w:hAnsi="Arial" w:cs="Arial"/>
          <w:color w:val="000000"/>
          <w:sz w:val="18"/>
          <w:szCs w:val="18"/>
        </w:rPr>
      </w:pPr>
      <w:r>
        <w:rPr>
          <w:rFonts w:ascii="Arial" w:hAnsi="Arial" w:cs="Arial"/>
          <w:color w:val="000000"/>
          <w:sz w:val="18"/>
          <w:szCs w:val="18"/>
        </w:rPr>
        <w:t>Apesar do cenário adverso enfrentado em 2020, a Companhia deu continuidade ao modelo de recrutamento e seleção, priorizando o aproveitamento dos talentos da empresa e realizando processo seletivo com participação de candidatos do BB apenas quando não são identificados, internamente, funcionários com o perfil necessário para o exercício da função a ser preenchida</w:t>
      </w:r>
      <w:r w:rsidRPr="00A14DFF">
        <w:rPr>
          <w:rFonts w:ascii="Arial" w:hAnsi="Arial" w:cs="Arial"/>
          <w:color w:val="000000"/>
          <w:sz w:val="18"/>
          <w:szCs w:val="18"/>
        </w:rPr>
        <w:t xml:space="preserve">. </w:t>
      </w:r>
      <w:r>
        <w:rPr>
          <w:rFonts w:ascii="Arial" w:hAnsi="Arial" w:cs="Arial"/>
          <w:color w:val="000000"/>
          <w:sz w:val="18"/>
          <w:szCs w:val="18"/>
        </w:rPr>
        <w:t xml:space="preserve">Este modelo, além de valorizar os funcionários da empresa, busca gerir o conhecimento e reduzir a curva de aprendizagem e o custo de realização de processos seletivos externos. </w:t>
      </w:r>
    </w:p>
    <w:p w14:paraId="0C03A3E0" w14:textId="77777777" w:rsidR="008E1721" w:rsidRDefault="008E1721" w:rsidP="008E1721">
      <w:pPr>
        <w:tabs>
          <w:tab w:val="left" w:pos="1175"/>
        </w:tabs>
        <w:spacing w:before="120" w:after="120"/>
        <w:jc w:val="both"/>
        <w:rPr>
          <w:rFonts w:ascii="Arial" w:hAnsi="Arial" w:cs="Arial"/>
          <w:color w:val="000000"/>
          <w:sz w:val="18"/>
          <w:szCs w:val="18"/>
        </w:rPr>
      </w:pPr>
      <w:r w:rsidRPr="00397C6B">
        <w:rPr>
          <w:rFonts w:ascii="Arial" w:hAnsi="Arial" w:cs="Arial"/>
          <w:color w:val="000000"/>
          <w:sz w:val="18"/>
          <w:szCs w:val="18"/>
        </w:rPr>
        <w:t>Entre processos internos, externos e mistos, foram preenchidas 9 vagas em 2020, sendo 7 em processos externos e 2</w:t>
      </w:r>
      <w:r w:rsidRPr="00A01FDB">
        <w:rPr>
          <w:rFonts w:ascii="Arial" w:hAnsi="Arial" w:cs="Arial"/>
          <w:color w:val="000000"/>
          <w:sz w:val="18"/>
          <w:szCs w:val="18"/>
        </w:rPr>
        <w:t xml:space="preserve"> nomeações diretas em ascensões – estes últimos, por atenderem prontamente aos perfis profissiográficos definidos e aos demais pré-requisitos exigidos às respectivas vagas.</w:t>
      </w:r>
    </w:p>
    <w:p w14:paraId="7E3EE6D5" w14:textId="74B06201" w:rsidR="005B2A55" w:rsidRDefault="005B2A55" w:rsidP="005B2A55">
      <w:pPr>
        <w:tabs>
          <w:tab w:val="left" w:pos="1175"/>
        </w:tabs>
        <w:spacing w:before="120" w:after="120"/>
        <w:jc w:val="both"/>
        <w:rPr>
          <w:rFonts w:ascii="Arial" w:hAnsi="Arial" w:cs="Arial"/>
          <w:color w:val="000000"/>
          <w:sz w:val="18"/>
          <w:szCs w:val="18"/>
        </w:rPr>
      </w:pPr>
    </w:p>
    <w:p w14:paraId="4D20ADAB" w14:textId="77777777" w:rsidR="008E1721" w:rsidRPr="0063302F" w:rsidRDefault="008E1721" w:rsidP="008E1721">
      <w:pPr>
        <w:tabs>
          <w:tab w:val="left" w:pos="1175"/>
        </w:tabs>
        <w:spacing w:before="120" w:after="120"/>
        <w:jc w:val="both"/>
        <w:rPr>
          <w:rFonts w:ascii="Arial" w:hAnsi="Arial" w:cs="Arial"/>
          <w:b/>
          <w:color w:val="254E79"/>
          <w:sz w:val="18"/>
          <w:szCs w:val="18"/>
        </w:rPr>
      </w:pPr>
      <w:r w:rsidRPr="0063302F">
        <w:rPr>
          <w:rFonts w:ascii="Arial" w:hAnsi="Arial" w:cs="Arial"/>
          <w:b/>
          <w:color w:val="254E79"/>
          <w:sz w:val="18"/>
          <w:szCs w:val="18"/>
        </w:rPr>
        <w:t>Treinamento e Desenvolvimento</w:t>
      </w:r>
    </w:p>
    <w:p w14:paraId="16D54D3A" w14:textId="57EB7D59" w:rsidR="008E1721" w:rsidRDefault="005B2A55" w:rsidP="008E1721">
      <w:pPr>
        <w:tabs>
          <w:tab w:val="left" w:pos="1175"/>
        </w:tabs>
        <w:spacing w:before="120" w:after="120"/>
        <w:jc w:val="both"/>
        <w:rPr>
          <w:rFonts w:ascii="Arial" w:hAnsi="Arial" w:cs="Arial"/>
          <w:color w:val="000000"/>
          <w:sz w:val="18"/>
          <w:szCs w:val="18"/>
        </w:rPr>
      </w:pPr>
      <w:r w:rsidRPr="00C20042">
        <w:rPr>
          <w:rFonts w:ascii="Arial" w:hAnsi="Arial" w:cs="Arial"/>
          <w:color w:val="000000"/>
          <w:sz w:val="18"/>
          <w:szCs w:val="18"/>
        </w:rPr>
        <w:t xml:space="preserve">Reforçando a importância que a BB Seguridade confere ao desenvolvimento dos colaboradores, foram investidos em </w:t>
      </w:r>
      <w:r w:rsidRPr="008F5D92">
        <w:rPr>
          <w:rFonts w:ascii="Arial" w:hAnsi="Arial" w:cs="Arial"/>
          <w:color w:val="000000"/>
          <w:sz w:val="18"/>
          <w:szCs w:val="18"/>
        </w:rPr>
        <w:t>20</w:t>
      </w:r>
      <w:r>
        <w:rPr>
          <w:rFonts w:ascii="Arial" w:hAnsi="Arial" w:cs="Arial"/>
          <w:color w:val="000000"/>
          <w:sz w:val="18"/>
          <w:szCs w:val="18"/>
        </w:rPr>
        <w:t>20</w:t>
      </w:r>
      <w:r w:rsidRPr="008F5D92">
        <w:rPr>
          <w:rFonts w:ascii="Arial" w:hAnsi="Arial" w:cs="Arial"/>
          <w:color w:val="000000"/>
          <w:sz w:val="18"/>
          <w:szCs w:val="18"/>
        </w:rPr>
        <w:t xml:space="preserve"> </w:t>
      </w:r>
      <w:r w:rsidRPr="00A56D8E">
        <w:rPr>
          <w:rFonts w:ascii="Arial" w:hAnsi="Arial" w:cs="Arial"/>
          <w:color w:val="000000"/>
          <w:sz w:val="18"/>
          <w:szCs w:val="18"/>
        </w:rPr>
        <w:t xml:space="preserve">aproximadamente </w:t>
      </w:r>
      <w:r w:rsidRPr="009B7402">
        <w:rPr>
          <w:rFonts w:ascii="Arial" w:hAnsi="Arial" w:cs="Arial"/>
          <w:color w:val="000000"/>
          <w:sz w:val="18"/>
          <w:szCs w:val="18"/>
        </w:rPr>
        <w:t xml:space="preserve">R$ </w:t>
      </w:r>
      <w:r w:rsidR="008E1721" w:rsidRPr="009B7402">
        <w:rPr>
          <w:rFonts w:ascii="Arial" w:hAnsi="Arial" w:cs="Arial"/>
          <w:color w:val="000000"/>
          <w:sz w:val="18"/>
          <w:szCs w:val="18"/>
        </w:rPr>
        <w:t xml:space="preserve">834 </w:t>
      </w:r>
      <w:r w:rsidRPr="009B7402">
        <w:rPr>
          <w:rFonts w:ascii="Arial" w:hAnsi="Arial" w:cs="Arial"/>
          <w:color w:val="000000"/>
          <w:sz w:val="18"/>
          <w:szCs w:val="18"/>
        </w:rPr>
        <w:t>mil (o que representa 1,</w:t>
      </w:r>
      <w:r w:rsidR="008E1721" w:rsidRPr="009B7402">
        <w:rPr>
          <w:rFonts w:ascii="Arial" w:hAnsi="Arial" w:cs="Arial"/>
          <w:color w:val="000000"/>
          <w:sz w:val="18"/>
          <w:szCs w:val="18"/>
        </w:rPr>
        <w:t>44</w:t>
      </w:r>
      <w:r w:rsidRPr="009B7402">
        <w:rPr>
          <w:rFonts w:ascii="Arial" w:hAnsi="Arial" w:cs="Arial"/>
          <w:color w:val="000000"/>
          <w:sz w:val="18"/>
          <w:szCs w:val="18"/>
        </w:rPr>
        <w:t>% do o</w:t>
      </w:r>
      <w:r w:rsidRPr="00A56D8E">
        <w:rPr>
          <w:rFonts w:ascii="Arial" w:hAnsi="Arial" w:cs="Arial"/>
          <w:color w:val="000000"/>
          <w:sz w:val="18"/>
          <w:szCs w:val="18"/>
        </w:rPr>
        <w:t>rçamento de despesas de pessoal)</w:t>
      </w:r>
      <w:r w:rsidRPr="001A5A3B">
        <w:rPr>
          <w:rFonts w:ascii="Arial" w:hAnsi="Arial" w:cs="Arial"/>
          <w:color w:val="000000"/>
          <w:sz w:val="18"/>
          <w:szCs w:val="18"/>
        </w:rPr>
        <w:t xml:space="preserve"> em</w:t>
      </w:r>
      <w:r w:rsidRPr="00383D07">
        <w:rPr>
          <w:rFonts w:ascii="Arial" w:hAnsi="Arial" w:cs="Arial"/>
          <w:color w:val="000000"/>
          <w:sz w:val="18"/>
          <w:szCs w:val="18"/>
        </w:rPr>
        <w:t xml:space="preserve"> treinamentos e</w:t>
      </w:r>
      <w:r>
        <w:rPr>
          <w:rFonts w:ascii="Arial" w:hAnsi="Arial" w:cs="Arial"/>
          <w:color w:val="000000"/>
          <w:sz w:val="18"/>
          <w:szCs w:val="18"/>
        </w:rPr>
        <w:t xml:space="preserve"> subsídios de até 80% em</w:t>
      </w:r>
      <w:r w:rsidRPr="00383D07">
        <w:rPr>
          <w:rFonts w:ascii="Arial" w:hAnsi="Arial" w:cs="Arial"/>
          <w:color w:val="000000"/>
          <w:sz w:val="18"/>
          <w:szCs w:val="18"/>
        </w:rPr>
        <w:t xml:space="preserve"> bo</w:t>
      </w:r>
      <w:r>
        <w:rPr>
          <w:rFonts w:ascii="Arial" w:hAnsi="Arial" w:cs="Arial"/>
          <w:color w:val="000000"/>
          <w:sz w:val="18"/>
          <w:szCs w:val="18"/>
        </w:rPr>
        <w:t xml:space="preserve">lsas de pós-graduação e idiomas. </w:t>
      </w:r>
      <w:r w:rsidRPr="00AD1C7F">
        <w:rPr>
          <w:rFonts w:ascii="Arial" w:hAnsi="Arial" w:cs="Arial"/>
          <w:color w:val="000000"/>
          <w:sz w:val="18"/>
          <w:szCs w:val="18"/>
        </w:rPr>
        <w:t xml:space="preserve">Para os cursos de pós-graduação, os colaboradores podem, ainda, </w:t>
      </w:r>
      <w:r>
        <w:rPr>
          <w:rFonts w:ascii="Arial" w:hAnsi="Arial" w:cs="Arial"/>
          <w:color w:val="000000"/>
          <w:sz w:val="18"/>
          <w:szCs w:val="18"/>
        </w:rPr>
        <w:t xml:space="preserve">valer-se de </w:t>
      </w:r>
      <w:r w:rsidRPr="00AD1C7F">
        <w:rPr>
          <w:rFonts w:ascii="Arial" w:hAnsi="Arial" w:cs="Arial"/>
          <w:color w:val="000000"/>
          <w:sz w:val="18"/>
          <w:szCs w:val="18"/>
        </w:rPr>
        <w:t>ausência</w:t>
      </w:r>
      <w:r>
        <w:rPr>
          <w:rFonts w:ascii="Arial" w:hAnsi="Arial" w:cs="Arial"/>
          <w:color w:val="000000"/>
          <w:sz w:val="18"/>
          <w:szCs w:val="18"/>
        </w:rPr>
        <w:t>s</w:t>
      </w:r>
      <w:r w:rsidRPr="00AD1C7F">
        <w:rPr>
          <w:rFonts w:ascii="Arial" w:hAnsi="Arial" w:cs="Arial"/>
          <w:color w:val="000000"/>
          <w:sz w:val="18"/>
          <w:szCs w:val="18"/>
        </w:rPr>
        <w:t xml:space="preserve"> autorizada</w:t>
      </w:r>
      <w:r>
        <w:rPr>
          <w:rFonts w:ascii="Arial" w:hAnsi="Arial" w:cs="Arial"/>
          <w:color w:val="000000"/>
          <w:sz w:val="18"/>
          <w:szCs w:val="18"/>
        </w:rPr>
        <w:t>s</w:t>
      </w:r>
      <w:r w:rsidRPr="00AD1C7F">
        <w:rPr>
          <w:rFonts w:ascii="Arial" w:hAnsi="Arial" w:cs="Arial"/>
          <w:color w:val="000000"/>
          <w:sz w:val="18"/>
          <w:szCs w:val="18"/>
        </w:rPr>
        <w:t>, com o objetivo de finalizar o trabalho de conclusão de curso.</w:t>
      </w:r>
      <w:r>
        <w:rPr>
          <w:rFonts w:ascii="Arial" w:hAnsi="Arial" w:cs="Arial"/>
          <w:color w:val="000000"/>
          <w:sz w:val="18"/>
          <w:szCs w:val="18"/>
        </w:rPr>
        <w:t xml:space="preserve"> </w:t>
      </w:r>
    </w:p>
    <w:p w14:paraId="0027ABCC" w14:textId="3DB0DA9E" w:rsidR="008E1721" w:rsidRDefault="008E1721" w:rsidP="008E1721">
      <w:pPr>
        <w:tabs>
          <w:tab w:val="left" w:pos="1175"/>
        </w:tabs>
        <w:spacing w:before="120" w:after="120"/>
        <w:jc w:val="both"/>
        <w:rPr>
          <w:rFonts w:ascii="Arial" w:hAnsi="Arial" w:cs="Arial"/>
          <w:color w:val="000000"/>
          <w:sz w:val="18"/>
          <w:szCs w:val="18"/>
        </w:rPr>
      </w:pPr>
      <w:r>
        <w:rPr>
          <w:rFonts w:ascii="Arial" w:hAnsi="Arial" w:cs="Arial"/>
          <w:color w:val="000000"/>
          <w:sz w:val="18"/>
          <w:szCs w:val="18"/>
        </w:rPr>
        <w:t xml:space="preserve">Ao longo de 2020, os principais </w:t>
      </w:r>
      <w:r w:rsidR="001649ED">
        <w:rPr>
          <w:rFonts w:ascii="Arial" w:hAnsi="Arial" w:cs="Arial"/>
          <w:color w:val="000000"/>
          <w:sz w:val="18"/>
          <w:szCs w:val="18"/>
        </w:rPr>
        <w:t>treinamentos</w:t>
      </w:r>
      <w:r>
        <w:rPr>
          <w:rFonts w:ascii="Arial" w:hAnsi="Arial" w:cs="Arial"/>
          <w:color w:val="000000"/>
          <w:sz w:val="18"/>
          <w:szCs w:val="18"/>
        </w:rPr>
        <w:t xml:space="preserve"> que fizeram parte do P</w:t>
      </w:r>
      <w:r w:rsidR="001649ED">
        <w:rPr>
          <w:rFonts w:ascii="Arial" w:hAnsi="Arial" w:cs="Arial"/>
          <w:color w:val="000000"/>
          <w:sz w:val="18"/>
          <w:szCs w:val="18"/>
        </w:rPr>
        <w:t>lano de Desenvolvimento Corporativo (PDC) foram</w:t>
      </w:r>
      <w:r>
        <w:rPr>
          <w:rFonts w:ascii="Arial" w:hAnsi="Arial" w:cs="Arial"/>
          <w:color w:val="000000"/>
          <w:sz w:val="18"/>
          <w:szCs w:val="18"/>
        </w:rPr>
        <w:t xml:space="preserve">: (i) Programa Data </w:t>
      </w:r>
      <w:proofErr w:type="spellStart"/>
      <w:r>
        <w:rPr>
          <w:rFonts w:ascii="Arial" w:hAnsi="Arial" w:cs="Arial"/>
          <w:color w:val="000000"/>
          <w:sz w:val="18"/>
          <w:szCs w:val="18"/>
        </w:rPr>
        <w:t>Workout</w:t>
      </w:r>
      <w:proofErr w:type="spellEnd"/>
      <w:r>
        <w:rPr>
          <w:rFonts w:ascii="Arial" w:hAnsi="Arial" w:cs="Arial"/>
          <w:color w:val="000000"/>
          <w:sz w:val="18"/>
          <w:szCs w:val="18"/>
        </w:rPr>
        <w:t>, que teve como principal objetivo introduzir a Ciência de Dados aos funcionários e prepará-los para atuar com essa importante ferramenta; (</w:t>
      </w:r>
      <w:proofErr w:type="spellStart"/>
      <w:r>
        <w:rPr>
          <w:rFonts w:ascii="Arial" w:hAnsi="Arial" w:cs="Arial"/>
          <w:color w:val="000000"/>
          <w:sz w:val="18"/>
          <w:szCs w:val="18"/>
        </w:rPr>
        <w:t>ii</w:t>
      </w:r>
      <w:proofErr w:type="spellEnd"/>
      <w:r>
        <w:rPr>
          <w:rFonts w:ascii="Arial" w:hAnsi="Arial" w:cs="Arial"/>
          <w:color w:val="000000"/>
          <w:sz w:val="18"/>
          <w:szCs w:val="18"/>
        </w:rPr>
        <w:t>) Economia Comportamental na Prática; (</w:t>
      </w:r>
      <w:proofErr w:type="spellStart"/>
      <w:r>
        <w:rPr>
          <w:rFonts w:ascii="Arial" w:hAnsi="Arial" w:cs="Arial"/>
          <w:color w:val="000000"/>
          <w:sz w:val="18"/>
          <w:szCs w:val="18"/>
        </w:rPr>
        <w:t>iii</w:t>
      </w:r>
      <w:proofErr w:type="spellEnd"/>
      <w:r>
        <w:rPr>
          <w:rFonts w:ascii="Arial" w:hAnsi="Arial" w:cs="Arial"/>
          <w:color w:val="000000"/>
          <w:sz w:val="18"/>
          <w:szCs w:val="18"/>
        </w:rPr>
        <w:t xml:space="preserve">) </w:t>
      </w:r>
      <w:proofErr w:type="spellStart"/>
      <w:r w:rsidRPr="008A4618">
        <w:rPr>
          <w:rFonts w:ascii="Arial" w:hAnsi="Arial" w:cs="Arial"/>
          <w:i/>
          <w:iCs/>
          <w:color w:val="000000"/>
          <w:sz w:val="18"/>
          <w:szCs w:val="18"/>
        </w:rPr>
        <w:t>Copywriting</w:t>
      </w:r>
      <w:proofErr w:type="spellEnd"/>
      <w:r>
        <w:rPr>
          <w:rFonts w:ascii="Arial" w:hAnsi="Arial" w:cs="Arial"/>
          <w:color w:val="000000"/>
          <w:sz w:val="18"/>
          <w:szCs w:val="18"/>
        </w:rPr>
        <w:t>; e (</w:t>
      </w:r>
      <w:proofErr w:type="spellStart"/>
      <w:r>
        <w:rPr>
          <w:rFonts w:ascii="Arial" w:hAnsi="Arial" w:cs="Arial"/>
          <w:color w:val="000000"/>
          <w:sz w:val="18"/>
          <w:szCs w:val="18"/>
        </w:rPr>
        <w:t>iv</w:t>
      </w:r>
      <w:proofErr w:type="spellEnd"/>
      <w:r>
        <w:rPr>
          <w:rFonts w:ascii="Arial" w:hAnsi="Arial" w:cs="Arial"/>
          <w:color w:val="000000"/>
          <w:sz w:val="18"/>
          <w:szCs w:val="18"/>
        </w:rPr>
        <w:t>) UX (</w:t>
      </w:r>
      <w:proofErr w:type="spellStart"/>
      <w:r>
        <w:rPr>
          <w:rFonts w:ascii="Arial" w:hAnsi="Arial" w:cs="Arial"/>
          <w:i/>
          <w:iCs/>
          <w:color w:val="000000"/>
          <w:sz w:val="18"/>
          <w:szCs w:val="18"/>
        </w:rPr>
        <w:t>U</w:t>
      </w:r>
      <w:r w:rsidRPr="00DB25B4">
        <w:rPr>
          <w:rFonts w:ascii="Arial" w:hAnsi="Arial" w:cs="Arial"/>
          <w:i/>
          <w:iCs/>
          <w:color w:val="000000"/>
          <w:sz w:val="18"/>
          <w:szCs w:val="18"/>
        </w:rPr>
        <w:t>ser</w:t>
      </w:r>
      <w:proofErr w:type="spellEnd"/>
      <w:r w:rsidRPr="00DB25B4">
        <w:rPr>
          <w:rFonts w:ascii="Arial" w:hAnsi="Arial" w:cs="Arial"/>
          <w:i/>
          <w:iCs/>
          <w:color w:val="000000"/>
          <w:sz w:val="18"/>
          <w:szCs w:val="18"/>
        </w:rPr>
        <w:t xml:space="preserve"> </w:t>
      </w:r>
      <w:r>
        <w:rPr>
          <w:rFonts w:ascii="Arial" w:hAnsi="Arial" w:cs="Arial"/>
          <w:i/>
          <w:iCs/>
          <w:color w:val="000000"/>
          <w:sz w:val="18"/>
          <w:szCs w:val="18"/>
        </w:rPr>
        <w:t>E</w:t>
      </w:r>
      <w:r w:rsidRPr="00DB25B4">
        <w:rPr>
          <w:rFonts w:ascii="Arial" w:hAnsi="Arial" w:cs="Arial"/>
          <w:i/>
          <w:iCs/>
          <w:color w:val="000000"/>
          <w:sz w:val="18"/>
          <w:szCs w:val="18"/>
        </w:rPr>
        <w:t>xperience</w:t>
      </w:r>
      <w:r w:rsidR="003D4BBF">
        <w:rPr>
          <w:rFonts w:ascii="Arial" w:hAnsi="Arial" w:cs="Arial"/>
          <w:color w:val="000000"/>
          <w:sz w:val="18"/>
          <w:szCs w:val="18"/>
        </w:rPr>
        <w:t>).</w:t>
      </w:r>
    </w:p>
    <w:p w14:paraId="0CCBD717" w14:textId="2FF7EB0A" w:rsidR="008E1721" w:rsidRDefault="005B2A55" w:rsidP="005B2A55">
      <w:pPr>
        <w:spacing w:before="120" w:after="120"/>
        <w:jc w:val="both"/>
        <w:rPr>
          <w:rFonts w:ascii="Arial" w:hAnsi="Arial" w:cs="Arial"/>
          <w:color w:val="000000"/>
          <w:sz w:val="18"/>
          <w:szCs w:val="18"/>
        </w:rPr>
      </w:pPr>
      <w:r w:rsidRPr="008F5D92">
        <w:rPr>
          <w:rFonts w:ascii="Arial" w:hAnsi="Arial" w:cs="Arial"/>
          <w:color w:val="000000"/>
          <w:sz w:val="18"/>
          <w:szCs w:val="18"/>
        </w:rPr>
        <w:t>O investimento no desenvolvimento de líderes e equipes é orientado ao aperfeiçoamento de competências-chave para a Companhia (sejam elas técnicas ou comportamentais), alinhadas aos nossos valores (Inovação, Simplicidade, Respeito ao Cliente, Sentimento de Dono e Confiabilidade), garantindo a perenidade, qualidade e sustentabilidade dos negócios.</w:t>
      </w:r>
      <w:r>
        <w:rPr>
          <w:rFonts w:ascii="Arial" w:hAnsi="Arial" w:cs="Arial"/>
          <w:color w:val="000000"/>
          <w:sz w:val="18"/>
          <w:szCs w:val="18"/>
        </w:rPr>
        <w:t xml:space="preserve"> </w:t>
      </w:r>
    </w:p>
    <w:p w14:paraId="44049A10" w14:textId="77777777" w:rsidR="00C1337B" w:rsidRDefault="00C1337B" w:rsidP="005B2A55">
      <w:pPr>
        <w:spacing w:before="120" w:after="120"/>
        <w:jc w:val="both"/>
        <w:rPr>
          <w:rFonts w:ascii="Arial" w:hAnsi="Arial" w:cs="Arial"/>
          <w:color w:val="000000"/>
          <w:sz w:val="18"/>
          <w:szCs w:val="18"/>
        </w:rPr>
      </w:pPr>
    </w:p>
    <w:p w14:paraId="11333FBC" w14:textId="0A2172EB" w:rsidR="008E1721" w:rsidRPr="0063302F" w:rsidRDefault="008E1721" w:rsidP="008E1721">
      <w:pPr>
        <w:tabs>
          <w:tab w:val="left" w:pos="1175"/>
        </w:tabs>
        <w:spacing w:before="120" w:after="120"/>
        <w:jc w:val="both"/>
        <w:rPr>
          <w:rFonts w:ascii="Arial" w:hAnsi="Arial" w:cs="Arial"/>
          <w:b/>
          <w:color w:val="254E79"/>
          <w:sz w:val="18"/>
          <w:szCs w:val="18"/>
        </w:rPr>
      </w:pPr>
      <w:r w:rsidRPr="0063302F">
        <w:rPr>
          <w:rFonts w:ascii="Arial" w:hAnsi="Arial" w:cs="Arial"/>
          <w:b/>
          <w:color w:val="254E79"/>
          <w:sz w:val="18"/>
          <w:szCs w:val="18"/>
        </w:rPr>
        <w:t>Avaliação de Desempenho e Feedback</w:t>
      </w:r>
    </w:p>
    <w:p w14:paraId="4A596A8A" w14:textId="29EA3A0A" w:rsidR="00C1337B" w:rsidRDefault="00C1337B" w:rsidP="00C1337B">
      <w:pPr>
        <w:tabs>
          <w:tab w:val="left" w:pos="1175"/>
        </w:tabs>
        <w:spacing w:before="120" w:after="120"/>
        <w:jc w:val="both"/>
        <w:rPr>
          <w:rFonts w:ascii="Arial" w:hAnsi="Arial" w:cs="Arial"/>
          <w:color w:val="000000"/>
          <w:sz w:val="18"/>
          <w:szCs w:val="18"/>
        </w:rPr>
      </w:pPr>
      <w:r w:rsidRPr="002556DD">
        <w:rPr>
          <w:rFonts w:ascii="Arial" w:hAnsi="Arial" w:cs="Arial"/>
          <w:color w:val="000000"/>
          <w:sz w:val="18"/>
          <w:szCs w:val="18"/>
        </w:rPr>
        <w:t>O modelo de gestão da BB Segur</w:t>
      </w:r>
      <w:r>
        <w:rPr>
          <w:rFonts w:ascii="Arial" w:hAnsi="Arial" w:cs="Arial"/>
          <w:color w:val="000000"/>
          <w:sz w:val="18"/>
          <w:szCs w:val="18"/>
        </w:rPr>
        <w:t>idade</w:t>
      </w:r>
      <w:r w:rsidRPr="002556DD">
        <w:rPr>
          <w:rFonts w:ascii="Arial" w:hAnsi="Arial" w:cs="Arial"/>
          <w:color w:val="000000"/>
          <w:sz w:val="18"/>
          <w:szCs w:val="18"/>
        </w:rPr>
        <w:t xml:space="preserve"> prevê avaliaç</w:t>
      </w:r>
      <w:r>
        <w:rPr>
          <w:rFonts w:ascii="Arial" w:hAnsi="Arial" w:cs="Arial"/>
          <w:color w:val="000000"/>
          <w:sz w:val="18"/>
          <w:szCs w:val="18"/>
        </w:rPr>
        <w:t>ões de</w:t>
      </w:r>
      <w:r w:rsidRPr="002556DD">
        <w:rPr>
          <w:rFonts w:ascii="Arial" w:hAnsi="Arial" w:cs="Arial"/>
          <w:color w:val="000000"/>
          <w:sz w:val="18"/>
          <w:szCs w:val="18"/>
        </w:rPr>
        <w:t xml:space="preserve"> des</w:t>
      </w:r>
      <w:r>
        <w:rPr>
          <w:rFonts w:ascii="Arial" w:hAnsi="Arial" w:cs="Arial"/>
          <w:color w:val="000000"/>
          <w:sz w:val="18"/>
          <w:szCs w:val="18"/>
        </w:rPr>
        <w:t>empenho</w:t>
      </w:r>
      <w:r w:rsidRPr="002556DD">
        <w:rPr>
          <w:rFonts w:ascii="Arial" w:hAnsi="Arial" w:cs="Arial"/>
          <w:color w:val="000000"/>
          <w:sz w:val="18"/>
          <w:szCs w:val="18"/>
        </w:rPr>
        <w:t xml:space="preserve"> semestrais, considerando a visão 360</w:t>
      </w:r>
      <w:r>
        <w:rPr>
          <w:rFonts w:ascii="Arial" w:hAnsi="Arial" w:cs="Arial"/>
          <w:color w:val="000000"/>
          <w:sz w:val="18"/>
          <w:szCs w:val="18"/>
        </w:rPr>
        <w:t>°</w:t>
      </w:r>
      <w:r w:rsidRPr="002556DD">
        <w:rPr>
          <w:rFonts w:ascii="Arial" w:hAnsi="Arial" w:cs="Arial"/>
          <w:color w:val="000000"/>
          <w:sz w:val="18"/>
          <w:szCs w:val="18"/>
        </w:rPr>
        <w:t xml:space="preserve"> (autoavali</w:t>
      </w:r>
      <w:r>
        <w:rPr>
          <w:rFonts w:ascii="Arial" w:hAnsi="Arial" w:cs="Arial"/>
          <w:color w:val="000000"/>
          <w:sz w:val="18"/>
          <w:szCs w:val="18"/>
        </w:rPr>
        <w:t>ação</w:t>
      </w:r>
      <w:r w:rsidRPr="002556DD">
        <w:rPr>
          <w:rFonts w:ascii="Arial" w:hAnsi="Arial" w:cs="Arial"/>
          <w:color w:val="000000"/>
          <w:sz w:val="18"/>
          <w:szCs w:val="18"/>
        </w:rPr>
        <w:t>, gestor, pares</w:t>
      </w:r>
      <w:r>
        <w:rPr>
          <w:rFonts w:ascii="Arial" w:hAnsi="Arial" w:cs="Arial"/>
          <w:color w:val="000000"/>
          <w:sz w:val="18"/>
          <w:szCs w:val="18"/>
        </w:rPr>
        <w:t xml:space="preserve">, </w:t>
      </w:r>
      <w:r w:rsidRPr="002556DD">
        <w:rPr>
          <w:rFonts w:ascii="Arial" w:hAnsi="Arial" w:cs="Arial"/>
          <w:color w:val="000000"/>
          <w:sz w:val="18"/>
          <w:szCs w:val="18"/>
        </w:rPr>
        <w:t>clientes</w:t>
      </w:r>
      <w:r>
        <w:rPr>
          <w:rFonts w:ascii="Arial" w:hAnsi="Arial" w:cs="Arial"/>
          <w:color w:val="000000"/>
          <w:sz w:val="18"/>
          <w:szCs w:val="18"/>
        </w:rPr>
        <w:t xml:space="preserve"> e liderados</w:t>
      </w:r>
      <w:r w:rsidRPr="002556DD">
        <w:rPr>
          <w:rFonts w:ascii="Arial" w:hAnsi="Arial" w:cs="Arial"/>
          <w:color w:val="000000"/>
          <w:sz w:val="18"/>
          <w:szCs w:val="18"/>
        </w:rPr>
        <w:t>) estabelecida</w:t>
      </w:r>
      <w:r>
        <w:rPr>
          <w:rFonts w:ascii="Arial" w:hAnsi="Arial" w:cs="Arial"/>
          <w:color w:val="000000"/>
          <w:sz w:val="18"/>
          <w:szCs w:val="18"/>
        </w:rPr>
        <w:t>s</w:t>
      </w:r>
      <w:r w:rsidRPr="002556DD">
        <w:rPr>
          <w:rFonts w:ascii="Arial" w:hAnsi="Arial" w:cs="Arial"/>
          <w:color w:val="000000"/>
          <w:sz w:val="18"/>
          <w:szCs w:val="18"/>
        </w:rPr>
        <w:t xml:space="preserve"> em etapas, </w:t>
      </w:r>
      <w:r w:rsidR="00F923FA">
        <w:rPr>
          <w:rFonts w:ascii="Arial" w:hAnsi="Arial" w:cs="Arial"/>
          <w:color w:val="000000"/>
          <w:sz w:val="18"/>
          <w:szCs w:val="18"/>
        </w:rPr>
        <w:t xml:space="preserve">as quais inclui </w:t>
      </w:r>
      <w:r>
        <w:rPr>
          <w:rFonts w:ascii="Arial" w:hAnsi="Arial" w:cs="Arial"/>
          <w:color w:val="000000"/>
          <w:sz w:val="18"/>
          <w:szCs w:val="18"/>
        </w:rPr>
        <w:t xml:space="preserve">a </w:t>
      </w:r>
      <w:r w:rsidRPr="002556DD">
        <w:rPr>
          <w:rFonts w:ascii="Arial" w:hAnsi="Arial" w:cs="Arial"/>
          <w:color w:val="000000"/>
          <w:sz w:val="18"/>
          <w:szCs w:val="18"/>
        </w:rPr>
        <w:t>elaboração e alinhamento de acordos indiv</w:t>
      </w:r>
      <w:r>
        <w:rPr>
          <w:rFonts w:ascii="Arial" w:hAnsi="Arial" w:cs="Arial"/>
          <w:color w:val="000000"/>
          <w:sz w:val="18"/>
          <w:szCs w:val="18"/>
        </w:rPr>
        <w:t>iduais de</w:t>
      </w:r>
      <w:r w:rsidRPr="002556DD">
        <w:rPr>
          <w:rFonts w:ascii="Arial" w:hAnsi="Arial" w:cs="Arial"/>
          <w:color w:val="000000"/>
          <w:sz w:val="18"/>
          <w:szCs w:val="18"/>
        </w:rPr>
        <w:t xml:space="preserve"> desemp</w:t>
      </w:r>
      <w:r>
        <w:rPr>
          <w:rFonts w:ascii="Arial" w:hAnsi="Arial" w:cs="Arial"/>
          <w:color w:val="000000"/>
          <w:sz w:val="18"/>
          <w:szCs w:val="18"/>
        </w:rPr>
        <w:t>enho</w:t>
      </w:r>
      <w:r w:rsidRPr="002556DD">
        <w:rPr>
          <w:rFonts w:ascii="Arial" w:hAnsi="Arial" w:cs="Arial"/>
          <w:color w:val="000000"/>
          <w:sz w:val="18"/>
          <w:szCs w:val="18"/>
        </w:rPr>
        <w:t xml:space="preserve">, </w:t>
      </w:r>
      <w:r>
        <w:rPr>
          <w:rFonts w:ascii="Arial" w:hAnsi="Arial" w:cs="Arial"/>
          <w:color w:val="000000"/>
          <w:sz w:val="18"/>
          <w:szCs w:val="18"/>
        </w:rPr>
        <w:t xml:space="preserve">os quais </w:t>
      </w:r>
      <w:r w:rsidRPr="002556DD">
        <w:rPr>
          <w:rFonts w:ascii="Arial" w:hAnsi="Arial" w:cs="Arial"/>
          <w:color w:val="000000"/>
          <w:sz w:val="18"/>
          <w:szCs w:val="18"/>
        </w:rPr>
        <w:t>são revisados trimestralmente</w:t>
      </w:r>
      <w:r>
        <w:rPr>
          <w:rFonts w:ascii="Arial" w:hAnsi="Arial" w:cs="Arial"/>
          <w:color w:val="000000"/>
          <w:sz w:val="18"/>
          <w:szCs w:val="18"/>
        </w:rPr>
        <w:t>,</w:t>
      </w:r>
      <w:r w:rsidRPr="002556DD">
        <w:rPr>
          <w:rFonts w:ascii="Arial" w:hAnsi="Arial" w:cs="Arial"/>
          <w:color w:val="000000"/>
          <w:sz w:val="18"/>
          <w:szCs w:val="18"/>
        </w:rPr>
        <w:t xml:space="preserve"> </w:t>
      </w:r>
      <w:r w:rsidR="001649ED">
        <w:rPr>
          <w:rFonts w:ascii="Arial" w:hAnsi="Arial" w:cs="Arial"/>
          <w:color w:val="000000"/>
          <w:sz w:val="18"/>
          <w:szCs w:val="18"/>
        </w:rPr>
        <w:t>para</w:t>
      </w:r>
      <w:r w:rsidRPr="002556DD">
        <w:rPr>
          <w:rFonts w:ascii="Arial" w:hAnsi="Arial" w:cs="Arial"/>
          <w:color w:val="000000"/>
          <w:sz w:val="18"/>
          <w:szCs w:val="18"/>
        </w:rPr>
        <w:t xml:space="preserve"> que possam ser ajustados conforme </w:t>
      </w:r>
      <w:r>
        <w:rPr>
          <w:rFonts w:ascii="Arial" w:hAnsi="Arial" w:cs="Arial"/>
          <w:color w:val="000000"/>
          <w:sz w:val="18"/>
          <w:szCs w:val="18"/>
        </w:rPr>
        <w:t xml:space="preserve">as </w:t>
      </w:r>
      <w:r w:rsidRPr="002556DD">
        <w:rPr>
          <w:rFonts w:ascii="Arial" w:hAnsi="Arial" w:cs="Arial"/>
          <w:color w:val="000000"/>
          <w:sz w:val="18"/>
          <w:szCs w:val="18"/>
        </w:rPr>
        <w:t>necessidades</w:t>
      </w:r>
      <w:r>
        <w:rPr>
          <w:rFonts w:ascii="Arial" w:hAnsi="Arial" w:cs="Arial"/>
          <w:color w:val="000000"/>
          <w:sz w:val="18"/>
          <w:szCs w:val="18"/>
        </w:rPr>
        <w:t xml:space="preserve"> do momento - </w:t>
      </w:r>
      <w:r w:rsidRPr="002556DD">
        <w:rPr>
          <w:rFonts w:ascii="Arial" w:hAnsi="Arial" w:cs="Arial"/>
          <w:color w:val="000000"/>
          <w:sz w:val="18"/>
          <w:szCs w:val="18"/>
        </w:rPr>
        <w:t>identificação de novos obstáculos ou</w:t>
      </w:r>
      <w:r>
        <w:rPr>
          <w:rFonts w:ascii="Arial" w:hAnsi="Arial" w:cs="Arial"/>
          <w:color w:val="000000"/>
          <w:sz w:val="18"/>
          <w:szCs w:val="18"/>
        </w:rPr>
        <w:t xml:space="preserve"> novas</w:t>
      </w:r>
      <w:r w:rsidRPr="002556DD">
        <w:rPr>
          <w:rFonts w:ascii="Arial" w:hAnsi="Arial" w:cs="Arial"/>
          <w:color w:val="000000"/>
          <w:sz w:val="18"/>
          <w:szCs w:val="18"/>
        </w:rPr>
        <w:t xml:space="preserve"> oportunidades. Tais revisões são acompanhadas de </w:t>
      </w:r>
      <w:r>
        <w:rPr>
          <w:rFonts w:ascii="Arial" w:hAnsi="Arial" w:cs="Arial"/>
          <w:color w:val="000000"/>
          <w:sz w:val="18"/>
          <w:szCs w:val="18"/>
        </w:rPr>
        <w:t xml:space="preserve">reuniões de </w:t>
      </w:r>
      <w:r w:rsidRPr="002556DD">
        <w:rPr>
          <w:rFonts w:ascii="Arial" w:hAnsi="Arial" w:cs="Arial"/>
          <w:color w:val="000000"/>
          <w:sz w:val="18"/>
          <w:szCs w:val="18"/>
        </w:rPr>
        <w:t xml:space="preserve">feedbacks </w:t>
      </w:r>
      <w:r>
        <w:rPr>
          <w:rFonts w:ascii="Arial" w:hAnsi="Arial" w:cs="Arial"/>
          <w:color w:val="000000"/>
          <w:sz w:val="18"/>
          <w:szCs w:val="18"/>
        </w:rPr>
        <w:t xml:space="preserve">realizadas pelo </w:t>
      </w:r>
      <w:r w:rsidRPr="002556DD">
        <w:rPr>
          <w:rFonts w:ascii="Arial" w:hAnsi="Arial" w:cs="Arial"/>
          <w:color w:val="000000"/>
          <w:sz w:val="18"/>
          <w:szCs w:val="18"/>
        </w:rPr>
        <w:t>gestor</w:t>
      </w:r>
      <w:r>
        <w:rPr>
          <w:rFonts w:ascii="Arial" w:hAnsi="Arial" w:cs="Arial"/>
          <w:color w:val="000000"/>
          <w:sz w:val="18"/>
          <w:szCs w:val="18"/>
        </w:rPr>
        <w:t xml:space="preserve"> imediato, </w:t>
      </w:r>
      <w:r w:rsidRPr="002556DD">
        <w:rPr>
          <w:rFonts w:ascii="Arial" w:hAnsi="Arial" w:cs="Arial"/>
          <w:color w:val="000000"/>
          <w:sz w:val="18"/>
          <w:szCs w:val="18"/>
        </w:rPr>
        <w:t xml:space="preserve">com </w:t>
      </w:r>
      <w:r>
        <w:rPr>
          <w:rFonts w:ascii="Arial" w:hAnsi="Arial" w:cs="Arial"/>
          <w:color w:val="000000"/>
          <w:sz w:val="18"/>
          <w:szCs w:val="18"/>
        </w:rPr>
        <w:t xml:space="preserve">o principal </w:t>
      </w:r>
      <w:r w:rsidRPr="002556DD">
        <w:rPr>
          <w:rFonts w:ascii="Arial" w:hAnsi="Arial" w:cs="Arial"/>
          <w:color w:val="000000"/>
          <w:sz w:val="18"/>
          <w:szCs w:val="18"/>
        </w:rPr>
        <w:t>objetivo de</w:t>
      </w:r>
      <w:r>
        <w:rPr>
          <w:rFonts w:ascii="Arial" w:hAnsi="Arial" w:cs="Arial"/>
          <w:color w:val="000000"/>
          <w:sz w:val="18"/>
          <w:szCs w:val="18"/>
        </w:rPr>
        <w:t xml:space="preserve"> sinalizar</w:t>
      </w:r>
      <w:r w:rsidRPr="002556DD">
        <w:rPr>
          <w:rFonts w:ascii="Arial" w:hAnsi="Arial" w:cs="Arial"/>
          <w:color w:val="000000"/>
          <w:sz w:val="18"/>
          <w:szCs w:val="18"/>
        </w:rPr>
        <w:t xml:space="preserve"> </w:t>
      </w:r>
      <w:r>
        <w:rPr>
          <w:rFonts w:ascii="Arial" w:hAnsi="Arial" w:cs="Arial"/>
          <w:color w:val="000000"/>
          <w:sz w:val="18"/>
          <w:szCs w:val="18"/>
        </w:rPr>
        <w:t xml:space="preserve">os </w:t>
      </w:r>
      <w:r w:rsidRPr="002556DD">
        <w:rPr>
          <w:rFonts w:ascii="Arial" w:hAnsi="Arial" w:cs="Arial"/>
          <w:color w:val="000000"/>
          <w:sz w:val="18"/>
          <w:szCs w:val="18"/>
        </w:rPr>
        <w:t>pontos</w:t>
      </w:r>
      <w:r>
        <w:rPr>
          <w:rFonts w:ascii="Arial" w:hAnsi="Arial" w:cs="Arial"/>
          <w:color w:val="000000"/>
          <w:sz w:val="18"/>
          <w:szCs w:val="18"/>
        </w:rPr>
        <w:t xml:space="preserve"> fortes, assim como possíveis pontos</w:t>
      </w:r>
      <w:r w:rsidRPr="002556DD">
        <w:rPr>
          <w:rFonts w:ascii="Arial" w:hAnsi="Arial" w:cs="Arial"/>
          <w:color w:val="000000"/>
          <w:sz w:val="18"/>
          <w:szCs w:val="18"/>
        </w:rPr>
        <w:t xml:space="preserve"> de</w:t>
      </w:r>
      <w:r>
        <w:rPr>
          <w:rFonts w:ascii="Arial" w:hAnsi="Arial" w:cs="Arial"/>
          <w:color w:val="000000"/>
          <w:sz w:val="18"/>
          <w:szCs w:val="18"/>
        </w:rPr>
        <w:t xml:space="preserve"> aprimoramento, de forma a viabilizar </w:t>
      </w:r>
      <w:r w:rsidRPr="002556DD">
        <w:rPr>
          <w:rFonts w:ascii="Arial" w:hAnsi="Arial" w:cs="Arial"/>
          <w:color w:val="000000"/>
          <w:sz w:val="18"/>
          <w:szCs w:val="18"/>
        </w:rPr>
        <w:t>o desen</w:t>
      </w:r>
      <w:r>
        <w:rPr>
          <w:rFonts w:ascii="Arial" w:hAnsi="Arial" w:cs="Arial"/>
          <w:color w:val="000000"/>
          <w:sz w:val="18"/>
          <w:szCs w:val="18"/>
        </w:rPr>
        <w:t xml:space="preserve">volvimento profissional dos funcionários e da empresa conjuntamente. </w:t>
      </w:r>
    </w:p>
    <w:p w14:paraId="7509165A" w14:textId="00358A3C" w:rsidR="00C1337B" w:rsidRDefault="00C1337B" w:rsidP="00C1337B">
      <w:pPr>
        <w:tabs>
          <w:tab w:val="left" w:pos="1175"/>
        </w:tabs>
        <w:spacing w:before="120" w:after="120"/>
        <w:jc w:val="both"/>
        <w:rPr>
          <w:rFonts w:ascii="Arial" w:hAnsi="Arial" w:cs="Arial"/>
          <w:color w:val="000000"/>
          <w:sz w:val="18"/>
          <w:szCs w:val="18"/>
        </w:rPr>
      </w:pPr>
      <w:r>
        <w:rPr>
          <w:rFonts w:ascii="Arial" w:hAnsi="Arial" w:cs="Arial"/>
          <w:color w:val="000000"/>
          <w:sz w:val="18"/>
          <w:szCs w:val="18"/>
        </w:rPr>
        <w:t>A conclusão do ciclo de gestão de desenvolvimento se dá por meio da realização de reuniões colegiadas de calibragem, as Comissões de Carreira e Desenvolvimento, ocasião em que é utilizada a Matriz 9-Box</w:t>
      </w:r>
      <w:r w:rsidRPr="007F20FD">
        <w:rPr>
          <w:rFonts w:ascii="Arial" w:hAnsi="Arial" w:cs="Arial"/>
          <w:color w:val="000000"/>
          <w:sz w:val="18"/>
          <w:szCs w:val="18"/>
        </w:rPr>
        <w:t xml:space="preserve">, </w:t>
      </w:r>
      <w:r w:rsidRPr="009D563E">
        <w:rPr>
          <w:rFonts w:ascii="Arial" w:hAnsi="Arial" w:cs="Arial"/>
          <w:color w:val="000000"/>
          <w:sz w:val="18"/>
          <w:szCs w:val="18"/>
        </w:rPr>
        <w:t>por meio da qual o desempenho observado e o potencial de cada funcionário são plotados em dois eixos cartesianos (x e y), sendo cada e</w:t>
      </w:r>
      <w:r>
        <w:rPr>
          <w:rFonts w:ascii="Arial" w:hAnsi="Arial" w:cs="Arial"/>
          <w:color w:val="000000"/>
          <w:sz w:val="18"/>
          <w:szCs w:val="18"/>
        </w:rPr>
        <w:t xml:space="preserve">ixo dividido entre níveis </w:t>
      </w:r>
      <w:proofErr w:type="spellStart"/>
      <w:r>
        <w:rPr>
          <w:rFonts w:ascii="Arial" w:hAnsi="Arial" w:cs="Arial"/>
          <w:color w:val="000000"/>
          <w:sz w:val="18"/>
          <w:szCs w:val="18"/>
        </w:rPr>
        <w:t>baixo</w:t>
      </w:r>
      <w:proofErr w:type="spellEnd"/>
      <w:r>
        <w:rPr>
          <w:rFonts w:ascii="Arial" w:hAnsi="Arial" w:cs="Arial"/>
          <w:color w:val="000000"/>
          <w:sz w:val="18"/>
          <w:szCs w:val="18"/>
        </w:rPr>
        <w:t>,</w:t>
      </w:r>
      <w:r w:rsidRPr="009D563E">
        <w:rPr>
          <w:rFonts w:ascii="Arial" w:hAnsi="Arial" w:cs="Arial"/>
          <w:color w:val="000000"/>
          <w:sz w:val="18"/>
          <w:szCs w:val="18"/>
        </w:rPr>
        <w:t xml:space="preserve"> médio e alto.</w:t>
      </w:r>
    </w:p>
    <w:p w14:paraId="2104C138" w14:textId="33F730CE" w:rsidR="00C1337B" w:rsidRDefault="00C1337B" w:rsidP="00C1337B">
      <w:pPr>
        <w:tabs>
          <w:tab w:val="left" w:pos="1175"/>
        </w:tabs>
        <w:spacing w:before="120" w:after="120"/>
        <w:jc w:val="both"/>
        <w:rPr>
          <w:rFonts w:ascii="Arial" w:hAnsi="Arial" w:cs="Arial"/>
          <w:color w:val="000000"/>
          <w:sz w:val="18"/>
          <w:szCs w:val="18"/>
        </w:rPr>
      </w:pPr>
      <w:r>
        <w:rPr>
          <w:rFonts w:ascii="Arial" w:hAnsi="Arial" w:cs="Arial"/>
          <w:color w:val="000000"/>
          <w:sz w:val="18"/>
          <w:szCs w:val="18"/>
        </w:rPr>
        <w:t>Além de gerar insumos para as ações de desenvolvimento da Companhia, o ciclo de gestão de desempenho fornece subsídios para as ações de treinamento, movimentação, reconhecimento, retenção e sucessão. A partir dele, por exemplo, são formulados o PDC, que endereça as necessidades de desenvolvimento de competências estratégicas da empresa, e o PDI (Plano de Desenvolvimento Individual), que busca atender às necessidades pontuais de desenvolvimento de cada funcionário.</w:t>
      </w:r>
    </w:p>
    <w:p w14:paraId="7112B079" w14:textId="77777777" w:rsidR="00C1337B" w:rsidRDefault="00C1337B" w:rsidP="00C1337B">
      <w:pPr>
        <w:tabs>
          <w:tab w:val="left" w:pos="1175"/>
        </w:tabs>
        <w:spacing w:before="120" w:after="120"/>
        <w:jc w:val="both"/>
        <w:rPr>
          <w:rFonts w:ascii="Arial" w:hAnsi="Arial" w:cs="Arial"/>
          <w:color w:val="000000"/>
          <w:sz w:val="18"/>
          <w:szCs w:val="18"/>
        </w:rPr>
      </w:pPr>
    </w:p>
    <w:p w14:paraId="273872A3" w14:textId="3052A039" w:rsidR="00C1337B" w:rsidRPr="0063302F" w:rsidRDefault="00C1337B" w:rsidP="00C1337B">
      <w:pPr>
        <w:tabs>
          <w:tab w:val="left" w:pos="1175"/>
        </w:tabs>
        <w:spacing w:before="120" w:after="120"/>
        <w:jc w:val="both"/>
        <w:rPr>
          <w:rFonts w:ascii="Arial" w:hAnsi="Arial" w:cs="Arial"/>
          <w:b/>
          <w:color w:val="254E79"/>
          <w:sz w:val="18"/>
          <w:szCs w:val="18"/>
        </w:rPr>
      </w:pPr>
      <w:r w:rsidRPr="0063302F">
        <w:rPr>
          <w:rFonts w:ascii="Arial" w:hAnsi="Arial" w:cs="Arial"/>
          <w:b/>
          <w:color w:val="254E79"/>
          <w:sz w:val="18"/>
          <w:szCs w:val="18"/>
        </w:rPr>
        <w:t>Talentos e Sucessão</w:t>
      </w:r>
    </w:p>
    <w:p w14:paraId="15C4FDC6" w14:textId="25B1D1B6" w:rsidR="008E1721" w:rsidRDefault="00C1337B" w:rsidP="005B2A55">
      <w:pPr>
        <w:spacing w:before="120" w:after="120"/>
        <w:jc w:val="both"/>
        <w:rPr>
          <w:rFonts w:ascii="Arial" w:hAnsi="Arial" w:cs="Arial"/>
          <w:color w:val="000000"/>
          <w:sz w:val="18"/>
          <w:szCs w:val="18"/>
        </w:rPr>
      </w:pPr>
      <w:r>
        <w:rPr>
          <w:rFonts w:ascii="Arial" w:hAnsi="Arial" w:cs="Arial"/>
          <w:color w:val="000000"/>
          <w:sz w:val="18"/>
          <w:szCs w:val="18"/>
        </w:rPr>
        <w:t>Desde 2019, a BB Seguridade tem avançado na elevação da maturidade do processo de identificação de talentos e sucessores.</w:t>
      </w:r>
    </w:p>
    <w:p w14:paraId="382FB3E1" w14:textId="77777777" w:rsidR="00C1337B" w:rsidRDefault="00C1337B" w:rsidP="00C1337B">
      <w:pPr>
        <w:tabs>
          <w:tab w:val="left" w:pos="1175"/>
        </w:tabs>
        <w:spacing w:before="120" w:after="120"/>
        <w:jc w:val="both"/>
        <w:rPr>
          <w:rFonts w:ascii="Arial" w:hAnsi="Arial" w:cs="Arial"/>
          <w:color w:val="000000"/>
          <w:sz w:val="18"/>
          <w:szCs w:val="18"/>
        </w:rPr>
      </w:pPr>
      <w:r>
        <w:rPr>
          <w:rFonts w:ascii="Arial" w:hAnsi="Arial" w:cs="Arial"/>
          <w:color w:val="000000"/>
          <w:sz w:val="18"/>
          <w:szCs w:val="18"/>
        </w:rPr>
        <w:t>Os talentos são identificados por meio do ciclo de gestão de desempenho, o qual compreende a avaliação de desempenho e a avaliação colegiada por meio de Comissão de Carreira e Desenvolvimento, conforme mencionado no item Avaliação de Desempenho e Feedback. A referida</w:t>
      </w:r>
      <w:r w:rsidRPr="008B3016">
        <w:rPr>
          <w:rFonts w:ascii="Arial" w:hAnsi="Arial" w:cs="Arial"/>
          <w:color w:val="000000"/>
          <w:sz w:val="18"/>
          <w:szCs w:val="18"/>
        </w:rPr>
        <w:t xml:space="preserve"> </w:t>
      </w:r>
      <w:r>
        <w:rPr>
          <w:rFonts w:ascii="Arial" w:hAnsi="Arial" w:cs="Arial"/>
          <w:color w:val="000000"/>
          <w:sz w:val="18"/>
          <w:szCs w:val="18"/>
        </w:rPr>
        <w:t>C</w:t>
      </w:r>
      <w:r w:rsidRPr="008B3016">
        <w:rPr>
          <w:rFonts w:ascii="Arial" w:hAnsi="Arial" w:cs="Arial"/>
          <w:color w:val="000000"/>
          <w:sz w:val="18"/>
          <w:szCs w:val="18"/>
        </w:rPr>
        <w:t>omissão</w:t>
      </w:r>
      <w:r>
        <w:rPr>
          <w:rFonts w:ascii="Arial" w:hAnsi="Arial" w:cs="Arial"/>
          <w:color w:val="000000"/>
          <w:sz w:val="18"/>
          <w:szCs w:val="18"/>
        </w:rPr>
        <w:t xml:space="preserve"> também tem como um dos seus </w:t>
      </w:r>
      <w:r w:rsidRPr="008B3016">
        <w:rPr>
          <w:rFonts w:ascii="Arial" w:hAnsi="Arial" w:cs="Arial"/>
          <w:color w:val="000000"/>
          <w:sz w:val="18"/>
          <w:szCs w:val="18"/>
        </w:rPr>
        <w:t xml:space="preserve">objetivos finais </w:t>
      </w:r>
      <w:r>
        <w:rPr>
          <w:rFonts w:ascii="Arial" w:hAnsi="Arial" w:cs="Arial"/>
          <w:color w:val="000000"/>
          <w:sz w:val="18"/>
          <w:szCs w:val="18"/>
        </w:rPr>
        <w:t xml:space="preserve">a formação de uma relação de potenciais sucessores </w:t>
      </w:r>
      <w:r w:rsidRPr="008B3016">
        <w:rPr>
          <w:rFonts w:ascii="Arial" w:hAnsi="Arial" w:cs="Arial"/>
          <w:color w:val="000000"/>
          <w:sz w:val="18"/>
          <w:szCs w:val="18"/>
        </w:rPr>
        <w:t xml:space="preserve">da </w:t>
      </w:r>
      <w:r>
        <w:rPr>
          <w:rFonts w:ascii="Arial" w:hAnsi="Arial" w:cs="Arial"/>
          <w:color w:val="000000"/>
          <w:sz w:val="18"/>
          <w:szCs w:val="18"/>
        </w:rPr>
        <w:t>Companhia</w:t>
      </w:r>
      <w:r w:rsidRPr="008B3016">
        <w:rPr>
          <w:rFonts w:ascii="Arial" w:hAnsi="Arial" w:cs="Arial"/>
          <w:color w:val="000000"/>
          <w:sz w:val="18"/>
          <w:szCs w:val="18"/>
        </w:rPr>
        <w:t xml:space="preserve"> por meio da identif</w:t>
      </w:r>
      <w:r>
        <w:rPr>
          <w:rFonts w:ascii="Arial" w:hAnsi="Arial" w:cs="Arial"/>
          <w:color w:val="000000"/>
          <w:sz w:val="18"/>
          <w:szCs w:val="18"/>
        </w:rPr>
        <w:t xml:space="preserve">icação dos funcionários que apresentaram </w:t>
      </w:r>
      <w:r w:rsidRPr="008B3016">
        <w:rPr>
          <w:rFonts w:ascii="Arial" w:hAnsi="Arial" w:cs="Arial"/>
          <w:color w:val="000000"/>
          <w:sz w:val="18"/>
          <w:szCs w:val="18"/>
        </w:rPr>
        <w:t>alto desempenho e alto potencial</w:t>
      </w:r>
      <w:r>
        <w:rPr>
          <w:rFonts w:ascii="Arial" w:hAnsi="Arial" w:cs="Arial"/>
          <w:color w:val="000000"/>
          <w:sz w:val="18"/>
          <w:szCs w:val="18"/>
        </w:rPr>
        <w:t xml:space="preserve">, os quais serão preparados para ocuparem </w:t>
      </w:r>
      <w:r w:rsidRPr="008B3016">
        <w:rPr>
          <w:rFonts w:ascii="Arial" w:hAnsi="Arial" w:cs="Arial"/>
          <w:color w:val="000000"/>
          <w:sz w:val="18"/>
          <w:szCs w:val="18"/>
        </w:rPr>
        <w:t xml:space="preserve">novas posições de </w:t>
      </w:r>
      <w:r>
        <w:rPr>
          <w:rFonts w:ascii="Arial" w:hAnsi="Arial" w:cs="Arial"/>
          <w:color w:val="000000"/>
          <w:sz w:val="18"/>
          <w:szCs w:val="18"/>
        </w:rPr>
        <w:t>maior</w:t>
      </w:r>
      <w:r w:rsidRPr="008B3016">
        <w:rPr>
          <w:rFonts w:ascii="Arial" w:hAnsi="Arial" w:cs="Arial"/>
          <w:color w:val="000000"/>
          <w:sz w:val="18"/>
          <w:szCs w:val="18"/>
        </w:rPr>
        <w:t xml:space="preserve"> complexidade.</w:t>
      </w:r>
    </w:p>
    <w:p w14:paraId="4C7072EE" w14:textId="69DF7AF8" w:rsidR="005B2A55" w:rsidRDefault="005B2A55" w:rsidP="005B2A55">
      <w:pPr>
        <w:spacing w:before="120" w:after="120"/>
        <w:jc w:val="both"/>
        <w:rPr>
          <w:rFonts w:ascii="Arial" w:hAnsi="Arial" w:cs="Arial"/>
          <w:color w:val="000000"/>
          <w:sz w:val="18"/>
          <w:szCs w:val="18"/>
        </w:rPr>
      </w:pPr>
      <w:r w:rsidRPr="004932F9">
        <w:rPr>
          <w:rFonts w:ascii="Arial" w:hAnsi="Arial" w:cs="Arial"/>
          <w:color w:val="000000"/>
          <w:sz w:val="18"/>
          <w:szCs w:val="18"/>
        </w:rPr>
        <w:t>Neste sentido, no exercício de 2020, a BB Seguridade iniciou um Programa de Desenvolvimento de Potenciais Sucessores para posições gerenciais, cuja primeira etapa – Autoconhecimento – teve como objetivo dar subsídios para a construção de trilhas personalizadas para cada um dos participantes, que serão disponibilizadas para realização ao longo do próximo ano.</w:t>
      </w:r>
    </w:p>
    <w:p w14:paraId="6231E6FB" w14:textId="03172868" w:rsidR="00C1337B" w:rsidRPr="0063302F" w:rsidRDefault="00C1337B" w:rsidP="00C1337B">
      <w:pPr>
        <w:tabs>
          <w:tab w:val="left" w:pos="1175"/>
        </w:tabs>
        <w:spacing w:before="120" w:after="120"/>
        <w:jc w:val="both"/>
        <w:rPr>
          <w:rFonts w:ascii="Arial" w:hAnsi="Arial" w:cs="Arial"/>
          <w:b/>
          <w:color w:val="254E79"/>
          <w:sz w:val="18"/>
          <w:szCs w:val="18"/>
        </w:rPr>
      </w:pPr>
      <w:r w:rsidRPr="0063302F">
        <w:rPr>
          <w:rFonts w:ascii="Arial" w:hAnsi="Arial" w:cs="Arial"/>
          <w:b/>
          <w:color w:val="254E79"/>
          <w:sz w:val="18"/>
          <w:szCs w:val="18"/>
        </w:rPr>
        <w:t>Benefícios e Premiações</w:t>
      </w:r>
    </w:p>
    <w:p w14:paraId="4BEC8116" w14:textId="5C8E814A" w:rsidR="00D63A91" w:rsidRDefault="005B2A55" w:rsidP="00A1474D">
      <w:pPr>
        <w:jc w:val="both"/>
        <w:rPr>
          <w:rFonts w:ascii="Arial" w:hAnsi="Arial" w:cs="Arial"/>
          <w:sz w:val="18"/>
          <w:szCs w:val="18"/>
        </w:rPr>
      </w:pPr>
      <w:r w:rsidRPr="00AD1C7F">
        <w:rPr>
          <w:rFonts w:ascii="Arial" w:hAnsi="Arial" w:cs="Arial"/>
          <w:color w:val="000000"/>
          <w:sz w:val="18"/>
          <w:szCs w:val="18"/>
        </w:rPr>
        <w:t>Aos funcionários cedidos, a BB Seguridade assegura benefícios similares àqueles concedidos pelo B</w:t>
      </w:r>
      <w:r>
        <w:rPr>
          <w:rFonts w:ascii="Arial" w:hAnsi="Arial" w:cs="Arial"/>
          <w:color w:val="000000"/>
          <w:sz w:val="18"/>
          <w:szCs w:val="18"/>
        </w:rPr>
        <w:t>B</w:t>
      </w:r>
      <w:r w:rsidRPr="00AD1C7F">
        <w:rPr>
          <w:rFonts w:ascii="Arial" w:hAnsi="Arial" w:cs="Arial"/>
          <w:color w:val="000000"/>
          <w:sz w:val="18"/>
          <w:szCs w:val="18"/>
        </w:rPr>
        <w:t>, com destaque</w:t>
      </w:r>
      <w:r>
        <w:rPr>
          <w:rFonts w:ascii="Arial" w:hAnsi="Arial" w:cs="Arial"/>
          <w:color w:val="000000"/>
          <w:sz w:val="18"/>
          <w:szCs w:val="18"/>
        </w:rPr>
        <w:t xml:space="preserve"> para </w:t>
      </w:r>
      <w:r w:rsidRPr="00A013E7">
        <w:rPr>
          <w:rFonts w:ascii="Arial" w:hAnsi="Arial" w:cs="Arial"/>
          <w:color w:val="000000"/>
          <w:sz w:val="18"/>
          <w:szCs w:val="18"/>
        </w:rPr>
        <w:t xml:space="preserve">previdência complementar, planos de saúde e remuneração variável com base nos lucros e resultados. Além desses benefícios, em 2019, o Conselho de Administração aprovou o </w:t>
      </w:r>
      <w:r w:rsidR="00C1337B">
        <w:rPr>
          <w:rFonts w:ascii="Arial" w:hAnsi="Arial" w:cs="Arial"/>
          <w:color w:val="000000"/>
          <w:sz w:val="18"/>
          <w:szCs w:val="18"/>
        </w:rPr>
        <w:t xml:space="preserve">“Programa Aplausos”, </w:t>
      </w:r>
      <w:r w:rsidRPr="00A013E7">
        <w:rPr>
          <w:rFonts w:ascii="Arial" w:hAnsi="Arial" w:cs="Arial"/>
          <w:color w:val="000000"/>
          <w:sz w:val="18"/>
          <w:szCs w:val="18"/>
        </w:rPr>
        <w:t xml:space="preserve">uma premiação vinculada ao resultado e ao desempenho individual dos participantes elegíveis que venham a se destacar em termos de atingimento de metas individuais e contribuição diferenciada para o resultado da empresa. O </w:t>
      </w:r>
      <w:r w:rsidR="00C1337B">
        <w:rPr>
          <w:rFonts w:ascii="Arial" w:hAnsi="Arial" w:cs="Arial"/>
          <w:color w:val="000000"/>
          <w:sz w:val="18"/>
          <w:szCs w:val="18"/>
        </w:rPr>
        <w:t>pagamento da premiação é realizado com ações da Companhia</w:t>
      </w:r>
      <w:r w:rsidR="00D63A91">
        <w:rPr>
          <w:rFonts w:ascii="Arial" w:hAnsi="Arial" w:cs="Arial"/>
          <w:color w:val="000000"/>
          <w:sz w:val="18"/>
          <w:szCs w:val="18"/>
        </w:rPr>
        <w:t xml:space="preserve"> e </w:t>
      </w:r>
      <w:r w:rsidRPr="00A013E7">
        <w:rPr>
          <w:rFonts w:ascii="Arial" w:hAnsi="Arial" w:cs="Arial"/>
          <w:color w:val="000000"/>
          <w:sz w:val="18"/>
          <w:szCs w:val="18"/>
        </w:rPr>
        <w:t xml:space="preserve">visa o fortalecimento da parceria entre o funcionário e a BB Seguridade, reconhecimento dos participantes na construção do resultado e alinhamento dos resultados às </w:t>
      </w:r>
      <w:r w:rsidRPr="005B2A55">
        <w:rPr>
          <w:rFonts w:ascii="Arial" w:hAnsi="Arial" w:cs="Arial"/>
          <w:sz w:val="18"/>
          <w:szCs w:val="18"/>
        </w:rPr>
        <w:t>estratégias da Companhia</w:t>
      </w:r>
      <w:r w:rsidR="00A013E7" w:rsidRPr="005B2A55">
        <w:rPr>
          <w:rFonts w:ascii="Arial" w:hAnsi="Arial" w:cs="Arial"/>
          <w:sz w:val="18"/>
          <w:szCs w:val="18"/>
        </w:rPr>
        <w:t xml:space="preserve">. </w:t>
      </w:r>
      <w:r w:rsidR="00D63A91">
        <w:rPr>
          <w:rFonts w:ascii="Arial" w:hAnsi="Arial" w:cs="Arial"/>
          <w:sz w:val="18"/>
          <w:szCs w:val="18"/>
        </w:rPr>
        <w:t>Ainda, o Programa de Remuneração Variável dos Diretores Estatutários também prevê o pagamento de 50% do valor total em ações da Companhia.</w:t>
      </w:r>
    </w:p>
    <w:p w14:paraId="4FBDD149" w14:textId="77777777" w:rsidR="00D63A91" w:rsidRDefault="00D63A91" w:rsidP="00D63A91">
      <w:pPr>
        <w:jc w:val="both"/>
        <w:rPr>
          <w:rFonts w:ascii="Arial" w:hAnsi="Arial" w:cs="Arial"/>
          <w:color w:val="000000"/>
          <w:sz w:val="18"/>
          <w:szCs w:val="18"/>
        </w:rPr>
      </w:pPr>
      <w:r>
        <w:rPr>
          <w:rFonts w:ascii="Arial" w:hAnsi="Arial" w:cs="Arial"/>
          <w:color w:val="000000"/>
          <w:sz w:val="18"/>
          <w:szCs w:val="18"/>
        </w:rPr>
        <w:t xml:space="preserve">Em 2020, com base nos resultados dos desempenhos individuais referentes ao exercício de 2019, 33 funcionários (de um total de 142 avaliados) </w:t>
      </w:r>
      <w:r w:rsidRPr="0035635D">
        <w:rPr>
          <w:rFonts w:ascii="Arial" w:hAnsi="Arial" w:cs="Arial"/>
          <w:color w:val="000000"/>
          <w:sz w:val="18"/>
          <w:szCs w:val="18"/>
        </w:rPr>
        <w:t>foram identificados com desempenho destaque</w:t>
      </w:r>
      <w:r>
        <w:rPr>
          <w:rFonts w:ascii="Arial" w:hAnsi="Arial" w:cs="Arial"/>
          <w:color w:val="000000"/>
          <w:sz w:val="18"/>
          <w:szCs w:val="18"/>
        </w:rPr>
        <w:t xml:space="preserve"> </w:t>
      </w:r>
      <w:r w:rsidRPr="0035635D">
        <w:rPr>
          <w:rFonts w:ascii="Arial" w:hAnsi="Arial" w:cs="Arial"/>
          <w:color w:val="000000"/>
          <w:sz w:val="18"/>
          <w:szCs w:val="18"/>
        </w:rPr>
        <w:t>e tiveram sua performance reconhecida por meio d</w:t>
      </w:r>
      <w:r>
        <w:rPr>
          <w:rFonts w:ascii="Arial" w:hAnsi="Arial" w:cs="Arial"/>
          <w:color w:val="000000"/>
          <w:sz w:val="18"/>
          <w:szCs w:val="18"/>
        </w:rPr>
        <w:t>o Programa Aplausos.</w:t>
      </w:r>
    </w:p>
    <w:p w14:paraId="1E32D759" w14:textId="68F8638E" w:rsidR="005507F9" w:rsidRDefault="005507F9" w:rsidP="005507F9">
      <w:pPr>
        <w:spacing w:before="120" w:after="120"/>
        <w:jc w:val="both"/>
        <w:rPr>
          <w:rFonts w:ascii="Arial" w:hAnsi="Arial" w:cs="Arial"/>
          <w:color w:val="000000"/>
          <w:sz w:val="18"/>
          <w:szCs w:val="18"/>
        </w:rPr>
      </w:pPr>
      <w:r w:rsidRPr="00561DBD">
        <w:rPr>
          <w:rFonts w:ascii="Arial" w:hAnsi="Arial" w:cs="Arial"/>
          <w:color w:val="000000"/>
          <w:sz w:val="18"/>
          <w:szCs w:val="18"/>
        </w:rPr>
        <w:t>Abaixo, demonstramos os investimentos realizados no ano:</w:t>
      </w:r>
    </w:p>
    <w:p w14:paraId="3E3E0322" w14:textId="57C38402" w:rsidR="00622037" w:rsidRDefault="00622037" w:rsidP="00622037">
      <w:pPr>
        <w:pStyle w:val="01-TtulodeNota"/>
        <w:rPr>
          <w:b w:val="0"/>
          <w:sz w:val="14"/>
        </w:rPr>
      </w:pPr>
      <w:r w:rsidRPr="009E060D">
        <w:rPr>
          <w:rFonts w:cs="Arial"/>
          <w:b w:val="0"/>
          <w:sz w:val="14"/>
          <w:szCs w:val="14"/>
        </w:rPr>
        <w:t xml:space="preserve">Tabela </w:t>
      </w:r>
      <w:r w:rsidRPr="009E060D">
        <w:rPr>
          <w:rFonts w:cs="Arial"/>
          <w:b w:val="0"/>
          <w:sz w:val="14"/>
          <w:szCs w:val="14"/>
        </w:rPr>
        <w:fldChar w:fldCharType="begin"/>
      </w:r>
      <w:r w:rsidRPr="009E060D">
        <w:rPr>
          <w:rFonts w:cs="Arial"/>
          <w:b w:val="0"/>
          <w:sz w:val="14"/>
          <w:szCs w:val="14"/>
        </w:rPr>
        <w:instrText xml:space="preserve"> SEQ Tabela \* ARABIC </w:instrText>
      </w:r>
      <w:r w:rsidRPr="009E060D">
        <w:rPr>
          <w:rFonts w:cs="Arial"/>
          <w:b w:val="0"/>
          <w:sz w:val="14"/>
          <w:szCs w:val="14"/>
        </w:rPr>
        <w:fldChar w:fldCharType="separate"/>
      </w:r>
      <w:r w:rsidR="0068396B">
        <w:rPr>
          <w:rFonts w:cs="Arial"/>
          <w:b w:val="0"/>
          <w:noProof/>
          <w:sz w:val="14"/>
          <w:szCs w:val="14"/>
        </w:rPr>
        <w:t>6</w:t>
      </w:r>
      <w:r w:rsidRPr="009E060D">
        <w:rPr>
          <w:rFonts w:cs="Arial"/>
          <w:b w:val="0"/>
          <w:noProof/>
          <w:sz w:val="14"/>
          <w:szCs w:val="14"/>
        </w:rPr>
        <w:fldChar w:fldCharType="end"/>
      </w:r>
      <w:r w:rsidRPr="002A6B1F">
        <w:rPr>
          <w:b w:val="0"/>
          <w:sz w:val="14"/>
        </w:rPr>
        <w:t xml:space="preserve"> – </w:t>
      </w:r>
      <w:r>
        <w:rPr>
          <w:rFonts w:cs="Arial"/>
          <w:b w:val="0"/>
          <w:sz w:val="14"/>
        </w:rPr>
        <w:t>Capital Humano - Investimento</w:t>
      </w:r>
    </w:p>
    <w:tbl>
      <w:tblPr>
        <w:tblStyle w:val="TabeladeLista6Colorida-nfase5"/>
        <w:tblW w:w="9639" w:type="dxa"/>
        <w:tblLook w:val="04A0" w:firstRow="1" w:lastRow="0" w:firstColumn="1" w:lastColumn="0" w:noHBand="0" w:noVBand="1"/>
      </w:tblPr>
      <w:tblGrid>
        <w:gridCol w:w="4063"/>
        <w:gridCol w:w="1859"/>
        <w:gridCol w:w="1859"/>
        <w:gridCol w:w="1858"/>
      </w:tblGrid>
      <w:tr w:rsidR="00622037" w:rsidRPr="00201B3F" w14:paraId="38AFF9F5" w14:textId="77777777" w:rsidTr="00D7056E">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bottom w:val="nil"/>
            </w:tcBorders>
            <w:shd w:val="clear" w:color="auto" w:fill="D9E2F3" w:themeFill="accent5" w:themeFillTint="33"/>
            <w:vAlign w:val="center"/>
          </w:tcPr>
          <w:p w14:paraId="18AF958F" w14:textId="77777777" w:rsidR="00622037" w:rsidRPr="00201B3F" w:rsidRDefault="00622037" w:rsidP="00D7056E">
            <w:pPr>
              <w:pStyle w:val="08-Tabelageral"/>
              <w:jc w:val="left"/>
              <w:rPr>
                <w:rFonts w:cs="Arial"/>
              </w:rPr>
            </w:pPr>
          </w:p>
        </w:tc>
        <w:tc>
          <w:tcPr>
            <w:tcW w:w="5576" w:type="dxa"/>
            <w:gridSpan w:val="3"/>
            <w:tcBorders>
              <w:top w:val="single" w:sz="2" w:space="0" w:color="8EAADB" w:themeColor="accent5" w:themeTint="99"/>
              <w:bottom w:val="nil"/>
            </w:tcBorders>
            <w:shd w:val="clear" w:color="auto" w:fill="D9E2F3" w:themeFill="accent5" w:themeFillTint="33"/>
            <w:vAlign w:val="center"/>
          </w:tcPr>
          <w:p w14:paraId="23095935" w14:textId="77777777" w:rsidR="00622037" w:rsidRPr="004A3EB4" w:rsidRDefault="00622037" w:rsidP="00D7056E">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rPr>
            </w:pPr>
            <w:r w:rsidRPr="004A3EB4">
              <w:rPr>
                <w:rFonts w:cs="Arial"/>
              </w:rPr>
              <w:t>Fluxo Anual</w:t>
            </w:r>
          </w:p>
        </w:tc>
      </w:tr>
      <w:tr w:rsidR="00D63A91" w:rsidRPr="001D6BE8" w14:paraId="24F843D9" w14:textId="77777777" w:rsidTr="00D7056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single" w:sz="2" w:space="0" w:color="8EAADB" w:themeColor="accent5" w:themeTint="99"/>
            </w:tcBorders>
          </w:tcPr>
          <w:p w14:paraId="5214EC37" w14:textId="77777777" w:rsidR="00D63A91" w:rsidRPr="00C806B0" w:rsidRDefault="00D63A91" w:rsidP="00D63A91">
            <w:pPr>
              <w:pStyle w:val="08-Tabelageral"/>
              <w:jc w:val="left"/>
              <w:rPr>
                <w:rFonts w:cs="Arial"/>
                <w:bCs w:val="0"/>
                <w:szCs w:val="14"/>
              </w:rPr>
            </w:pPr>
          </w:p>
        </w:tc>
        <w:tc>
          <w:tcPr>
            <w:tcW w:w="1859" w:type="dxa"/>
            <w:tcBorders>
              <w:top w:val="nil"/>
              <w:bottom w:val="single" w:sz="2" w:space="0" w:color="8EAADB" w:themeColor="accent5" w:themeTint="99"/>
            </w:tcBorders>
            <w:vAlign w:val="center"/>
          </w:tcPr>
          <w:p w14:paraId="07B6ED60" w14:textId="224712E9" w:rsidR="00D63A91" w:rsidRPr="002A6B1F" w:rsidRDefault="00D63A91" w:rsidP="00D63A91">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2020</w:t>
            </w:r>
          </w:p>
        </w:tc>
        <w:tc>
          <w:tcPr>
            <w:tcW w:w="1859" w:type="dxa"/>
            <w:tcBorders>
              <w:top w:val="nil"/>
              <w:bottom w:val="single" w:sz="2" w:space="0" w:color="8EAADB" w:themeColor="accent5" w:themeTint="99"/>
            </w:tcBorders>
            <w:vAlign w:val="center"/>
          </w:tcPr>
          <w:p w14:paraId="0FBD24DD" w14:textId="5D2DFBD4" w:rsidR="00D63A91" w:rsidRPr="002A6B1F" w:rsidRDefault="00D63A91" w:rsidP="00D63A91">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rPr>
            </w:pPr>
            <w:r w:rsidRPr="002A6B1F">
              <w:rPr>
                <w:rFonts w:cs="Arial"/>
                <w:b/>
              </w:rPr>
              <w:t>201</w:t>
            </w:r>
            <w:r>
              <w:rPr>
                <w:rFonts w:cs="Arial"/>
                <w:b/>
              </w:rPr>
              <w:t>9</w:t>
            </w:r>
            <w:r w:rsidRPr="008551D6">
              <w:rPr>
                <w:rFonts w:cs="Arial"/>
                <w:b/>
                <w:vertAlign w:val="superscript"/>
              </w:rPr>
              <w:t>1</w:t>
            </w:r>
          </w:p>
        </w:tc>
        <w:tc>
          <w:tcPr>
            <w:tcW w:w="1858" w:type="dxa"/>
            <w:tcBorders>
              <w:top w:val="nil"/>
              <w:bottom w:val="single" w:sz="2" w:space="0" w:color="8EAADB" w:themeColor="accent5" w:themeTint="99"/>
            </w:tcBorders>
            <w:vAlign w:val="center"/>
          </w:tcPr>
          <w:p w14:paraId="663BF379" w14:textId="4822DD97" w:rsidR="00D63A91" w:rsidRPr="002A6B1F" w:rsidRDefault="00D63A91" w:rsidP="00D63A91">
            <w:pPr>
              <w:pStyle w:val="08-Tabelageral"/>
              <w:jc w:val="center"/>
              <w:cnfStyle w:val="000000100000" w:firstRow="0" w:lastRow="0" w:firstColumn="0" w:lastColumn="0" w:oddVBand="0" w:evenVBand="0" w:oddHBand="1" w:evenHBand="0" w:firstRowFirstColumn="0" w:firstRowLastColumn="0" w:lastRowFirstColumn="0" w:lastRowLastColumn="0"/>
              <w:rPr>
                <w:rFonts w:cs="Arial"/>
                <w:b/>
              </w:rPr>
            </w:pPr>
            <w:r>
              <w:rPr>
                <w:rFonts w:cs="Arial"/>
                <w:b/>
              </w:rPr>
              <w:t>2018</w:t>
            </w:r>
            <w:r w:rsidRPr="008551D6">
              <w:rPr>
                <w:rFonts w:cs="Arial"/>
                <w:b/>
                <w:vertAlign w:val="superscript"/>
              </w:rPr>
              <w:t>1</w:t>
            </w:r>
          </w:p>
        </w:tc>
      </w:tr>
      <w:tr w:rsidR="00D63A91" w:rsidRPr="001D6BE8" w14:paraId="107F52F2" w14:textId="77777777" w:rsidTr="00C256BE">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bottom w:val="nil"/>
            </w:tcBorders>
            <w:vAlign w:val="center"/>
          </w:tcPr>
          <w:p w14:paraId="634F9BF8" w14:textId="77777777" w:rsidR="00D63A91" w:rsidRPr="00B44538" w:rsidRDefault="00D63A91" w:rsidP="00D63A91">
            <w:pPr>
              <w:pStyle w:val="08-Tabelageral"/>
              <w:jc w:val="left"/>
              <w:rPr>
                <w:rFonts w:cs="Arial"/>
                <w:snapToGrid w:val="0"/>
                <w:color w:val="000000"/>
              </w:rPr>
            </w:pPr>
            <w:r w:rsidRPr="00B44538">
              <w:rPr>
                <w:color w:val="000000"/>
              </w:rPr>
              <w:t>Investimento em Pessoas</w:t>
            </w:r>
          </w:p>
        </w:tc>
        <w:tc>
          <w:tcPr>
            <w:tcW w:w="1859" w:type="dxa"/>
            <w:tcBorders>
              <w:top w:val="single" w:sz="2" w:space="0" w:color="8EAADB" w:themeColor="accent5" w:themeTint="99"/>
              <w:bottom w:val="nil"/>
            </w:tcBorders>
            <w:vAlign w:val="center"/>
          </w:tcPr>
          <w:p w14:paraId="001F6585" w14:textId="7C9BC112" w:rsidR="00D63A91" w:rsidRPr="00B44538" w:rsidRDefault="00D63A91" w:rsidP="00D63A91">
            <w:pPr>
              <w:pStyle w:val="08-Tabelageral"/>
              <w:cnfStyle w:val="000000000000" w:firstRow="0" w:lastRow="0" w:firstColumn="0" w:lastColumn="0" w:oddVBand="0" w:evenVBand="0" w:oddHBand="0" w:evenHBand="0" w:firstRowFirstColumn="0" w:firstRowLastColumn="0" w:lastRowFirstColumn="0" w:lastRowLastColumn="0"/>
              <w:rPr>
                <w:b/>
                <w:color w:val="000000"/>
              </w:rPr>
            </w:pPr>
            <w:r w:rsidRPr="00C223FC">
              <w:rPr>
                <w:rFonts w:cs="Arial"/>
                <w:b/>
                <w:bCs/>
                <w:color w:val="auto"/>
                <w:szCs w:val="14"/>
              </w:rPr>
              <w:t>5</w:t>
            </w:r>
            <w:r>
              <w:rPr>
                <w:rFonts w:cs="Arial"/>
                <w:b/>
                <w:bCs/>
                <w:color w:val="auto"/>
                <w:szCs w:val="14"/>
              </w:rPr>
              <w:t>8.020.664</w:t>
            </w:r>
          </w:p>
        </w:tc>
        <w:tc>
          <w:tcPr>
            <w:tcW w:w="1859" w:type="dxa"/>
            <w:tcBorders>
              <w:top w:val="single" w:sz="2" w:space="0" w:color="8EAADB" w:themeColor="accent5" w:themeTint="99"/>
              <w:bottom w:val="nil"/>
            </w:tcBorders>
            <w:vAlign w:val="center"/>
          </w:tcPr>
          <w:p w14:paraId="4F864C6C" w14:textId="7E4AB9DC" w:rsidR="00D63A91" w:rsidRPr="00AE7810" w:rsidRDefault="00D63A91" w:rsidP="00D63A91">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rPr>
            </w:pPr>
            <w:r w:rsidRPr="008A4618">
              <w:rPr>
                <w:rFonts w:cs="Arial"/>
                <w:b/>
                <w:bCs/>
                <w:color w:val="auto"/>
                <w:szCs w:val="14"/>
              </w:rPr>
              <w:t>5</w:t>
            </w:r>
            <w:r>
              <w:rPr>
                <w:rFonts w:cs="Arial"/>
                <w:b/>
                <w:bCs/>
                <w:color w:val="auto"/>
                <w:szCs w:val="14"/>
              </w:rPr>
              <w:t>3.827.485</w:t>
            </w:r>
          </w:p>
        </w:tc>
        <w:tc>
          <w:tcPr>
            <w:tcW w:w="1858" w:type="dxa"/>
            <w:tcBorders>
              <w:top w:val="single" w:sz="2" w:space="0" w:color="8EAADB" w:themeColor="accent5" w:themeTint="99"/>
              <w:bottom w:val="nil"/>
            </w:tcBorders>
            <w:vAlign w:val="center"/>
          </w:tcPr>
          <w:p w14:paraId="6E2EB269" w14:textId="13C92389" w:rsidR="00D63A91" w:rsidRPr="00AE7810" w:rsidRDefault="00D63A91" w:rsidP="00D63A9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b/>
                <w:bCs/>
                <w:color w:val="auto"/>
                <w:sz w:val="14"/>
                <w:szCs w:val="14"/>
              </w:rPr>
            </w:pPr>
            <w:r w:rsidRPr="008A4618">
              <w:rPr>
                <w:rFonts w:ascii="Arial" w:hAnsi="Arial" w:cs="Arial"/>
                <w:b/>
                <w:bCs/>
                <w:color w:val="auto"/>
                <w:sz w:val="14"/>
                <w:szCs w:val="14"/>
              </w:rPr>
              <w:t>5</w:t>
            </w:r>
            <w:r>
              <w:rPr>
                <w:rFonts w:ascii="Arial" w:hAnsi="Arial" w:cs="Arial"/>
                <w:b/>
                <w:bCs/>
                <w:color w:val="auto"/>
                <w:sz w:val="14"/>
                <w:szCs w:val="14"/>
              </w:rPr>
              <w:t>2.492.284</w:t>
            </w:r>
          </w:p>
        </w:tc>
      </w:tr>
      <w:tr w:rsidR="00D63A91" w:rsidRPr="001D6BE8" w14:paraId="790C3469" w14:textId="77777777" w:rsidTr="00C256B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vAlign w:val="center"/>
          </w:tcPr>
          <w:p w14:paraId="7F9DB77F" w14:textId="6202DF67" w:rsidR="00D63A91" w:rsidRPr="00B44538" w:rsidRDefault="00D63A91" w:rsidP="00D63A91">
            <w:pPr>
              <w:pStyle w:val="08-Tabelageral"/>
              <w:ind w:left="113"/>
              <w:jc w:val="left"/>
              <w:rPr>
                <w:rFonts w:cs="Arial"/>
                <w:b w:val="0"/>
                <w:snapToGrid w:val="0"/>
                <w:color w:val="000000"/>
              </w:rPr>
            </w:pPr>
            <w:r w:rsidRPr="00B44538">
              <w:rPr>
                <w:b w:val="0"/>
                <w:color w:val="000000"/>
              </w:rPr>
              <w:t>Folha de pagamento</w:t>
            </w:r>
            <w:r>
              <w:rPr>
                <w:b w:val="0"/>
                <w:color w:val="000000"/>
              </w:rPr>
              <w:t>²</w:t>
            </w:r>
          </w:p>
        </w:tc>
        <w:tc>
          <w:tcPr>
            <w:tcW w:w="1859" w:type="dxa"/>
            <w:tcBorders>
              <w:top w:val="nil"/>
              <w:bottom w:val="nil"/>
            </w:tcBorders>
            <w:vAlign w:val="center"/>
          </w:tcPr>
          <w:p w14:paraId="60957C12" w14:textId="266506ED" w:rsidR="00D63A91" w:rsidRPr="00B44538" w:rsidRDefault="00D63A91" w:rsidP="00D63A91">
            <w:pPr>
              <w:pStyle w:val="08-Tabelageral"/>
              <w:cnfStyle w:val="000000100000" w:firstRow="0" w:lastRow="0" w:firstColumn="0" w:lastColumn="0" w:oddVBand="0" w:evenVBand="0" w:oddHBand="1" w:evenHBand="0" w:firstRowFirstColumn="0" w:firstRowLastColumn="0" w:lastRowFirstColumn="0" w:lastRowLastColumn="0"/>
              <w:rPr>
                <w:color w:val="000000"/>
              </w:rPr>
            </w:pPr>
            <w:r>
              <w:rPr>
                <w:color w:val="000000"/>
              </w:rPr>
              <w:t>52.129.717</w:t>
            </w:r>
          </w:p>
        </w:tc>
        <w:tc>
          <w:tcPr>
            <w:tcW w:w="1859" w:type="dxa"/>
            <w:tcBorders>
              <w:top w:val="nil"/>
              <w:bottom w:val="nil"/>
            </w:tcBorders>
            <w:vAlign w:val="center"/>
          </w:tcPr>
          <w:p w14:paraId="61C59EF8" w14:textId="0CC788DE" w:rsidR="00D63A91" w:rsidRPr="00AE7810" w:rsidRDefault="00D63A91" w:rsidP="00D63A9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C223FC">
              <w:rPr>
                <w:rFonts w:cs="Arial"/>
                <w:color w:val="auto"/>
                <w:szCs w:val="14"/>
              </w:rPr>
              <w:t>4</w:t>
            </w:r>
            <w:r>
              <w:rPr>
                <w:rFonts w:cs="Arial"/>
                <w:color w:val="auto"/>
                <w:szCs w:val="14"/>
              </w:rPr>
              <w:t>8</w:t>
            </w:r>
            <w:r w:rsidRPr="00C223FC">
              <w:rPr>
                <w:rFonts w:cs="Arial"/>
                <w:color w:val="auto"/>
                <w:szCs w:val="14"/>
              </w:rPr>
              <w:t>.959.203</w:t>
            </w:r>
          </w:p>
        </w:tc>
        <w:tc>
          <w:tcPr>
            <w:tcW w:w="1858" w:type="dxa"/>
            <w:tcBorders>
              <w:top w:val="nil"/>
              <w:bottom w:val="nil"/>
            </w:tcBorders>
            <w:vAlign w:val="center"/>
          </w:tcPr>
          <w:p w14:paraId="75708787" w14:textId="5DDA6D29" w:rsidR="00D63A91" w:rsidRPr="0098509F" w:rsidRDefault="00D63A91" w:rsidP="00D63A9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14"/>
                <w:szCs w:val="14"/>
              </w:rPr>
            </w:pPr>
            <w:r w:rsidRPr="00C223FC">
              <w:rPr>
                <w:rFonts w:ascii="Arial" w:hAnsi="Arial" w:cs="Arial"/>
                <w:color w:val="auto"/>
                <w:sz w:val="14"/>
                <w:szCs w:val="14"/>
              </w:rPr>
              <w:t>48.233.611</w:t>
            </w:r>
          </w:p>
        </w:tc>
      </w:tr>
      <w:tr w:rsidR="00D63A91" w:rsidRPr="001D6BE8" w14:paraId="69FC352B" w14:textId="77777777" w:rsidTr="00C256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vAlign w:val="center"/>
          </w:tcPr>
          <w:p w14:paraId="64438F69" w14:textId="77777777" w:rsidR="00D63A91" w:rsidRPr="00B44538" w:rsidRDefault="00D63A91" w:rsidP="00D63A91">
            <w:pPr>
              <w:pStyle w:val="08-Tabelageral"/>
              <w:ind w:left="113"/>
              <w:jc w:val="left"/>
              <w:rPr>
                <w:rFonts w:cs="Arial"/>
                <w:b w:val="0"/>
                <w:snapToGrid w:val="0"/>
                <w:color w:val="000000"/>
              </w:rPr>
            </w:pPr>
            <w:r w:rsidRPr="00B44538">
              <w:rPr>
                <w:b w:val="0"/>
                <w:color w:val="000000"/>
              </w:rPr>
              <w:t>Previdência complementar</w:t>
            </w:r>
          </w:p>
        </w:tc>
        <w:tc>
          <w:tcPr>
            <w:tcW w:w="1859" w:type="dxa"/>
            <w:tcBorders>
              <w:top w:val="nil"/>
              <w:bottom w:val="nil"/>
            </w:tcBorders>
            <w:vAlign w:val="center"/>
          </w:tcPr>
          <w:p w14:paraId="0EE1A54F" w14:textId="1F9AA6CC" w:rsidR="00D63A91" w:rsidRPr="00B44538" w:rsidRDefault="00D63A91" w:rsidP="00D63A91">
            <w:pPr>
              <w:pStyle w:val="08-Tabelageral"/>
              <w:cnfStyle w:val="000000000000" w:firstRow="0" w:lastRow="0" w:firstColumn="0" w:lastColumn="0" w:oddVBand="0" w:evenVBand="0" w:oddHBand="0" w:evenHBand="0" w:firstRowFirstColumn="0" w:firstRowLastColumn="0" w:lastRowFirstColumn="0" w:lastRowLastColumn="0"/>
              <w:rPr>
                <w:color w:val="000000"/>
              </w:rPr>
            </w:pPr>
            <w:r>
              <w:rPr>
                <w:color w:val="000000"/>
              </w:rPr>
              <w:t>2.865.357</w:t>
            </w:r>
          </w:p>
        </w:tc>
        <w:tc>
          <w:tcPr>
            <w:tcW w:w="1859" w:type="dxa"/>
            <w:tcBorders>
              <w:top w:val="nil"/>
              <w:bottom w:val="nil"/>
            </w:tcBorders>
            <w:vAlign w:val="center"/>
          </w:tcPr>
          <w:p w14:paraId="018F8C56" w14:textId="0AFD9EFA" w:rsidR="00D63A91" w:rsidRPr="00AE7810" w:rsidRDefault="00D63A91" w:rsidP="00D63A9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Pr>
                <w:rFonts w:cs="Arial"/>
                <w:color w:val="auto"/>
                <w:szCs w:val="14"/>
              </w:rPr>
              <w:t>2.641.534</w:t>
            </w:r>
          </w:p>
        </w:tc>
        <w:tc>
          <w:tcPr>
            <w:tcW w:w="1858" w:type="dxa"/>
            <w:tcBorders>
              <w:top w:val="nil"/>
              <w:bottom w:val="nil"/>
            </w:tcBorders>
            <w:vAlign w:val="center"/>
          </w:tcPr>
          <w:p w14:paraId="7B078167" w14:textId="3EC89F82" w:rsidR="00D63A91" w:rsidRPr="0098509F" w:rsidRDefault="00D63A91" w:rsidP="00D63A9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14"/>
                <w:szCs w:val="14"/>
              </w:rPr>
            </w:pPr>
            <w:r w:rsidRPr="00C223FC">
              <w:rPr>
                <w:rFonts w:ascii="Arial" w:hAnsi="Arial" w:cs="Arial"/>
                <w:color w:val="auto"/>
                <w:sz w:val="14"/>
                <w:szCs w:val="14"/>
              </w:rPr>
              <w:t>2.500.289</w:t>
            </w:r>
          </w:p>
        </w:tc>
      </w:tr>
      <w:tr w:rsidR="00D63A91" w:rsidRPr="001D6BE8" w14:paraId="2EFF6951" w14:textId="77777777" w:rsidTr="00C256BE">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nil"/>
            </w:tcBorders>
            <w:vAlign w:val="center"/>
          </w:tcPr>
          <w:p w14:paraId="0B909574" w14:textId="77777777" w:rsidR="00D63A91" w:rsidRPr="00B44538" w:rsidRDefault="00D63A91" w:rsidP="00D63A91">
            <w:pPr>
              <w:pStyle w:val="08-Tabelageral"/>
              <w:ind w:left="113"/>
              <w:jc w:val="left"/>
              <w:rPr>
                <w:rFonts w:cs="Arial"/>
                <w:b w:val="0"/>
                <w:snapToGrid w:val="0"/>
                <w:color w:val="000000"/>
              </w:rPr>
            </w:pPr>
            <w:r w:rsidRPr="00B44538">
              <w:rPr>
                <w:b w:val="0"/>
                <w:color w:val="000000"/>
              </w:rPr>
              <w:t>Plano de saúde</w:t>
            </w:r>
          </w:p>
        </w:tc>
        <w:tc>
          <w:tcPr>
            <w:tcW w:w="1859" w:type="dxa"/>
            <w:tcBorders>
              <w:top w:val="nil"/>
              <w:bottom w:val="nil"/>
            </w:tcBorders>
            <w:vAlign w:val="center"/>
          </w:tcPr>
          <w:p w14:paraId="44C24D05" w14:textId="319C0B07" w:rsidR="00D63A91" w:rsidRPr="00B44538" w:rsidRDefault="00D63A91" w:rsidP="00D63A91">
            <w:pPr>
              <w:pStyle w:val="08-Tabelageral"/>
              <w:cnfStyle w:val="000000100000" w:firstRow="0" w:lastRow="0" w:firstColumn="0" w:lastColumn="0" w:oddVBand="0" w:evenVBand="0" w:oddHBand="1" w:evenHBand="0" w:firstRowFirstColumn="0" w:firstRowLastColumn="0" w:lastRowFirstColumn="0" w:lastRowLastColumn="0"/>
            </w:pPr>
            <w:r>
              <w:t>2.191.697</w:t>
            </w:r>
          </w:p>
        </w:tc>
        <w:tc>
          <w:tcPr>
            <w:tcW w:w="1859" w:type="dxa"/>
            <w:tcBorders>
              <w:top w:val="nil"/>
              <w:bottom w:val="nil"/>
            </w:tcBorders>
            <w:vAlign w:val="center"/>
          </w:tcPr>
          <w:p w14:paraId="6D119666" w14:textId="4A5FEC5A" w:rsidR="00D63A91" w:rsidRPr="00AE7810" w:rsidRDefault="00D63A91" w:rsidP="00D63A91">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rPr>
            </w:pPr>
            <w:r w:rsidRPr="00C223FC">
              <w:rPr>
                <w:rFonts w:cs="Arial"/>
                <w:color w:val="auto"/>
                <w:szCs w:val="14"/>
              </w:rPr>
              <w:t>1.</w:t>
            </w:r>
            <w:r>
              <w:rPr>
                <w:rFonts w:cs="Arial"/>
                <w:color w:val="auto"/>
                <w:szCs w:val="14"/>
              </w:rPr>
              <w:t>249.029</w:t>
            </w:r>
          </w:p>
        </w:tc>
        <w:tc>
          <w:tcPr>
            <w:tcW w:w="1858" w:type="dxa"/>
            <w:tcBorders>
              <w:top w:val="nil"/>
              <w:bottom w:val="nil"/>
            </w:tcBorders>
            <w:vAlign w:val="center"/>
          </w:tcPr>
          <w:p w14:paraId="56C3C23C" w14:textId="5CFB063F" w:rsidR="00D63A91" w:rsidRPr="0098509F" w:rsidRDefault="00D63A91" w:rsidP="00D63A91">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14"/>
                <w:szCs w:val="14"/>
              </w:rPr>
            </w:pPr>
            <w:r w:rsidRPr="00C223FC">
              <w:rPr>
                <w:rFonts w:ascii="Arial" w:hAnsi="Arial" w:cs="Arial"/>
                <w:color w:val="auto"/>
                <w:sz w:val="14"/>
                <w:szCs w:val="14"/>
              </w:rPr>
              <w:t>1.129.984</w:t>
            </w:r>
          </w:p>
        </w:tc>
      </w:tr>
      <w:tr w:rsidR="00D63A91" w:rsidRPr="001D6BE8" w14:paraId="1DB2D358" w14:textId="77777777" w:rsidTr="00C256BE">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bottom w:val="single" w:sz="2" w:space="0" w:color="9CC2E5" w:themeColor="accent1" w:themeTint="99"/>
            </w:tcBorders>
            <w:vAlign w:val="center"/>
          </w:tcPr>
          <w:p w14:paraId="17780306" w14:textId="77777777" w:rsidR="00D63A91" w:rsidRPr="00B44538" w:rsidRDefault="00D63A91" w:rsidP="00D63A91">
            <w:pPr>
              <w:pStyle w:val="08-Tabelageral"/>
              <w:ind w:left="113"/>
              <w:jc w:val="left"/>
              <w:rPr>
                <w:rFonts w:cs="Arial"/>
                <w:b w:val="0"/>
                <w:snapToGrid w:val="0"/>
                <w:color w:val="000000"/>
              </w:rPr>
            </w:pPr>
            <w:r w:rsidRPr="00B44538">
              <w:rPr>
                <w:b w:val="0"/>
                <w:color w:val="000000"/>
              </w:rPr>
              <w:t>Capacitação (Bolsas e Treinamentos)</w:t>
            </w:r>
          </w:p>
        </w:tc>
        <w:tc>
          <w:tcPr>
            <w:tcW w:w="1859" w:type="dxa"/>
            <w:tcBorders>
              <w:top w:val="nil"/>
              <w:bottom w:val="single" w:sz="2" w:space="0" w:color="9CC2E5" w:themeColor="accent1" w:themeTint="99"/>
            </w:tcBorders>
            <w:vAlign w:val="center"/>
          </w:tcPr>
          <w:p w14:paraId="7218B24D" w14:textId="0FC06960" w:rsidR="00D63A91" w:rsidRPr="00B44538" w:rsidRDefault="00D63A91" w:rsidP="00D63A91">
            <w:pPr>
              <w:pStyle w:val="08-Tabelageral"/>
              <w:cnfStyle w:val="000000000000" w:firstRow="0" w:lastRow="0" w:firstColumn="0" w:lastColumn="0" w:oddVBand="0" w:evenVBand="0" w:oddHBand="0" w:evenHBand="0" w:firstRowFirstColumn="0" w:firstRowLastColumn="0" w:lastRowFirstColumn="0" w:lastRowLastColumn="0"/>
              <w:rPr>
                <w:color w:val="000000"/>
              </w:rPr>
            </w:pPr>
            <w:r w:rsidRPr="00CC3CDE">
              <w:rPr>
                <w:rFonts w:cs="Arial"/>
                <w:color w:val="auto"/>
                <w:szCs w:val="14"/>
              </w:rPr>
              <w:t>833.893</w:t>
            </w:r>
          </w:p>
        </w:tc>
        <w:tc>
          <w:tcPr>
            <w:tcW w:w="1859" w:type="dxa"/>
            <w:tcBorders>
              <w:top w:val="nil"/>
              <w:bottom w:val="single" w:sz="2" w:space="0" w:color="9CC2E5" w:themeColor="accent1" w:themeTint="99"/>
            </w:tcBorders>
            <w:vAlign w:val="center"/>
          </w:tcPr>
          <w:p w14:paraId="387D2BDC" w14:textId="63973F05" w:rsidR="00D63A91" w:rsidRPr="00AE7810" w:rsidRDefault="00D63A91" w:rsidP="00D63A91">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C223FC">
              <w:rPr>
                <w:rFonts w:cs="Arial"/>
                <w:color w:val="auto"/>
                <w:szCs w:val="14"/>
              </w:rPr>
              <w:t>977.720</w:t>
            </w:r>
          </w:p>
        </w:tc>
        <w:tc>
          <w:tcPr>
            <w:tcW w:w="1858" w:type="dxa"/>
            <w:tcBorders>
              <w:top w:val="nil"/>
              <w:bottom w:val="single" w:sz="2" w:space="0" w:color="9CC2E5" w:themeColor="accent1" w:themeTint="99"/>
            </w:tcBorders>
            <w:vAlign w:val="center"/>
          </w:tcPr>
          <w:p w14:paraId="35086260" w14:textId="3C599708" w:rsidR="00D63A91" w:rsidRPr="0098509F" w:rsidRDefault="00D63A91" w:rsidP="00D63A91">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14"/>
                <w:szCs w:val="14"/>
              </w:rPr>
            </w:pPr>
            <w:r w:rsidRPr="00C223FC">
              <w:rPr>
                <w:rFonts w:ascii="Arial" w:hAnsi="Arial" w:cs="Arial"/>
                <w:color w:val="auto"/>
                <w:sz w:val="14"/>
                <w:szCs w:val="14"/>
              </w:rPr>
              <w:t>628.400</w:t>
            </w:r>
          </w:p>
        </w:tc>
      </w:tr>
    </w:tbl>
    <w:p w14:paraId="628BBB9A" w14:textId="77777777" w:rsidR="00D63A91" w:rsidRDefault="00D63A91" w:rsidP="00D63A91">
      <w:pPr>
        <w:pStyle w:val="07-Legenda"/>
        <w:tabs>
          <w:tab w:val="clear" w:pos="284"/>
          <w:tab w:val="left" w:pos="142"/>
        </w:tabs>
        <w:rPr>
          <w:color w:val="000000"/>
        </w:rPr>
      </w:pPr>
      <w:r w:rsidRPr="005B4116">
        <w:rPr>
          <w:color w:val="000000"/>
        </w:rPr>
        <w:t>(1)</w:t>
      </w:r>
      <w:r>
        <w:rPr>
          <w:color w:val="000000"/>
        </w:rPr>
        <w:tab/>
      </w:r>
      <w:r w:rsidRPr="00E768D7">
        <w:rPr>
          <w:color w:val="000000"/>
        </w:rPr>
        <w:t xml:space="preserve">A partir de 2020, alguns dos valores referentes à previdência complementar e plano de saúde, antes consideradas na linha Folha de </w:t>
      </w:r>
      <w:r>
        <w:rPr>
          <w:color w:val="000000"/>
        </w:rPr>
        <w:t>p</w:t>
      </w:r>
      <w:r w:rsidRPr="00E768D7">
        <w:rPr>
          <w:color w:val="000000"/>
        </w:rPr>
        <w:t>agamento, passaram a ser reportadas separadamente. Adicionalmente, a linha Folha de pagamento passou a contemplar os valores relativos a auxílio alimentação</w:t>
      </w:r>
      <w:r>
        <w:rPr>
          <w:color w:val="000000"/>
        </w:rPr>
        <w:t xml:space="preserve"> e refeição</w:t>
      </w:r>
      <w:r w:rsidRPr="00E768D7">
        <w:rPr>
          <w:color w:val="000000"/>
        </w:rPr>
        <w:t>. Dessa forma, para melhor comparabilidade dos números, os valores de 2018 e 2019 foram revisados, de acordo com os parâmetros atuais.</w:t>
      </w:r>
    </w:p>
    <w:p w14:paraId="25A8EB06" w14:textId="310C6FF0" w:rsidR="00D63A91" w:rsidRPr="005B4116" w:rsidRDefault="00D63A91" w:rsidP="00D63A91">
      <w:pPr>
        <w:pStyle w:val="07-Legenda"/>
        <w:rPr>
          <w:color w:val="000000"/>
        </w:rPr>
      </w:pPr>
      <w:r>
        <w:rPr>
          <w:color w:val="000000"/>
        </w:rPr>
        <w:t xml:space="preserve">(2) </w:t>
      </w:r>
      <w:r>
        <w:rPr>
          <w:color w:val="000000"/>
        </w:rPr>
        <w:tab/>
      </w:r>
      <w:r w:rsidRPr="005B4116">
        <w:rPr>
          <w:color w:val="000000"/>
        </w:rPr>
        <w:t>Despesas com proventos, benefícios e encargos sociais</w:t>
      </w:r>
      <w:r>
        <w:rPr>
          <w:color w:val="000000"/>
        </w:rPr>
        <w:t xml:space="preserve">, </w:t>
      </w:r>
      <w:r w:rsidR="00C256BE">
        <w:rPr>
          <w:color w:val="000000"/>
        </w:rPr>
        <w:t>excluído</w:t>
      </w:r>
      <w:r>
        <w:rPr>
          <w:color w:val="000000"/>
        </w:rPr>
        <w:t xml:space="preserve"> os valores referentes a Plano de Saúde e Previdência Complementar.</w:t>
      </w:r>
    </w:p>
    <w:p w14:paraId="09F3CED3" w14:textId="77777777" w:rsidR="005507F9" w:rsidRPr="009B7402" w:rsidRDefault="005507F9" w:rsidP="005507F9">
      <w:pPr>
        <w:spacing w:before="120" w:after="120"/>
        <w:jc w:val="both"/>
        <w:rPr>
          <w:rFonts w:ascii="Arial" w:hAnsi="Arial" w:cs="Arial"/>
          <w:iCs/>
          <w:color w:val="000000"/>
          <w:sz w:val="18"/>
          <w:szCs w:val="18"/>
        </w:rPr>
      </w:pPr>
    </w:p>
    <w:p w14:paraId="1060EFF6" w14:textId="59AAF1D9" w:rsidR="00D63A91" w:rsidRPr="0063302F" w:rsidRDefault="00D63A91" w:rsidP="00D63A91">
      <w:pPr>
        <w:tabs>
          <w:tab w:val="left" w:pos="1175"/>
        </w:tabs>
        <w:spacing w:before="120" w:after="120"/>
        <w:jc w:val="both"/>
        <w:rPr>
          <w:rFonts w:ascii="Arial" w:hAnsi="Arial" w:cs="Arial"/>
          <w:b/>
          <w:color w:val="254E79"/>
          <w:sz w:val="18"/>
          <w:szCs w:val="18"/>
        </w:rPr>
      </w:pPr>
      <w:r w:rsidRPr="0063302F">
        <w:rPr>
          <w:rFonts w:ascii="Arial" w:hAnsi="Arial" w:cs="Arial"/>
          <w:b/>
          <w:color w:val="254E79"/>
          <w:sz w:val="18"/>
          <w:szCs w:val="18"/>
        </w:rPr>
        <w:t xml:space="preserve">Clima </w:t>
      </w:r>
      <w:r w:rsidR="00C256BE" w:rsidRPr="0063302F">
        <w:rPr>
          <w:rFonts w:ascii="Arial" w:hAnsi="Arial" w:cs="Arial"/>
          <w:b/>
          <w:color w:val="254E79"/>
          <w:sz w:val="18"/>
          <w:szCs w:val="18"/>
        </w:rPr>
        <w:t>Organizacional</w:t>
      </w:r>
    </w:p>
    <w:p w14:paraId="5368E066" w14:textId="462E3D26" w:rsidR="005B2A55" w:rsidRDefault="005B2A55" w:rsidP="005B2A55">
      <w:pPr>
        <w:spacing w:before="120" w:after="120"/>
        <w:jc w:val="both"/>
        <w:rPr>
          <w:rFonts w:ascii="Arial" w:hAnsi="Arial" w:cs="Arial"/>
          <w:color w:val="000000"/>
          <w:sz w:val="18"/>
          <w:szCs w:val="18"/>
        </w:rPr>
      </w:pPr>
      <w:r w:rsidRPr="00C52DCD">
        <w:rPr>
          <w:rFonts w:ascii="Arial" w:hAnsi="Arial" w:cs="Arial"/>
          <w:color w:val="000000"/>
          <w:sz w:val="18"/>
          <w:szCs w:val="18"/>
        </w:rPr>
        <w:t>A BB Seguridade tem realizado, ao menos uma vez ao ano, pesquisas de clima e satisfação, a fim de diagnosticar os pontos a serem aprimorados e endereçá-los por meio de ações relacionadas às práticas de gestão de pessoas.</w:t>
      </w:r>
    </w:p>
    <w:p w14:paraId="7975904D" w14:textId="1EDA4654" w:rsidR="005B2A55" w:rsidRDefault="005B2A55" w:rsidP="005B2A55">
      <w:pPr>
        <w:spacing w:before="120" w:after="120"/>
        <w:jc w:val="both"/>
        <w:rPr>
          <w:rFonts w:ascii="Arial" w:hAnsi="Arial" w:cs="Arial"/>
          <w:color w:val="000000"/>
          <w:sz w:val="18"/>
          <w:szCs w:val="18"/>
        </w:rPr>
      </w:pPr>
      <w:r w:rsidRPr="00462F97">
        <w:rPr>
          <w:rFonts w:ascii="Arial" w:hAnsi="Arial" w:cs="Arial"/>
          <w:color w:val="000000"/>
          <w:sz w:val="18"/>
          <w:szCs w:val="18"/>
        </w:rPr>
        <w:t xml:space="preserve">No </w:t>
      </w:r>
      <w:r>
        <w:rPr>
          <w:rFonts w:ascii="Arial" w:hAnsi="Arial" w:cs="Arial"/>
          <w:color w:val="000000"/>
          <w:sz w:val="18"/>
          <w:szCs w:val="18"/>
        </w:rPr>
        <w:t>início do 2</w:t>
      </w:r>
      <w:r w:rsidRPr="00462F97">
        <w:rPr>
          <w:rFonts w:ascii="Arial" w:hAnsi="Arial" w:cs="Arial"/>
          <w:color w:val="000000"/>
          <w:sz w:val="18"/>
          <w:szCs w:val="18"/>
        </w:rPr>
        <w:t>º semestre de 20</w:t>
      </w:r>
      <w:r>
        <w:rPr>
          <w:rFonts w:ascii="Arial" w:hAnsi="Arial" w:cs="Arial"/>
          <w:color w:val="000000"/>
          <w:sz w:val="18"/>
          <w:szCs w:val="18"/>
        </w:rPr>
        <w:t>20</w:t>
      </w:r>
      <w:r w:rsidRPr="00462F97">
        <w:rPr>
          <w:rFonts w:ascii="Arial" w:hAnsi="Arial" w:cs="Arial"/>
          <w:color w:val="000000"/>
          <w:sz w:val="18"/>
          <w:szCs w:val="18"/>
        </w:rPr>
        <w:t xml:space="preserve">, </w:t>
      </w:r>
      <w:r w:rsidR="001649ED">
        <w:rPr>
          <w:rFonts w:ascii="Arial" w:hAnsi="Arial" w:cs="Arial"/>
          <w:color w:val="000000"/>
          <w:sz w:val="18"/>
          <w:szCs w:val="18"/>
        </w:rPr>
        <w:t>a Companhia participou</w:t>
      </w:r>
      <w:r w:rsidR="001649ED" w:rsidRPr="00462F97">
        <w:rPr>
          <w:rFonts w:ascii="Arial" w:hAnsi="Arial" w:cs="Arial"/>
          <w:color w:val="000000"/>
          <w:sz w:val="18"/>
          <w:szCs w:val="18"/>
        </w:rPr>
        <w:t xml:space="preserve"> </w:t>
      </w:r>
      <w:r w:rsidRPr="00462F97">
        <w:rPr>
          <w:rFonts w:ascii="Arial" w:hAnsi="Arial" w:cs="Arial"/>
          <w:color w:val="000000"/>
          <w:sz w:val="18"/>
          <w:szCs w:val="18"/>
        </w:rPr>
        <w:t>da Pesquisa de Clima e Engajamento Organizacional aplicada pelo B</w:t>
      </w:r>
      <w:r>
        <w:rPr>
          <w:rFonts w:ascii="Arial" w:hAnsi="Arial" w:cs="Arial"/>
          <w:color w:val="000000"/>
          <w:sz w:val="18"/>
          <w:szCs w:val="18"/>
        </w:rPr>
        <w:t>B</w:t>
      </w:r>
      <w:r w:rsidRPr="00462F97">
        <w:rPr>
          <w:rFonts w:ascii="Arial" w:hAnsi="Arial" w:cs="Arial"/>
          <w:color w:val="000000"/>
          <w:sz w:val="18"/>
          <w:szCs w:val="18"/>
        </w:rPr>
        <w:t>, que demonstrou que 8</w:t>
      </w:r>
      <w:r>
        <w:rPr>
          <w:rFonts w:ascii="Arial" w:hAnsi="Arial" w:cs="Arial"/>
          <w:color w:val="000000"/>
          <w:sz w:val="18"/>
          <w:szCs w:val="18"/>
        </w:rPr>
        <w:t>6</w:t>
      </w:r>
      <w:r w:rsidRPr="00462F97">
        <w:rPr>
          <w:rFonts w:ascii="Arial" w:hAnsi="Arial" w:cs="Arial"/>
          <w:color w:val="000000"/>
          <w:sz w:val="18"/>
          <w:szCs w:val="18"/>
        </w:rPr>
        <w:t>,</w:t>
      </w:r>
      <w:r>
        <w:rPr>
          <w:rFonts w:ascii="Arial" w:hAnsi="Arial" w:cs="Arial"/>
          <w:color w:val="000000"/>
          <w:sz w:val="18"/>
          <w:szCs w:val="18"/>
        </w:rPr>
        <w:t>17</w:t>
      </w:r>
      <w:r w:rsidRPr="00462F97">
        <w:rPr>
          <w:rFonts w:ascii="Arial" w:hAnsi="Arial" w:cs="Arial"/>
          <w:color w:val="000000"/>
          <w:sz w:val="18"/>
          <w:szCs w:val="18"/>
        </w:rPr>
        <w:t>% dos funcionários estão satisfeitos com seu trabalho na BB Seguridade, com um índice de engajamento de 72,</w:t>
      </w:r>
      <w:r>
        <w:rPr>
          <w:rFonts w:ascii="Arial" w:hAnsi="Arial" w:cs="Arial"/>
          <w:color w:val="000000"/>
          <w:sz w:val="18"/>
          <w:szCs w:val="18"/>
        </w:rPr>
        <w:t>34</w:t>
      </w:r>
      <w:r w:rsidRPr="00462F97">
        <w:rPr>
          <w:rFonts w:ascii="Arial" w:hAnsi="Arial" w:cs="Arial"/>
          <w:color w:val="000000"/>
          <w:sz w:val="18"/>
          <w:szCs w:val="18"/>
        </w:rPr>
        <w:t>% (grau em que o trabalho apresenta interesse, diversidade, satisfação pessoal e orgulho de pertencer à empresa).</w:t>
      </w:r>
    </w:p>
    <w:p w14:paraId="2E2DE5B7" w14:textId="36C8B811" w:rsidR="005B2A55" w:rsidRPr="00462F97" w:rsidRDefault="005B2A55" w:rsidP="005B2A55">
      <w:pPr>
        <w:spacing w:before="120" w:after="120"/>
        <w:jc w:val="both"/>
        <w:rPr>
          <w:rFonts w:ascii="Arial" w:hAnsi="Arial" w:cs="Arial"/>
          <w:color w:val="000000"/>
          <w:sz w:val="18"/>
          <w:szCs w:val="18"/>
        </w:rPr>
      </w:pPr>
      <w:r w:rsidRPr="00462F97">
        <w:rPr>
          <w:rFonts w:ascii="Arial" w:hAnsi="Arial" w:cs="Arial"/>
          <w:color w:val="000000"/>
          <w:sz w:val="18"/>
          <w:szCs w:val="18"/>
        </w:rPr>
        <w:t xml:space="preserve">Em complementação a essas pesquisas, </w:t>
      </w:r>
      <w:r>
        <w:rPr>
          <w:rFonts w:ascii="Arial" w:hAnsi="Arial" w:cs="Arial"/>
          <w:color w:val="000000"/>
          <w:sz w:val="18"/>
          <w:szCs w:val="18"/>
        </w:rPr>
        <w:t>em 2020</w:t>
      </w:r>
      <w:r w:rsidRPr="00462F97">
        <w:rPr>
          <w:rFonts w:ascii="Arial" w:hAnsi="Arial" w:cs="Arial"/>
          <w:color w:val="000000"/>
          <w:sz w:val="18"/>
          <w:szCs w:val="18"/>
        </w:rPr>
        <w:t xml:space="preserve">, </w:t>
      </w:r>
      <w:r>
        <w:rPr>
          <w:rFonts w:ascii="Arial" w:hAnsi="Arial" w:cs="Arial"/>
          <w:color w:val="000000"/>
          <w:sz w:val="18"/>
          <w:szCs w:val="18"/>
        </w:rPr>
        <w:t>trimestralmente</w:t>
      </w:r>
      <w:r w:rsidRPr="00462F97">
        <w:rPr>
          <w:rFonts w:ascii="Arial" w:hAnsi="Arial" w:cs="Arial"/>
          <w:color w:val="000000"/>
          <w:sz w:val="18"/>
          <w:szCs w:val="18"/>
        </w:rPr>
        <w:t xml:space="preserve">, </w:t>
      </w:r>
      <w:r w:rsidR="00D63A91">
        <w:rPr>
          <w:rFonts w:ascii="Arial" w:hAnsi="Arial" w:cs="Arial"/>
          <w:color w:val="000000"/>
          <w:sz w:val="18"/>
          <w:szCs w:val="18"/>
        </w:rPr>
        <w:t>foi</w:t>
      </w:r>
      <w:r w:rsidRPr="00462F97">
        <w:rPr>
          <w:rFonts w:ascii="Arial" w:hAnsi="Arial" w:cs="Arial"/>
          <w:color w:val="000000"/>
          <w:sz w:val="18"/>
          <w:szCs w:val="18"/>
        </w:rPr>
        <w:t xml:space="preserve"> disponibilizado o Pulso de Clima, o qual é composto pela pergunta do e-NPS (</w:t>
      </w:r>
      <w:proofErr w:type="spellStart"/>
      <w:r w:rsidRPr="00462F97">
        <w:rPr>
          <w:rFonts w:ascii="Arial" w:hAnsi="Arial" w:cs="Arial"/>
          <w:i/>
          <w:color w:val="000000"/>
          <w:sz w:val="18"/>
          <w:szCs w:val="18"/>
        </w:rPr>
        <w:t>Employee</w:t>
      </w:r>
      <w:proofErr w:type="spellEnd"/>
      <w:r w:rsidRPr="00462F97">
        <w:rPr>
          <w:rFonts w:ascii="Arial" w:hAnsi="Arial" w:cs="Arial"/>
          <w:i/>
          <w:color w:val="000000"/>
          <w:sz w:val="18"/>
          <w:szCs w:val="18"/>
        </w:rPr>
        <w:t xml:space="preserve"> Net Promoter Score</w:t>
      </w:r>
      <w:r w:rsidRPr="00462F97">
        <w:rPr>
          <w:rFonts w:ascii="Arial" w:hAnsi="Arial" w:cs="Arial"/>
          <w:color w:val="000000"/>
          <w:sz w:val="18"/>
          <w:szCs w:val="18"/>
        </w:rPr>
        <w:t>) e por uma pergunta adicional relacionada a temas variados, que tem como principal objetivo identificar, no curto prazo, os possíveis fatores de eventual satisfação e/ou insatisfação dos funcionários.</w:t>
      </w:r>
    </w:p>
    <w:p w14:paraId="31D26E2E" w14:textId="54C9FC65" w:rsidR="005B2A55" w:rsidRPr="00462F97" w:rsidRDefault="005B2A55" w:rsidP="005B2A55">
      <w:pPr>
        <w:spacing w:before="120" w:after="120"/>
        <w:jc w:val="both"/>
        <w:rPr>
          <w:rFonts w:ascii="Arial" w:hAnsi="Arial" w:cs="Arial"/>
          <w:color w:val="000000"/>
          <w:sz w:val="18"/>
          <w:szCs w:val="18"/>
        </w:rPr>
      </w:pPr>
      <w:r w:rsidRPr="00462F97">
        <w:rPr>
          <w:rFonts w:ascii="Arial" w:hAnsi="Arial" w:cs="Arial"/>
          <w:color w:val="000000"/>
          <w:sz w:val="18"/>
          <w:szCs w:val="18"/>
        </w:rPr>
        <w:t>Com base no levantamento da percepção dos funcionários por meio desses instrumentos, a Companhia vem realizando ações para elevar o engajamento dos colaboradores e o clima organizacional da Companhia.</w:t>
      </w:r>
    </w:p>
    <w:p w14:paraId="70D9A63C" w14:textId="497D93C3" w:rsidR="005B2A55" w:rsidRDefault="005B2A55" w:rsidP="005B2A55">
      <w:pPr>
        <w:spacing w:before="120" w:after="120"/>
        <w:jc w:val="both"/>
        <w:rPr>
          <w:rFonts w:ascii="Arial" w:hAnsi="Arial" w:cs="Arial"/>
          <w:color w:val="000000"/>
          <w:sz w:val="18"/>
          <w:szCs w:val="18"/>
        </w:rPr>
      </w:pPr>
      <w:r w:rsidRPr="00462F97">
        <w:rPr>
          <w:rFonts w:ascii="Arial" w:hAnsi="Arial" w:cs="Arial"/>
          <w:color w:val="000000"/>
          <w:sz w:val="18"/>
          <w:szCs w:val="18"/>
        </w:rPr>
        <w:t>Em 20</w:t>
      </w:r>
      <w:r>
        <w:rPr>
          <w:rFonts w:ascii="Arial" w:hAnsi="Arial" w:cs="Arial"/>
          <w:color w:val="000000"/>
          <w:sz w:val="18"/>
          <w:szCs w:val="18"/>
        </w:rPr>
        <w:t>20</w:t>
      </w:r>
      <w:r w:rsidRPr="00462F97">
        <w:rPr>
          <w:rFonts w:ascii="Arial" w:hAnsi="Arial" w:cs="Arial"/>
          <w:color w:val="000000"/>
          <w:sz w:val="18"/>
          <w:szCs w:val="18"/>
        </w:rPr>
        <w:t>, a rotatividade da empresa, considerando os colaboradores que retornam ao Banco do Brasil</w:t>
      </w:r>
      <w:r>
        <w:rPr>
          <w:rFonts w:ascii="Arial" w:hAnsi="Arial" w:cs="Arial"/>
          <w:color w:val="000000"/>
          <w:sz w:val="18"/>
          <w:szCs w:val="18"/>
        </w:rPr>
        <w:t xml:space="preserve"> ou são cedidos a uma de nossas coligadas</w:t>
      </w:r>
      <w:r w:rsidRPr="00462F97">
        <w:rPr>
          <w:rFonts w:ascii="Arial" w:hAnsi="Arial" w:cs="Arial"/>
          <w:color w:val="000000"/>
          <w:sz w:val="18"/>
          <w:szCs w:val="18"/>
        </w:rPr>
        <w:t xml:space="preserve">, foi de </w:t>
      </w:r>
      <w:r w:rsidR="00D63A91">
        <w:rPr>
          <w:rFonts w:ascii="Arial" w:hAnsi="Arial" w:cs="Arial"/>
          <w:color w:val="000000"/>
          <w:sz w:val="18"/>
          <w:szCs w:val="18"/>
        </w:rPr>
        <w:t>5,19</w:t>
      </w:r>
      <w:r w:rsidRPr="00462F97">
        <w:rPr>
          <w:rFonts w:ascii="Arial" w:hAnsi="Arial" w:cs="Arial"/>
          <w:color w:val="000000"/>
          <w:sz w:val="18"/>
          <w:szCs w:val="18"/>
        </w:rPr>
        <w:t xml:space="preserve">%, o </w:t>
      </w:r>
      <w:r>
        <w:rPr>
          <w:rFonts w:ascii="Arial" w:hAnsi="Arial" w:cs="Arial"/>
          <w:color w:val="000000"/>
          <w:sz w:val="18"/>
          <w:szCs w:val="18"/>
        </w:rPr>
        <w:t>que representa um decréscimo de 5,</w:t>
      </w:r>
      <w:r w:rsidR="00D63A91">
        <w:rPr>
          <w:rFonts w:ascii="Arial" w:hAnsi="Arial" w:cs="Arial"/>
          <w:color w:val="000000"/>
          <w:sz w:val="18"/>
          <w:szCs w:val="18"/>
        </w:rPr>
        <w:t xml:space="preserve">61 </w:t>
      </w:r>
      <w:proofErr w:type="spellStart"/>
      <w:r>
        <w:rPr>
          <w:rFonts w:ascii="Arial" w:hAnsi="Arial" w:cs="Arial"/>
          <w:color w:val="000000"/>
          <w:sz w:val="18"/>
          <w:szCs w:val="18"/>
        </w:rPr>
        <w:t>p.p</w:t>
      </w:r>
      <w:proofErr w:type="spellEnd"/>
      <w:r>
        <w:rPr>
          <w:rFonts w:ascii="Arial" w:hAnsi="Arial" w:cs="Arial"/>
          <w:color w:val="000000"/>
          <w:sz w:val="18"/>
          <w:szCs w:val="18"/>
        </w:rPr>
        <w:t>.</w:t>
      </w:r>
      <w:r w:rsidRPr="00462F97">
        <w:rPr>
          <w:rFonts w:ascii="Arial" w:hAnsi="Arial" w:cs="Arial"/>
          <w:color w:val="000000"/>
          <w:sz w:val="18"/>
          <w:szCs w:val="18"/>
        </w:rPr>
        <w:t xml:space="preserve"> em relação a</w:t>
      </w:r>
      <w:r>
        <w:rPr>
          <w:rFonts w:ascii="Arial" w:hAnsi="Arial" w:cs="Arial"/>
          <w:color w:val="000000"/>
          <w:sz w:val="18"/>
          <w:szCs w:val="18"/>
        </w:rPr>
        <w:t xml:space="preserve"> 2019.</w:t>
      </w:r>
    </w:p>
    <w:p w14:paraId="47759F34" w14:textId="77777777" w:rsidR="005507F9" w:rsidRDefault="005507F9" w:rsidP="005507F9">
      <w:pPr>
        <w:pStyle w:val="01-Textonormal"/>
      </w:pPr>
    </w:p>
    <w:p w14:paraId="06696988"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RESPONSABILIDADE SOCIAL E AMBIENTAL</w:t>
      </w:r>
    </w:p>
    <w:p w14:paraId="25C764E0" w14:textId="1350A756" w:rsidR="001E71C4" w:rsidRPr="001E71C4" w:rsidRDefault="001E71C4" w:rsidP="001E71C4">
      <w:pPr>
        <w:spacing w:before="120" w:after="120"/>
        <w:jc w:val="both"/>
        <w:rPr>
          <w:rFonts w:ascii="Arial" w:eastAsia="Times New Roman" w:hAnsi="Arial" w:cs="Arial"/>
          <w:spacing w:val="-2"/>
          <w:sz w:val="18"/>
          <w:szCs w:val="18"/>
          <w:lang w:eastAsia="pt-BR"/>
        </w:rPr>
      </w:pPr>
      <w:r w:rsidRPr="001E71C4">
        <w:rPr>
          <w:rFonts w:ascii="Arial" w:eastAsia="Times New Roman" w:hAnsi="Arial" w:cs="Arial"/>
          <w:spacing w:val="-2"/>
          <w:sz w:val="18"/>
          <w:szCs w:val="18"/>
          <w:lang w:eastAsia="pt-BR"/>
        </w:rPr>
        <w:t>A BB Seguridade tem o compromisso de alinhar as suas iniciativas no âmbito ASG (ambiental, social e governança) às práticas de mercado. Além disso, baseia sua atuação nas diretrizes adotadas pelo</w:t>
      </w:r>
      <w:r>
        <w:rPr>
          <w:rFonts w:ascii="Arial" w:eastAsia="Times New Roman" w:hAnsi="Arial" w:cs="Arial"/>
          <w:spacing w:val="-2"/>
          <w:sz w:val="18"/>
          <w:szCs w:val="18"/>
          <w:lang w:eastAsia="pt-BR"/>
        </w:rPr>
        <w:t xml:space="preserve"> seu controlador, o</w:t>
      </w:r>
      <w:r w:rsidRPr="001E71C4">
        <w:rPr>
          <w:rFonts w:ascii="Arial" w:eastAsia="Times New Roman" w:hAnsi="Arial" w:cs="Arial"/>
          <w:spacing w:val="-2"/>
          <w:sz w:val="18"/>
          <w:szCs w:val="18"/>
          <w:lang w:eastAsia="pt-BR"/>
        </w:rPr>
        <w:t xml:space="preserve"> Banco do Brasil.</w:t>
      </w:r>
    </w:p>
    <w:p w14:paraId="01EAE1C9" w14:textId="629FD913" w:rsidR="001E71C4" w:rsidRPr="001E71C4" w:rsidRDefault="001E71C4" w:rsidP="001E71C4">
      <w:pPr>
        <w:spacing w:before="120" w:after="120"/>
        <w:jc w:val="both"/>
        <w:rPr>
          <w:rFonts w:ascii="Arial" w:eastAsia="Times New Roman" w:hAnsi="Arial" w:cs="Arial"/>
          <w:spacing w:val="-2"/>
          <w:sz w:val="18"/>
          <w:szCs w:val="18"/>
          <w:lang w:eastAsia="pt-BR"/>
        </w:rPr>
      </w:pPr>
      <w:r w:rsidRPr="001E71C4">
        <w:rPr>
          <w:rFonts w:ascii="Arial" w:eastAsia="Times New Roman" w:hAnsi="Arial" w:cs="Arial"/>
          <w:spacing w:val="-2"/>
          <w:sz w:val="18"/>
          <w:szCs w:val="18"/>
          <w:lang w:eastAsia="pt-BR"/>
        </w:rPr>
        <w:t>A atividade de seguridade é intrinsecamente relacionada à sustentabilidade ambiental e social ao promover a gestão de riscos por meio da oferta de soluções para proteção</w:t>
      </w:r>
      <w:r>
        <w:rPr>
          <w:rFonts w:ascii="Arial" w:eastAsia="Times New Roman" w:hAnsi="Arial" w:cs="Arial"/>
          <w:spacing w:val="-2"/>
          <w:sz w:val="18"/>
          <w:szCs w:val="18"/>
          <w:lang w:eastAsia="pt-BR"/>
        </w:rPr>
        <w:t xml:space="preserve"> de</w:t>
      </w:r>
      <w:r w:rsidRPr="001E71C4">
        <w:rPr>
          <w:rFonts w:ascii="Arial" w:eastAsia="Times New Roman" w:hAnsi="Arial" w:cs="Arial"/>
          <w:spacing w:val="-2"/>
          <w:sz w:val="18"/>
          <w:szCs w:val="18"/>
          <w:lang w:eastAsia="pt-BR"/>
        </w:rPr>
        <w:t xml:space="preserve"> bens, conquistas e </w:t>
      </w:r>
      <w:r w:rsidR="00D02FA7">
        <w:rPr>
          <w:rFonts w:ascii="Arial" w:eastAsia="Times New Roman" w:hAnsi="Arial" w:cs="Arial"/>
          <w:spacing w:val="-2"/>
          <w:sz w:val="18"/>
          <w:szCs w:val="18"/>
          <w:lang w:eastAsia="pt-BR"/>
        </w:rPr>
        <w:t xml:space="preserve">de incentivo à poupança, </w:t>
      </w:r>
      <w:r w:rsidRPr="001E71C4">
        <w:rPr>
          <w:rFonts w:ascii="Arial" w:eastAsia="Times New Roman" w:hAnsi="Arial" w:cs="Arial"/>
          <w:spacing w:val="-2"/>
          <w:sz w:val="18"/>
          <w:szCs w:val="18"/>
          <w:lang w:eastAsia="pt-BR"/>
        </w:rPr>
        <w:t xml:space="preserve">estimulando a conscientização da sociedade sobre a necessidade de cuidar do hoje para que se possa desfrutar de um amanhã equilibrado e saudável. </w:t>
      </w:r>
    </w:p>
    <w:p w14:paraId="551C108C" w14:textId="4E270099" w:rsidR="0017528A" w:rsidRPr="0017528A" w:rsidRDefault="006F4C4F" w:rsidP="0017528A">
      <w:pPr>
        <w:pStyle w:val="05-Textonormal"/>
        <w:rPr>
          <w:rFonts w:cs="Arial"/>
        </w:rPr>
      </w:pPr>
      <w:r w:rsidRPr="006F4C4F">
        <w:rPr>
          <w:rFonts w:cs="Arial"/>
        </w:rPr>
        <w:t xml:space="preserve">Em 2020, a Companhia inovou suas abordagens de responsabilidade social em resposta à crise </w:t>
      </w:r>
      <w:r w:rsidR="0017528A">
        <w:rPr>
          <w:rFonts w:cs="Arial"/>
        </w:rPr>
        <w:t xml:space="preserve">gerada </w:t>
      </w:r>
      <w:r w:rsidRPr="006F4C4F">
        <w:rPr>
          <w:rFonts w:cs="Arial"/>
        </w:rPr>
        <w:t xml:space="preserve">pela decretação do estado de </w:t>
      </w:r>
      <w:r w:rsidR="0017528A">
        <w:rPr>
          <w:rFonts w:cs="Arial"/>
        </w:rPr>
        <w:t>p</w:t>
      </w:r>
      <w:r w:rsidRPr="006F4C4F">
        <w:rPr>
          <w:rFonts w:cs="Arial"/>
        </w:rPr>
        <w:t>andemia mundial em decorrência da crise sanitária deflagrada pela COVID-19.</w:t>
      </w:r>
      <w:r w:rsidR="00D02FA7">
        <w:rPr>
          <w:rFonts w:cs="Arial"/>
        </w:rPr>
        <w:t xml:space="preserve"> </w:t>
      </w:r>
      <w:r w:rsidR="0017528A" w:rsidRPr="0017528A">
        <w:rPr>
          <w:rFonts w:cs="Arial"/>
        </w:rPr>
        <w:t>Honrando sua ligação com a sociedade brasileira e sua tradição em apoiar pessoas e comunidades em situação de risco em todo o território brasileiro, o Grupo BB Segur</w:t>
      </w:r>
      <w:r w:rsidR="00444D58">
        <w:rPr>
          <w:rFonts w:cs="Arial"/>
        </w:rPr>
        <w:t>idade</w:t>
      </w:r>
      <w:r w:rsidR="0017528A" w:rsidRPr="0017528A">
        <w:rPr>
          <w:rFonts w:cs="Arial"/>
        </w:rPr>
        <w:t xml:space="preserve"> optou pela ação rápida e focada no manejo das externalidades negativas decorrentes das medidas de isolamento social impostas pela necessida</w:t>
      </w:r>
      <w:r w:rsidR="001E71C4">
        <w:rPr>
          <w:rFonts w:cs="Arial"/>
        </w:rPr>
        <w:t xml:space="preserve">de de contenção da propagação </w:t>
      </w:r>
      <w:r w:rsidR="00D02FA7">
        <w:rPr>
          <w:rFonts w:cs="Arial"/>
        </w:rPr>
        <w:t>do vírus</w:t>
      </w:r>
      <w:r w:rsidR="0017528A" w:rsidRPr="0017528A">
        <w:rPr>
          <w:rFonts w:cs="Arial"/>
        </w:rPr>
        <w:t>.</w:t>
      </w:r>
      <w:r w:rsidR="0017528A">
        <w:rPr>
          <w:rFonts w:cs="Arial"/>
        </w:rPr>
        <w:t xml:space="preserve"> </w:t>
      </w:r>
      <w:r w:rsidR="0017528A" w:rsidRPr="0017528A">
        <w:rPr>
          <w:rFonts w:cs="Arial"/>
        </w:rPr>
        <w:t xml:space="preserve">Foram doados R$40 milhões para aquisição de alimentos e materiais de higiene que já estão melhorando as condições de sobrevivência de milhares de brasileiros em todas as regiões do </w:t>
      </w:r>
      <w:r w:rsidR="0017528A">
        <w:rPr>
          <w:rFonts w:cs="Arial"/>
        </w:rPr>
        <w:t>p</w:t>
      </w:r>
      <w:r w:rsidR="0017528A" w:rsidRPr="0017528A">
        <w:rPr>
          <w:rFonts w:cs="Arial"/>
        </w:rPr>
        <w:t xml:space="preserve">aís. A aplicação desses recursos </w:t>
      </w:r>
      <w:r w:rsidR="00D02FA7">
        <w:rPr>
          <w:rFonts w:cs="Arial"/>
        </w:rPr>
        <w:t>foi</w:t>
      </w:r>
      <w:r w:rsidR="0017528A" w:rsidRPr="0017528A">
        <w:rPr>
          <w:rFonts w:cs="Arial"/>
        </w:rPr>
        <w:t xml:space="preserve"> articulada pela Fundação Banco do Brasil, em atividade desde 1985, tendo-se projetado o alcance de mais de um milhão de pessoas. </w:t>
      </w:r>
      <w:r w:rsidR="005A457A">
        <w:rPr>
          <w:rFonts w:cs="Arial"/>
        </w:rPr>
        <w:t>Já no sentido de cuidar dos funcionários da rede de atendimento aos clientes, foram doadas 196 mil máscaras de tecido para proteção, alcançando 5 mil agências em todo o território nacional.</w:t>
      </w:r>
    </w:p>
    <w:p w14:paraId="7FAB0DAD" w14:textId="494EC566" w:rsidR="0017528A" w:rsidRPr="00BB1B28" w:rsidRDefault="0017528A" w:rsidP="00BB1B28">
      <w:pPr>
        <w:pStyle w:val="05-Textonormal"/>
        <w:rPr>
          <w:rFonts w:cs="Arial"/>
        </w:rPr>
      </w:pPr>
      <w:r>
        <w:rPr>
          <w:rFonts w:cs="Arial"/>
        </w:rPr>
        <w:t>Com o objetivo de estar ao lado dos clientes e da sociedade</w:t>
      </w:r>
      <w:r w:rsidRPr="0017528A">
        <w:rPr>
          <w:rFonts w:cs="Arial"/>
        </w:rPr>
        <w:t xml:space="preserve">, </w:t>
      </w:r>
      <w:r w:rsidR="00444D58">
        <w:rPr>
          <w:rFonts w:cs="Arial"/>
        </w:rPr>
        <w:t>a Companhia adotou</w:t>
      </w:r>
      <w:r w:rsidRPr="0017528A">
        <w:rPr>
          <w:rFonts w:cs="Arial"/>
        </w:rPr>
        <w:t xml:space="preserve"> medidas </w:t>
      </w:r>
      <w:r>
        <w:rPr>
          <w:rFonts w:cs="Arial"/>
        </w:rPr>
        <w:t>visando</w:t>
      </w:r>
      <w:r w:rsidRPr="0017528A">
        <w:rPr>
          <w:rFonts w:cs="Arial"/>
        </w:rPr>
        <w:t xml:space="preserve"> manter os clientes protegidos neste contexto de </w:t>
      </w:r>
      <w:r>
        <w:rPr>
          <w:rFonts w:cs="Arial"/>
        </w:rPr>
        <w:t>pandemia e restrição financeira</w:t>
      </w:r>
      <w:r w:rsidR="00BB1B28">
        <w:rPr>
          <w:rFonts w:cs="Arial"/>
        </w:rPr>
        <w:t xml:space="preserve">, </w:t>
      </w:r>
      <w:r w:rsidR="001E71C4">
        <w:rPr>
          <w:rFonts w:cs="Arial"/>
        </w:rPr>
        <w:t>sendo</w:t>
      </w:r>
      <w:r w:rsidR="00BB1B28">
        <w:rPr>
          <w:rFonts w:cs="Arial"/>
        </w:rPr>
        <w:t xml:space="preserve"> disponibilizada a e</w:t>
      </w:r>
      <w:r w:rsidRPr="0017528A">
        <w:rPr>
          <w:rFonts w:cs="Arial"/>
        </w:rPr>
        <w:t xml:space="preserve">xtensão da cobertura </w:t>
      </w:r>
      <w:r>
        <w:rPr>
          <w:rFonts w:cs="Arial"/>
        </w:rPr>
        <w:t>por</w:t>
      </w:r>
      <w:r w:rsidRPr="0017528A">
        <w:rPr>
          <w:rFonts w:cs="Arial"/>
        </w:rPr>
        <w:t xml:space="preserve"> morte </w:t>
      </w:r>
      <w:r>
        <w:rPr>
          <w:rFonts w:cs="Arial"/>
        </w:rPr>
        <w:t>decorrente de</w:t>
      </w:r>
      <w:r w:rsidRPr="0017528A">
        <w:rPr>
          <w:rFonts w:cs="Arial"/>
        </w:rPr>
        <w:t xml:space="preserve"> Covid-19</w:t>
      </w:r>
      <w:r w:rsidR="00BB1B28">
        <w:rPr>
          <w:rFonts w:cs="Arial"/>
        </w:rPr>
        <w:t xml:space="preserve"> e a adoção do </w:t>
      </w:r>
      <w:r w:rsidRPr="00BB1B28">
        <w:rPr>
          <w:rFonts w:cs="Arial"/>
        </w:rPr>
        <w:t>“</w:t>
      </w:r>
      <w:r w:rsidR="00BB1B28">
        <w:rPr>
          <w:rFonts w:cs="Arial"/>
        </w:rPr>
        <w:t>p</w:t>
      </w:r>
      <w:r w:rsidRPr="00BB1B28">
        <w:rPr>
          <w:rFonts w:cs="Arial"/>
        </w:rPr>
        <w:t xml:space="preserve">ula parcelas” para produtos do portfólio para o período de maior impacto das medidas de </w:t>
      </w:r>
      <w:r w:rsidR="00444D58">
        <w:rPr>
          <w:rFonts w:cs="Arial"/>
        </w:rPr>
        <w:t>distanciamento</w:t>
      </w:r>
      <w:r w:rsidR="00BB1B28">
        <w:rPr>
          <w:rFonts w:cs="Arial"/>
        </w:rPr>
        <w:t>,</w:t>
      </w:r>
      <w:r w:rsidRPr="00BB1B28">
        <w:rPr>
          <w:rFonts w:cs="Arial"/>
        </w:rPr>
        <w:t xml:space="preserve"> estudando cada linha de negócio e as necessidades dos seus clientes.</w:t>
      </w:r>
    </w:p>
    <w:p w14:paraId="769505EB" w14:textId="076112B7" w:rsidR="0017528A" w:rsidRDefault="00BB1B28" w:rsidP="0017528A">
      <w:pPr>
        <w:pStyle w:val="05-Textonormal"/>
        <w:rPr>
          <w:rFonts w:cs="Arial"/>
        </w:rPr>
      </w:pPr>
      <w:r>
        <w:rPr>
          <w:rFonts w:cs="Arial"/>
        </w:rPr>
        <w:t xml:space="preserve">Adicionalmente, com o </w:t>
      </w:r>
      <w:r w:rsidR="0017528A" w:rsidRPr="0017528A">
        <w:rPr>
          <w:rFonts w:cs="Arial"/>
        </w:rPr>
        <w:t>intuito de minimizar o sofrimento e a solidão decorrentes das medidas de isolamento social, foram oferecidas atividades de leitura e psicoterapia por meio digital</w:t>
      </w:r>
      <w:r w:rsidR="00444D58">
        <w:rPr>
          <w:rFonts w:cs="Arial"/>
        </w:rPr>
        <w:t>,</w:t>
      </w:r>
      <w:r w:rsidR="0017528A" w:rsidRPr="0017528A">
        <w:rPr>
          <w:rFonts w:cs="Arial"/>
        </w:rPr>
        <w:t xml:space="preserve"> bem como foram oferecidos gratuitamente serviços de assistência técnica relacionada a dispositivos eletrônicos.</w:t>
      </w:r>
    </w:p>
    <w:p w14:paraId="0DA9E659" w14:textId="0E6FA740" w:rsidR="001E71C4" w:rsidRDefault="001E71C4" w:rsidP="001E71C4">
      <w:pPr>
        <w:spacing w:before="120" w:after="120"/>
        <w:jc w:val="both"/>
        <w:rPr>
          <w:rFonts w:ascii="Arial" w:eastAsia="Times New Roman" w:hAnsi="Arial" w:cs="Arial"/>
          <w:spacing w:val="-2"/>
          <w:sz w:val="18"/>
          <w:szCs w:val="18"/>
          <w:lang w:eastAsia="pt-BR"/>
        </w:rPr>
      </w:pPr>
      <w:r w:rsidRPr="001E71C4">
        <w:rPr>
          <w:rFonts w:ascii="Arial" w:eastAsia="Times New Roman" w:hAnsi="Arial" w:cs="Arial"/>
          <w:spacing w:val="-2"/>
          <w:sz w:val="18"/>
          <w:szCs w:val="18"/>
          <w:lang w:eastAsia="pt-BR"/>
        </w:rPr>
        <w:t xml:space="preserve">Quanto ao requisito governança, a BB Seguridade possui representantes nos mais diversos órgãos de governança dispostos nas suas investidas, influenciando e incentivando a realização de iniciativas economicamente viáveis, alinhadas às boas práticas de mercado, de forma a apoiar a destinação de recursos para projetos de apoio à cultura, ações sociais e bem-estar. </w:t>
      </w:r>
    </w:p>
    <w:p w14:paraId="6C6FFC9E" w14:textId="290A7B41" w:rsidR="001B7253" w:rsidRPr="001E71C4" w:rsidRDefault="001B7253" w:rsidP="001E71C4">
      <w:pPr>
        <w:spacing w:before="120" w:after="120"/>
        <w:jc w:val="both"/>
        <w:rPr>
          <w:rFonts w:ascii="Arial" w:eastAsia="Times New Roman" w:hAnsi="Arial" w:cs="Arial"/>
          <w:spacing w:val="-2"/>
          <w:sz w:val="18"/>
          <w:szCs w:val="18"/>
          <w:lang w:eastAsia="pt-BR"/>
        </w:rPr>
      </w:pPr>
      <w:r>
        <w:rPr>
          <w:rFonts w:ascii="Arial" w:eastAsia="Times New Roman" w:hAnsi="Arial" w:cs="Arial"/>
          <w:spacing w:val="-2"/>
          <w:sz w:val="18"/>
          <w:szCs w:val="18"/>
          <w:lang w:eastAsia="pt-BR"/>
        </w:rPr>
        <w:t xml:space="preserve">Informações adicionais sobre as práticas ASG adotadas podem ser obtidas no Relatório de Sustentabilidade da Companhia, disponível no endereço eletrônico </w:t>
      </w:r>
      <w:hyperlink r:id="rId12" w:history="1">
        <w:r w:rsidRPr="003760D1">
          <w:rPr>
            <w:rStyle w:val="Hyperlink"/>
            <w:rFonts w:ascii="Arial" w:eastAsia="Times New Roman" w:hAnsi="Arial" w:cs="Arial"/>
            <w:spacing w:val="-2"/>
            <w:sz w:val="18"/>
            <w:szCs w:val="18"/>
            <w:lang w:eastAsia="pt-BR"/>
          </w:rPr>
          <w:t>http://www.bbseguridaderi.com.br/pt/informacoes-financeiras/relatorios-de-administracao-anual-e-de-sustentabilidade</w:t>
        </w:r>
      </w:hyperlink>
      <w:r>
        <w:rPr>
          <w:rFonts w:ascii="Arial" w:eastAsia="Times New Roman" w:hAnsi="Arial" w:cs="Arial"/>
          <w:spacing w:val="-2"/>
          <w:sz w:val="18"/>
          <w:szCs w:val="18"/>
          <w:lang w:eastAsia="pt-BR"/>
        </w:rPr>
        <w:t xml:space="preserve">. </w:t>
      </w:r>
    </w:p>
    <w:p w14:paraId="41126C39" w14:textId="292628CD" w:rsidR="005507F9" w:rsidRPr="00BB1B28" w:rsidRDefault="005507F9" w:rsidP="006F4C4F">
      <w:pPr>
        <w:pStyle w:val="05-Textonormal"/>
        <w:rPr>
          <w:rFonts w:cs="Arial"/>
        </w:rPr>
      </w:pPr>
      <w:r w:rsidRPr="00BB1B28">
        <w:rPr>
          <w:rFonts w:cs="Arial"/>
        </w:rPr>
        <w:t xml:space="preserve">A fim de corroborar as assertivas acima, seguem as principais iniciativas relacionadas ao tema das nossas </w:t>
      </w:r>
      <w:r w:rsidR="00323DE1" w:rsidRPr="00BB1B28">
        <w:rPr>
          <w:rFonts w:cs="Arial"/>
        </w:rPr>
        <w:t>companhias investidas</w:t>
      </w:r>
      <w:r w:rsidRPr="00BB1B28">
        <w:rPr>
          <w:rFonts w:cs="Arial"/>
        </w:rPr>
        <w:t xml:space="preserve"> em 20</w:t>
      </w:r>
      <w:r w:rsidR="00BB1B28">
        <w:rPr>
          <w:rFonts w:cs="Arial"/>
        </w:rPr>
        <w:t>20</w:t>
      </w:r>
      <w:r w:rsidRPr="00BB1B28">
        <w:rPr>
          <w:rFonts w:cs="Arial"/>
        </w:rPr>
        <w:t>:</w:t>
      </w:r>
    </w:p>
    <w:p w14:paraId="7ACE96E1" w14:textId="77777777" w:rsidR="005507F9" w:rsidRPr="00FC539B" w:rsidRDefault="005507F9" w:rsidP="005507F9">
      <w:pPr>
        <w:pStyle w:val="05-Textonormal"/>
        <w:ind w:left="360"/>
        <w:rPr>
          <w:rFonts w:cs="Arial"/>
        </w:rPr>
      </w:pPr>
      <w:proofErr w:type="spellStart"/>
      <w:r w:rsidRPr="005507F9">
        <w:rPr>
          <w:b/>
          <w:color w:val="1F4E79" w:themeColor="accent1" w:themeShade="80"/>
          <w:sz w:val="20"/>
          <w:szCs w:val="20"/>
        </w:rPr>
        <w:t>Brasilseg</w:t>
      </w:r>
      <w:proofErr w:type="spellEnd"/>
    </w:p>
    <w:p w14:paraId="627F1D36" w14:textId="50074EC0" w:rsidR="005507F9" w:rsidRPr="00E77132" w:rsidRDefault="005507F9" w:rsidP="005507F9">
      <w:pPr>
        <w:pStyle w:val="05-Textonormal"/>
        <w:numPr>
          <w:ilvl w:val="0"/>
          <w:numId w:val="13"/>
        </w:numPr>
        <w:rPr>
          <w:rFonts w:cs="Arial"/>
          <w:b/>
        </w:rPr>
      </w:pPr>
      <w:r w:rsidRPr="00E77132">
        <w:rPr>
          <w:rFonts w:cs="Arial"/>
          <w:b/>
        </w:rPr>
        <w:t xml:space="preserve">ISO 14001:2015: </w:t>
      </w:r>
      <w:r w:rsidR="00444D58">
        <w:rPr>
          <w:rFonts w:cs="Arial"/>
          <w:bCs/>
        </w:rPr>
        <w:t>a</w:t>
      </w:r>
      <w:r w:rsidR="004160E5" w:rsidRPr="00E77132">
        <w:rPr>
          <w:rFonts w:cs="Arial"/>
          <w:bCs/>
        </w:rPr>
        <w:t xml:space="preserve"> </w:t>
      </w:r>
      <w:proofErr w:type="spellStart"/>
      <w:r w:rsidR="004160E5" w:rsidRPr="00E77132">
        <w:rPr>
          <w:rFonts w:cs="Arial"/>
          <w:bCs/>
        </w:rPr>
        <w:t>Brasilseg</w:t>
      </w:r>
      <w:proofErr w:type="spellEnd"/>
      <w:r w:rsidR="004160E5" w:rsidRPr="00E77132">
        <w:rPr>
          <w:rFonts w:cs="Arial"/>
          <w:bCs/>
        </w:rPr>
        <w:t xml:space="preserve"> é certificada na ISO 14001:2015, o que atesta o padrão internacional do Sistema de Gestão Ambiental (SGA) da empresa. Este </w:t>
      </w:r>
      <w:r w:rsidR="00444D58">
        <w:rPr>
          <w:rFonts w:cs="Arial"/>
          <w:bCs/>
        </w:rPr>
        <w:t>s</w:t>
      </w:r>
      <w:r w:rsidR="004160E5" w:rsidRPr="00E77132">
        <w:rPr>
          <w:rFonts w:cs="Arial"/>
          <w:bCs/>
        </w:rPr>
        <w:t xml:space="preserve">istema é baseado na análise dos aspectos e impactos ambientais significativos, diretos e indiretos, associados aos processos da sede da empresa. Cuidar do meio ambiente é uma prática diária na </w:t>
      </w:r>
      <w:r w:rsidR="00444D58">
        <w:rPr>
          <w:rFonts w:cs="Arial"/>
          <w:bCs/>
        </w:rPr>
        <w:t>companhia,</w:t>
      </w:r>
      <w:r w:rsidR="004160E5" w:rsidRPr="00E77132">
        <w:rPr>
          <w:rFonts w:cs="Arial"/>
          <w:bCs/>
        </w:rPr>
        <w:t xml:space="preserve"> que determina metas e desafios em sua gestão sustentável, com impacto em toda a cadeia de valor</w:t>
      </w:r>
      <w:r w:rsidRPr="00E77132">
        <w:rPr>
          <w:rFonts w:cs="Arial"/>
          <w:bCs/>
        </w:rPr>
        <w:t>.</w:t>
      </w:r>
    </w:p>
    <w:p w14:paraId="41909AFA" w14:textId="2DF5E8BD" w:rsidR="005507F9" w:rsidRPr="00E77132" w:rsidRDefault="004160E5" w:rsidP="005507F9">
      <w:pPr>
        <w:pStyle w:val="05-Textonormal"/>
        <w:numPr>
          <w:ilvl w:val="0"/>
          <w:numId w:val="13"/>
        </w:numPr>
        <w:rPr>
          <w:rFonts w:cs="Arial"/>
          <w:bCs/>
        </w:rPr>
      </w:pPr>
      <w:r w:rsidRPr="00E77132">
        <w:rPr>
          <w:rFonts w:cs="Arial"/>
          <w:b/>
          <w:bCs/>
        </w:rPr>
        <w:t>Pacto Global Rede Brasil – a</w:t>
      </w:r>
      <w:r w:rsidRPr="00E77132">
        <w:rPr>
          <w:rFonts w:cs="Arial"/>
          <w:bCs/>
        </w:rPr>
        <w:t xml:space="preserve"> </w:t>
      </w:r>
      <w:proofErr w:type="spellStart"/>
      <w:r w:rsidRPr="00E77132">
        <w:rPr>
          <w:rFonts w:cs="Arial"/>
          <w:bCs/>
        </w:rPr>
        <w:t>Brasilseg</w:t>
      </w:r>
      <w:proofErr w:type="spellEnd"/>
      <w:r w:rsidRPr="00E77132">
        <w:rPr>
          <w:rFonts w:cs="Arial"/>
          <w:bCs/>
        </w:rPr>
        <w:t xml:space="preserve"> tornou-se, em 2019, signatária do Pacto Global visando contribuir para a construção de um mercado global mais inclusivo e igualitário.</w:t>
      </w:r>
      <w:r w:rsidR="005507F9" w:rsidRPr="00E77132">
        <w:rPr>
          <w:rFonts w:cs="Arial"/>
          <w:bCs/>
        </w:rPr>
        <w:t xml:space="preserve"> </w:t>
      </w:r>
    </w:p>
    <w:p w14:paraId="6929B84A" w14:textId="27ED22B7" w:rsidR="004160E5" w:rsidRPr="00E77132" w:rsidRDefault="004160E5" w:rsidP="005507F9">
      <w:pPr>
        <w:pStyle w:val="05-Textonormal"/>
        <w:numPr>
          <w:ilvl w:val="0"/>
          <w:numId w:val="13"/>
        </w:numPr>
        <w:rPr>
          <w:rFonts w:cs="Arial"/>
          <w:bCs/>
        </w:rPr>
      </w:pPr>
      <w:r w:rsidRPr="00E77132">
        <w:rPr>
          <w:rFonts w:cs="Arial"/>
          <w:b/>
          <w:bCs/>
        </w:rPr>
        <w:t xml:space="preserve">Programa Brasileiro GHG </w:t>
      </w:r>
      <w:proofErr w:type="spellStart"/>
      <w:r w:rsidRPr="00E77132">
        <w:rPr>
          <w:rFonts w:cs="Arial"/>
          <w:b/>
          <w:bCs/>
        </w:rPr>
        <w:t>Protocol</w:t>
      </w:r>
      <w:proofErr w:type="spellEnd"/>
      <w:r w:rsidRPr="00E77132">
        <w:rPr>
          <w:rFonts w:cs="Arial"/>
          <w:b/>
          <w:bCs/>
        </w:rPr>
        <w:t xml:space="preserve"> – </w:t>
      </w:r>
      <w:r w:rsidRPr="00E77132">
        <w:rPr>
          <w:rFonts w:cs="Arial"/>
        </w:rPr>
        <w:t>a companhia</w:t>
      </w:r>
      <w:r w:rsidRPr="00E77132">
        <w:rPr>
          <w:rFonts w:cs="Arial"/>
          <w:bCs/>
        </w:rPr>
        <w:t xml:space="preserve"> mensura as emissões de gases do efeito estufa da sede administrativa e de Franca por meio da Ferramenta de Gestão de Carbono GHG </w:t>
      </w:r>
      <w:proofErr w:type="spellStart"/>
      <w:r w:rsidRPr="00E77132">
        <w:rPr>
          <w:rFonts w:cs="Arial"/>
          <w:bCs/>
        </w:rPr>
        <w:t>Protocol</w:t>
      </w:r>
      <w:proofErr w:type="spellEnd"/>
      <w:r w:rsidRPr="00E77132">
        <w:rPr>
          <w:rFonts w:cs="Arial"/>
          <w:bCs/>
        </w:rPr>
        <w:t xml:space="preserve"> para compensar as emissões. O processo abrange todos os colaboradores e no cálculo de emissões considera o consumo de energia, resíduos gerados, deslocamento dos colaboradores até a empresa e deslocamento de viagens a negócio. Em 2020, foram compensadas 1.043 toneladas de CO2 equivalente por meio do cancelamento voluntário de créditos de carbono no âmbito do Mecanismo de Desenvolvimento Limpo (MDL).</w:t>
      </w:r>
    </w:p>
    <w:p w14:paraId="6BFB7C72" w14:textId="5A1E2CA4" w:rsidR="004160E5" w:rsidRPr="00E77132" w:rsidRDefault="004160E5" w:rsidP="004160E5">
      <w:pPr>
        <w:pStyle w:val="PargrafodaLista"/>
        <w:numPr>
          <w:ilvl w:val="0"/>
          <w:numId w:val="13"/>
        </w:numPr>
        <w:spacing w:before="120" w:after="120"/>
        <w:jc w:val="both"/>
        <w:rPr>
          <w:rFonts w:ascii="Arial" w:eastAsia="Times New Roman" w:hAnsi="Arial" w:cs="Arial"/>
          <w:bCs/>
          <w:spacing w:val="-2"/>
          <w:sz w:val="18"/>
          <w:szCs w:val="18"/>
          <w:lang w:eastAsia="pt-BR"/>
        </w:rPr>
      </w:pPr>
      <w:r w:rsidRPr="00E77132">
        <w:rPr>
          <w:rFonts w:ascii="Arial" w:eastAsia="Times New Roman" w:hAnsi="Arial" w:cs="Arial"/>
          <w:b/>
          <w:bCs/>
          <w:spacing w:val="-2"/>
          <w:sz w:val="18"/>
          <w:szCs w:val="18"/>
          <w:lang w:eastAsia="pt-BR"/>
        </w:rPr>
        <w:t xml:space="preserve">Objetivos de Desenvolvimento Sustentável – ODS – </w:t>
      </w:r>
      <w:r w:rsidRPr="00E77132">
        <w:rPr>
          <w:rFonts w:ascii="Arial" w:eastAsia="Times New Roman" w:hAnsi="Arial" w:cs="Arial"/>
          <w:bCs/>
          <w:spacing w:val="-2"/>
          <w:sz w:val="18"/>
          <w:szCs w:val="18"/>
          <w:lang w:eastAsia="pt-BR"/>
        </w:rPr>
        <w:t xml:space="preserve">a </w:t>
      </w:r>
      <w:proofErr w:type="spellStart"/>
      <w:r w:rsidRPr="00E77132">
        <w:rPr>
          <w:rFonts w:ascii="Arial" w:eastAsia="Times New Roman" w:hAnsi="Arial" w:cs="Arial"/>
          <w:bCs/>
          <w:spacing w:val="-2"/>
          <w:sz w:val="18"/>
          <w:szCs w:val="18"/>
          <w:lang w:eastAsia="pt-BR"/>
        </w:rPr>
        <w:t>Brasilseg</w:t>
      </w:r>
      <w:proofErr w:type="spellEnd"/>
      <w:r w:rsidRPr="00E77132">
        <w:rPr>
          <w:rFonts w:ascii="Arial" w:eastAsia="Times New Roman" w:hAnsi="Arial" w:cs="Arial"/>
          <w:bCs/>
          <w:spacing w:val="-2"/>
          <w:sz w:val="18"/>
          <w:szCs w:val="18"/>
          <w:lang w:eastAsia="pt-BR"/>
        </w:rPr>
        <w:t xml:space="preserve"> atua de maneira alinhada aos ODS por meio de um conjunto de compromissos, programas e metas em áreas como diversidade, inclusão, relacionamento com clientes e conformidade. Adicionalmente, promove o engajamento dos funcionários com a causa por meio de ações educacionais no âmbito da própria empresa. </w:t>
      </w:r>
    </w:p>
    <w:p w14:paraId="6396340C" w14:textId="01622702" w:rsidR="005507F9" w:rsidRPr="004160E5" w:rsidRDefault="005507F9" w:rsidP="005507F9">
      <w:pPr>
        <w:pStyle w:val="05-Textonormal"/>
        <w:numPr>
          <w:ilvl w:val="0"/>
          <w:numId w:val="13"/>
        </w:numPr>
        <w:rPr>
          <w:rFonts w:cs="Arial"/>
          <w:bCs/>
        </w:rPr>
      </w:pPr>
      <w:r w:rsidRPr="004160E5">
        <w:rPr>
          <w:rFonts w:cs="Arial"/>
          <w:b/>
        </w:rPr>
        <w:t xml:space="preserve">Princípios para Sustentabilidade em Seguros (PSI): </w:t>
      </w:r>
      <w:r w:rsidR="004160E5" w:rsidRPr="004160E5">
        <w:rPr>
          <w:rFonts w:cs="Arial"/>
          <w:bCs/>
        </w:rPr>
        <w:t xml:space="preserve">desde 2019, a </w:t>
      </w:r>
      <w:r w:rsidR="004160E5">
        <w:rPr>
          <w:rFonts w:cs="Arial"/>
          <w:bCs/>
        </w:rPr>
        <w:t>companhia</w:t>
      </w:r>
      <w:r w:rsidR="004160E5" w:rsidRPr="004160E5">
        <w:rPr>
          <w:rFonts w:cs="Arial"/>
          <w:bCs/>
        </w:rPr>
        <w:t xml:space="preserve"> se tornou formalmente signatária do PSI e vem desenvolvendo ações, projetos e investimentos para atendê-los.</w:t>
      </w:r>
    </w:p>
    <w:p w14:paraId="1457984A" w14:textId="156E0710" w:rsidR="005507F9" w:rsidRDefault="005507F9" w:rsidP="005507F9">
      <w:pPr>
        <w:pStyle w:val="05-Textonormal"/>
        <w:numPr>
          <w:ilvl w:val="0"/>
          <w:numId w:val="13"/>
        </w:numPr>
        <w:rPr>
          <w:rFonts w:cs="Arial"/>
          <w:bCs/>
        </w:rPr>
      </w:pPr>
      <w:r w:rsidRPr="002C12AD">
        <w:rPr>
          <w:rFonts w:cs="Arial"/>
          <w:b/>
        </w:rPr>
        <w:t>Projetos Incentivados</w:t>
      </w:r>
      <w:r w:rsidRPr="002C12AD">
        <w:rPr>
          <w:rFonts w:cs="Arial"/>
          <w:bCs/>
        </w:rPr>
        <w:t xml:space="preserve">: </w:t>
      </w:r>
      <w:r w:rsidR="002C12AD">
        <w:rPr>
          <w:rFonts w:cs="Arial"/>
          <w:bCs/>
        </w:rPr>
        <w:t>e</w:t>
      </w:r>
      <w:r w:rsidR="002C12AD" w:rsidRPr="002C12AD">
        <w:rPr>
          <w:rFonts w:cs="Arial"/>
          <w:bCs/>
        </w:rPr>
        <w:t xml:space="preserve">m 2020, foram realizados 22 projetos socioculturais por meio da Lei de Incentivo à Cultura, da Lei de Incentivo ao Esporte, do Fundo para a Infância e a Adolescência, do Fundo do Idoso, do Programa Nacional de Apoio à Atenção Oncológica (PRONON) e do Programa Nacional de Apoio à Atenção à Saúde da Pessoa com Deficiência (PRONAS), com mais de </w:t>
      </w:r>
      <w:r w:rsidR="002C12AD" w:rsidRPr="002C12AD">
        <w:rPr>
          <w:rFonts w:cs="Arial"/>
        </w:rPr>
        <w:t>220 mil pessoas atendidas até o momento</w:t>
      </w:r>
      <w:r w:rsidRPr="002C12AD">
        <w:rPr>
          <w:rFonts w:cs="Arial"/>
          <w:bCs/>
        </w:rPr>
        <w:t xml:space="preserve">. </w:t>
      </w:r>
    </w:p>
    <w:p w14:paraId="352AC755" w14:textId="721BC7AA" w:rsidR="002C12AD" w:rsidRPr="00A532FF" w:rsidRDefault="002C12AD" w:rsidP="002C12AD">
      <w:pPr>
        <w:pStyle w:val="05-Textonormal"/>
        <w:rPr>
          <w:rFonts w:cs="Arial"/>
          <w:bCs/>
          <w:color w:val="FF0000"/>
        </w:rPr>
      </w:pPr>
      <w:r w:rsidRPr="00A532FF">
        <w:rPr>
          <w:rFonts w:cs="Arial"/>
          <w:bCs/>
        </w:rPr>
        <w:t xml:space="preserve">Comprometida com os princípios da prestação de contas e maior transparência em relação às práticas Ambientais, Sociais e de Governança, </w:t>
      </w:r>
      <w:r>
        <w:rPr>
          <w:rFonts w:cs="Arial"/>
          <w:bCs/>
        </w:rPr>
        <w:t xml:space="preserve">a </w:t>
      </w:r>
      <w:proofErr w:type="spellStart"/>
      <w:r>
        <w:rPr>
          <w:rFonts w:cs="Arial"/>
          <w:bCs/>
        </w:rPr>
        <w:t>Brasilseg</w:t>
      </w:r>
      <w:proofErr w:type="spellEnd"/>
      <w:r>
        <w:rPr>
          <w:rFonts w:cs="Arial"/>
          <w:bCs/>
        </w:rPr>
        <w:t xml:space="preserve"> </w:t>
      </w:r>
      <w:r w:rsidRPr="00A532FF">
        <w:rPr>
          <w:rFonts w:cs="Arial"/>
          <w:bCs/>
        </w:rPr>
        <w:t xml:space="preserve">passou a publicar, a partir de 2019, seu Relatório de Sustentabilidade seguindo as diretrizes da Global </w:t>
      </w:r>
      <w:proofErr w:type="spellStart"/>
      <w:r w:rsidRPr="00A532FF">
        <w:rPr>
          <w:rFonts w:cs="Arial"/>
          <w:bCs/>
        </w:rPr>
        <w:t>Reporting</w:t>
      </w:r>
      <w:proofErr w:type="spellEnd"/>
      <w:r w:rsidRPr="00A532FF">
        <w:rPr>
          <w:rFonts w:cs="Arial"/>
          <w:bCs/>
        </w:rPr>
        <w:t xml:space="preserve"> </w:t>
      </w:r>
      <w:proofErr w:type="spellStart"/>
      <w:r w:rsidRPr="00A532FF">
        <w:rPr>
          <w:rFonts w:cs="Arial"/>
          <w:bCs/>
        </w:rPr>
        <w:t>Iniciative</w:t>
      </w:r>
      <w:proofErr w:type="spellEnd"/>
      <w:r w:rsidRPr="00A532FF">
        <w:rPr>
          <w:rFonts w:cs="Arial"/>
          <w:bCs/>
        </w:rPr>
        <w:t xml:space="preserve"> (GRI)</w:t>
      </w:r>
      <w:r>
        <w:rPr>
          <w:rFonts w:cs="Arial"/>
          <w:bCs/>
        </w:rPr>
        <w:t>, disponibilizado no site da companhia (</w:t>
      </w:r>
      <w:hyperlink r:id="rId13" w:history="1">
        <w:r w:rsidRPr="00A532FF">
          <w:rPr>
            <w:rStyle w:val="Hyperlink"/>
            <w:rFonts w:cs="Arial"/>
            <w:bCs/>
          </w:rPr>
          <w:t>https://www.bbseguros.com.br/seguradora/seguros/quem-somos/sustentabilidade</w:t>
        </w:r>
      </w:hyperlink>
      <w:r>
        <w:t>).</w:t>
      </w:r>
    </w:p>
    <w:p w14:paraId="2455BBE5" w14:textId="051BA8BE" w:rsidR="0063302F" w:rsidRDefault="0063302F">
      <w:pPr>
        <w:spacing w:after="160" w:line="259" w:lineRule="auto"/>
        <w:rPr>
          <w:rFonts w:ascii="Arial" w:eastAsia="Times New Roman" w:hAnsi="Arial" w:cs="Arial"/>
          <w:bCs/>
          <w:spacing w:val="-2"/>
          <w:sz w:val="18"/>
          <w:szCs w:val="18"/>
          <w:lang w:eastAsia="pt-BR"/>
        </w:rPr>
      </w:pPr>
      <w:r>
        <w:rPr>
          <w:rFonts w:cs="Arial"/>
          <w:bCs/>
        </w:rPr>
        <w:br w:type="page"/>
      </w:r>
    </w:p>
    <w:p w14:paraId="7F79FFE2" w14:textId="77777777" w:rsidR="005507F9" w:rsidRPr="0063302F" w:rsidRDefault="005507F9" w:rsidP="005507F9">
      <w:pPr>
        <w:pStyle w:val="05-Textonormal"/>
        <w:ind w:left="360"/>
        <w:rPr>
          <w:b/>
          <w:color w:val="254E79"/>
          <w:sz w:val="20"/>
          <w:szCs w:val="20"/>
        </w:rPr>
      </w:pPr>
      <w:proofErr w:type="spellStart"/>
      <w:r w:rsidRPr="0063302F">
        <w:rPr>
          <w:b/>
          <w:color w:val="254E79"/>
          <w:sz w:val="20"/>
          <w:szCs w:val="20"/>
        </w:rPr>
        <w:t>Brasilprev</w:t>
      </w:r>
      <w:proofErr w:type="spellEnd"/>
    </w:p>
    <w:p w14:paraId="065A795E" w14:textId="31819D76" w:rsidR="005507F9" w:rsidRPr="004D4569" w:rsidRDefault="005507F9" w:rsidP="005507F9">
      <w:pPr>
        <w:pStyle w:val="05-Textonormal"/>
        <w:numPr>
          <w:ilvl w:val="0"/>
          <w:numId w:val="13"/>
        </w:numPr>
        <w:ind w:left="714" w:hanging="357"/>
        <w:rPr>
          <w:rFonts w:cs="Arial"/>
        </w:rPr>
      </w:pPr>
      <w:r w:rsidRPr="004D4569">
        <w:rPr>
          <w:rFonts w:cs="Arial"/>
          <w:b/>
        </w:rPr>
        <w:t>Princípios para o Investimento Responsável (PRI):</w:t>
      </w:r>
      <w:r w:rsidRPr="004D4569">
        <w:rPr>
          <w:rFonts w:cs="Arial"/>
        </w:rPr>
        <w:t xml:space="preserve"> a </w:t>
      </w:r>
      <w:proofErr w:type="spellStart"/>
      <w:r w:rsidRPr="004D4569">
        <w:rPr>
          <w:rFonts w:cs="Arial"/>
        </w:rPr>
        <w:t>Brasilprev</w:t>
      </w:r>
      <w:proofErr w:type="spellEnd"/>
      <w:r w:rsidRPr="004D4569">
        <w:rPr>
          <w:rFonts w:cs="Arial"/>
        </w:rPr>
        <w:t xml:space="preserve"> integra e subscreve compromissos e acordos voluntários com instituições e organizações com as quais compartilha princípios e valores a fim de exercer seu papel de agente transformador na sociedade. Dentre eles estão os Princípios para o Investimento Responsável (PRI), desde 2017</w:t>
      </w:r>
      <w:r w:rsidRPr="00CB72A7">
        <w:rPr>
          <w:rFonts w:cs="Arial"/>
        </w:rPr>
        <w:t>.</w:t>
      </w:r>
      <w:r w:rsidR="004D4569" w:rsidRPr="00CB72A7">
        <w:rPr>
          <w:rFonts w:cs="Arial"/>
        </w:rPr>
        <w:t xml:space="preserve"> O PRI é reconhecido por estabelecer os padrões globais relacionados a investimentos responsáveis, incentivando os investidores a incorporar os aspectos ambientais, sociais e de governança (ASG) em seus processos de investimento.</w:t>
      </w:r>
    </w:p>
    <w:p w14:paraId="753AAE6E" w14:textId="1D6E9253" w:rsidR="004D4569" w:rsidRPr="00CB72A7" w:rsidRDefault="004D4569" w:rsidP="004D4569">
      <w:pPr>
        <w:numPr>
          <w:ilvl w:val="0"/>
          <w:numId w:val="13"/>
        </w:numPr>
        <w:spacing w:before="120" w:after="120"/>
        <w:ind w:left="714" w:hanging="357"/>
        <w:jc w:val="both"/>
        <w:rPr>
          <w:rFonts w:ascii="Arial" w:eastAsia="Times New Roman" w:hAnsi="Arial" w:cs="Arial"/>
          <w:spacing w:val="-2"/>
          <w:sz w:val="18"/>
          <w:szCs w:val="18"/>
          <w:lang w:eastAsia="pt-BR"/>
        </w:rPr>
      </w:pPr>
      <w:bookmarkStart w:id="4" w:name="_Hlk59543832"/>
      <w:r w:rsidRPr="00CB72A7">
        <w:rPr>
          <w:rFonts w:ascii="Arial" w:eastAsia="Times New Roman" w:hAnsi="Arial" w:cs="Arial"/>
          <w:b/>
          <w:bCs/>
          <w:spacing w:val="-2"/>
          <w:sz w:val="18"/>
          <w:szCs w:val="18"/>
          <w:lang w:eastAsia="pt-BR"/>
        </w:rPr>
        <w:t>Ampliação das Estratégias de Investimentos ASG:</w:t>
      </w:r>
      <w:r w:rsidRPr="00CB72A7">
        <w:rPr>
          <w:rFonts w:ascii="Arial" w:eastAsia="Times New Roman" w:hAnsi="Arial" w:cs="Arial"/>
          <w:spacing w:val="-2"/>
          <w:sz w:val="18"/>
          <w:szCs w:val="18"/>
          <w:lang w:eastAsia="pt-BR"/>
        </w:rPr>
        <w:t xml:space="preserve"> a </w:t>
      </w:r>
      <w:proofErr w:type="spellStart"/>
      <w:r w:rsidRPr="00CB72A7">
        <w:rPr>
          <w:rFonts w:ascii="Arial" w:eastAsia="Times New Roman" w:hAnsi="Arial" w:cs="Arial"/>
          <w:spacing w:val="-2"/>
          <w:sz w:val="18"/>
          <w:szCs w:val="18"/>
          <w:lang w:eastAsia="pt-BR"/>
        </w:rPr>
        <w:t>Brasilprev</w:t>
      </w:r>
      <w:proofErr w:type="spellEnd"/>
      <w:r w:rsidRPr="00CB72A7">
        <w:rPr>
          <w:rFonts w:ascii="Arial" w:eastAsia="Times New Roman" w:hAnsi="Arial" w:cs="Arial"/>
          <w:spacing w:val="-2"/>
          <w:sz w:val="18"/>
          <w:szCs w:val="18"/>
          <w:lang w:eastAsia="pt-BR"/>
        </w:rPr>
        <w:t xml:space="preserve"> lançou em fevereiro de 2019 o fundo </w:t>
      </w:r>
      <w:proofErr w:type="spellStart"/>
      <w:r w:rsidRPr="00CB72A7">
        <w:rPr>
          <w:rFonts w:ascii="Arial" w:eastAsia="Times New Roman" w:hAnsi="Arial" w:cs="Arial"/>
          <w:spacing w:val="-2"/>
          <w:sz w:val="18"/>
          <w:szCs w:val="18"/>
          <w:lang w:eastAsia="pt-BR"/>
        </w:rPr>
        <w:t>Brasilprev</w:t>
      </w:r>
      <w:proofErr w:type="spellEnd"/>
      <w:r w:rsidRPr="00CB72A7">
        <w:rPr>
          <w:rFonts w:ascii="Arial" w:eastAsia="Times New Roman" w:hAnsi="Arial" w:cs="Arial"/>
          <w:spacing w:val="-2"/>
          <w:sz w:val="18"/>
          <w:szCs w:val="18"/>
          <w:lang w:eastAsia="pt-BR"/>
        </w:rPr>
        <w:t xml:space="preserve"> TOP ASG, com alocação em </w:t>
      </w:r>
      <w:proofErr w:type="spellStart"/>
      <w:r w:rsidRPr="00CB72A7">
        <w:rPr>
          <w:rFonts w:ascii="Arial" w:eastAsia="Times New Roman" w:hAnsi="Arial" w:cs="Arial"/>
          <w:spacing w:val="-2"/>
          <w:sz w:val="18"/>
          <w:szCs w:val="18"/>
          <w:lang w:eastAsia="pt-BR"/>
        </w:rPr>
        <w:t>ETFs</w:t>
      </w:r>
      <w:proofErr w:type="spellEnd"/>
      <w:r w:rsidRPr="00CB72A7">
        <w:rPr>
          <w:rFonts w:ascii="Arial" w:eastAsia="Times New Roman" w:hAnsi="Arial" w:cs="Arial"/>
          <w:spacing w:val="-2"/>
          <w:sz w:val="18"/>
          <w:szCs w:val="18"/>
          <w:lang w:eastAsia="pt-BR"/>
        </w:rPr>
        <w:t xml:space="preserve"> (Fundo de Índice) ASG no exterior. Até </w:t>
      </w:r>
      <w:r w:rsidR="009B7402">
        <w:rPr>
          <w:rFonts w:ascii="Arial" w:eastAsia="Times New Roman" w:hAnsi="Arial" w:cs="Arial"/>
          <w:spacing w:val="-2"/>
          <w:sz w:val="18"/>
          <w:szCs w:val="18"/>
          <w:lang w:eastAsia="pt-BR"/>
        </w:rPr>
        <w:t>dezembro</w:t>
      </w:r>
      <w:r w:rsidRPr="00CB72A7">
        <w:rPr>
          <w:rFonts w:ascii="Arial" w:eastAsia="Times New Roman" w:hAnsi="Arial" w:cs="Arial"/>
          <w:spacing w:val="-2"/>
          <w:sz w:val="18"/>
          <w:szCs w:val="18"/>
          <w:lang w:eastAsia="pt-BR"/>
        </w:rPr>
        <w:t xml:space="preserve">/2020 o fundo possuía patrimônio acumulado de R$ </w:t>
      </w:r>
      <w:r w:rsidR="009B7402">
        <w:rPr>
          <w:rFonts w:ascii="Arial" w:eastAsia="Times New Roman" w:hAnsi="Arial" w:cs="Arial"/>
          <w:spacing w:val="-2"/>
          <w:sz w:val="18"/>
          <w:szCs w:val="18"/>
          <w:lang w:eastAsia="pt-BR"/>
        </w:rPr>
        <w:t>54</w:t>
      </w:r>
      <w:r w:rsidRPr="00CB72A7">
        <w:rPr>
          <w:rFonts w:ascii="Arial" w:eastAsia="Times New Roman" w:hAnsi="Arial" w:cs="Arial"/>
          <w:spacing w:val="-2"/>
          <w:sz w:val="18"/>
          <w:szCs w:val="18"/>
          <w:lang w:eastAsia="pt-BR"/>
        </w:rPr>
        <w:t>,</w:t>
      </w:r>
      <w:r w:rsidR="009B7402">
        <w:rPr>
          <w:rFonts w:ascii="Arial" w:eastAsia="Times New Roman" w:hAnsi="Arial" w:cs="Arial"/>
          <w:spacing w:val="-2"/>
          <w:sz w:val="18"/>
          <w:szCs w:val="18"/>
          <w:lang w:eastAsia="pt-BR"/>
        </w:rPr>
        <w:t>0</w:t>
      </w:r>
      <w:r w:rsidRPr="00CB72A7">
        <w:rPr>
          <w:rFonts w:ascii="Arial" w:eastAsia="Times New Roman" w:hAnsi="Arial" w:cs="Arial"/>
          <w:spacing w:val="-2"/>
          <w:sz w:val="18"/>
          <w:szCs w:val="18"/>
          <w:lang w:eastAsia="pt-BR"/>
        </w:rPr>
        <w:t xml:space="preserve"> milhões e rentabilidade de </w:t>
      </w:r>
      <w:r w:rsidR="009B7402">
        <w:rPr>
          <w:rFonts w:ascii="Arial" w:eastAsia="Times New Roman" w:hAnsi="Arial" w:cs="Arial"/>
          <w:spacing w:val="-2"/>
          <w:sz w:val="18"/>
          <w:szCs w:val="18"/>
          <w:lang w:eastAsia="pt-BR"/>
        </w:rPr>
        <w:t>61</w:t>
      </w:r>
      <w:r w:rsidRPr="00CB72A7">
        <w:rPr>
          <w:rFonts w:ascii="Arial" w:eastAsia="Times New Roman" w:hAnsi="Arial" w:cs="Arial"/>
          <w:spacing w:val="-2"/>
          <w:sz w:val="18"/>
          <w:szCs w:val="18"/>
          <w:lang w:eastAsia="pt-BR"/>
        </w:rPr>
        <w:t>,</w:t>
      </w:r>
      <w:r w:rsidR="009B7402">
        <w:rPr>
          <w:rFonts w:ascii="Arial" w:eastAsia="Times New Roman" w:hAnsi="Arial" w:cs="Arial"/>
          <w:spacing w:val="-2"/>
          <w:sz w:val="18"/>
          <w:szCs w:val="18"/>
          <w:lang w:eastAsia="pt-BR"/>
        </w:rPr>
        <w:t>0</w:t>
      </w:r>
      <w:r w:rsidRPr="00CB72A7">
        <w:rPr>
          <w:rFonts w:ascii="Arial" w:eastAsia="Times New Roman" w:hAnsi="Arial" w:cs="Arial"/>
          <w:spacing w:val="-2"/>
          <w:sz w:val="18"/>
          <w:szCs w:val="18"/>
          <w:lang w:eastAsia="pt-BR"/>
        </w:rPr>
        <w:t>% (vs. 8,</w:t>
      </w:r>
      <w:r w:rsidR="009B7402">
        <w:rPr>
          <w:rFonts w:ascii="Arial" w:eastAsia="Times New Roman" w:hAnsi="Arial" w:cs="Arial"/>
          <w:spacing w:val="-2"/>
          <w:sz w:val="18"/>
          <w:szCs w:val="18"/>
          <w:lang w:eastAsia="pt-BR"/>
        </w:rPr>
        <w:t>1</w:t>
      </w:r>
      <w:r w:rsidRPr="00CB72A7">
        <w:rPr>
          <w:rFonts w:ascii="Arial" w:eastAsia="Times New Roman" w:hAnsi="Arial" w:cs="Arial"/>
          <w:spacing w:val="-2"/>
          <w:sz w:val="18"/>
          <w:szCs w:val="18"/>
          <w:lang w:eastAsia="pt-BR"/>
        </w:rPr>
        <w:t xml:space="preserve">% do CDI), desde sua criação. Em dezembro/2020, a estratégia ASG deu origem a um novo produto destinado aos clientes </w:t>
      </w:r>
      <w:proofErr w:type="spellStart"/>
      <w:r w:rsidRPr="00CB72A7">
        <w:rPr>
          <w:rFonts w:ascii="Arial" w:eastAsia="Times New Roman" w:hAnsi="Arial" w:cs="Arial"/>
          <w:spacing w:val="-2"/>
          <w:sz w:val="18"/>
          <w:szCs w:val="18"/>
          <w:lang w:eastAsia="pt-BR"/>
        </w:rPr>
        <w:t>private</w:t>
      </w:r>
      <w:proofErr w:type="spellEnd"/>
      <w:r w:rsidRPr="00CB72A7">
        <w:rPr>
          <w:rFonts w:ascii="Arial" w:eastAsia="Times New Roman" w:hAnsi="Arial" w:cs="Arial"/>
          <w:spacing w:val="-2"/>
          <w:sz w:val="18"/>
          <w:szCs w:val="18"/>
          <w:lang w:eastAsia="pt-BR"/>
        </w:rPr>
        <w:t xml:space="preserve">, que além dos </w:t>
      </w:r>
      <w:proofErr w:type="spellStart"/>
      <w:r w:rsidRPr="00CB72A7">
        <w:rPr>
          <w:rFonts w:ascii="Arial" w:eastAsia="Times New Roman" w:hAnsi="Arial" w:cs="Arial"/>
          <w:spacing w:val="-2"/>
          <w:sz w:val="18"/>
          <w:szCs w:val="18"/>
          <w:lang w:eastAsia="pt-BR"/>
        </w:rPr>
        <w:t>ETFs</w:t>
      </w:r>
      <w:proofErr w:type="spellEnd"/>
      <w:r w:rsidRPr="00CB72A7">
        <w:rPr>
          <w:rFonts w:ascii="Arial" w:eastAsia="Times New Roman" w:hAnsi="Arial" w:cs="Arial"/>
          <w:spacing w:val="-2"/>
          <w:sz w:val="18"/>
          <w:szCs w:val="18"/>
          <w:lang w:eastAsia="pt-BR"/>
        </w:rPr>
        <w:t xml:space="preserve"> no exterior também investirá em ações brasileiras que sigam boas práticas ASG.</w:t>
      </w:r>
    </w:p>
    <w:p w14:paraId="3ABA3BDD" w14:textId="6DF7AF65" w:rsidR="004D4569" w:rsidRPr="00CB72A7" w:rsidRDefault="004D4569" w:rsidP="004D4569">
      <w:pPr>
        <w:numPr>
          <w:ilvl w:val="0"/>
          <w:numId w:val="13"/>
        </w:numPr>
        <w:spacing w:before="120" w:after="120"/>
        <w:ind w:left="714" w:hanging="357"/>
        <w:jc w:val="both"/>
        <w:rPr>
          <w:rFonts w:ascii="Arial" w:eastAsia="Times New Roman" w:hAnsi="Arial" w:cs="Arial"/>
          <w:spacing w:val="-2"/>
          <w:sz w:val="18"/>
          <w:szCs w:val="18"/>
          <w:lang w:eastAsia="pt-BR"/>
        </w:rPr>
      </w:pPr>
      <w:r w:rsidRPr="00CB72A7">
        <w:rPr>
          <w:rFonts w:ascii="Arial" w:eastAsia="Times New Roman" w:hAnsi="Arial" w:cs="Arial"/>
          <w:b/>
          <w:bCs/>
          <w:spacing w:val="-2"/>
          <w:sz w:val="18"/>
          <w:szCs w:val="18"/>
          <w:lang w:eastAsia="pt-BR"/>
        </w:rPr>
        <w:t>Declaração sobre Títulos Verdes:</w:t>
      </w:r>
      <w:r w:rsidRPr="00CB72A7">
        <w:rPr>
          <w:rFonts w:ascii="Arial" w:eastAsia="Times New Roman" w:hAnsi="Arial" w:cs="Arial"/>
          <w:spacing w:val="-2"/>
          <w:sz w:val="18"/>
          <w:szCs w:val="18"/>
          <w:lang w:eastAsia="pt-BR"/>
        </w:rPr>
        <w:t xml:space="preserve"> a </w:t>
      </w:r>
      <w:proofErr w:type="spellStart"/>
      <w:r w:rsidRPr="00CB72A7">
        <w:rPr>
          <w:rFonts w:ascii="Arial" w:eastAsia="Times New Roman" w:hAnsi="Arial" w:cs="Arial"/>
          <w:spacing w:val="-2"/>
          <w:sz w:val="18"/>
          <w:szCs w:val="18"/>
          <w:lang w:eastAsia="pt-BR"/>
        </w:rPr>
        <w:t>Brasilprev</w:t>
      </w:r>
      <w:proofErr w:type="spellEnd"/>
      <w:r w:rsidRPr="00CB72A7">
        <w:rPr>
          <w:rFonts w:ascii="Arial" w:eastAsia="Times New Roman" w:hAnsi="Arial" w:cs="Arial"/>
          <w:spacing w:val="-2"/>
          <w:sz w:val="18"/>
          <w:szCs w:val="18"/>
          <w:lang w:eastAsia="pt-BR"/>
        </w:rPr>
        <w:t xml:space="preserve"> é signatária desde 2017, juntamente com outros investidores representando cerca de R$ 1,8 trilhão em </w:t>
      </w:r>
      <w:r w:rsidR="00CB72A7">
        <w:rPr>
          <w:rFonts w:ascii="Arial" w:eastAsia="Times New Roman" w:hAnsi="Arial" w:cs="Arial"/>
          <w:spacing w:val="-2"/>
          <w:sz w:val="18"/>
          <w:szCs w:val="18"/>
          <w:lang w:eastAsia="pt-BR"/>
        </w:rPr>
        <w:t>ativos sob gestão</w:t>
      </w:r>
      <w:r w:rsidRPr="00CB72A7">
        <w:rPr>
          <w:rFonts w:ascii="Arial" w:eastAsia="Times New Roman" w:hAnsi="Arial" w:cs="Arial"/>
          <w:spacing w:val="-2"/>
          <w:sz w:val="18"/>
          <w:szCs w:val="18"/>
          <w:lang w:eastAsia="pt-BR"/>
        </w:rPr>
        <w:t>. Na declaração, os signatários se comprometem a dialogar com entidades, governamentais ou não, para estimular o desenvolvimento de um mercado brasileiro de títulos verdes robusto e que contribua verdadeiramente para endereçar as mudanças climáticas.</w:t>
      </w:r>
    </w:p>
    <w:p w14:paraId="15975E49" w14:textId="77777777" w:rsidR="004D4569" w:rsidRPr="00CB72A7" w:rsidRDefault="004D4569" w:rsidP="004D4569">
      <w:pPr>
        <w:numPr>
          <w:ilvl w:val="0"/>
          <w:numId w:val="13"/>
        </w:numPr>
        <w:spacing w:before="120" w:after="120"/>
        <w:ind w:left="714" w:hanging="357"/>
        <w:jc w:val="both"/>
        <w:rPr>
          <w:rFonts w:ascii="Arial" w:eastAsia="Times New Roman" w:hAnsi="Arial" w:cs="Arial"/>
          <w:spacing w:val="-2"/>
          <w:sz w:val="18"/>
          <w:szCs w:val="18"/>
          <w:lang w:eastAsia="pt-BR"/>
        </w:rPr>
      </w:pPr>
      <w:proofErr w:type="spellStart"/>
      <w:r w:rsidRPr="00CB72A7">
        <w:rPr>
          <w:rFonts w:ascii="Arial" w:eastAsia="Times New Roman" w:hAnsi="Arial" w:cs="Arial"/>
          <w:b/>
          <w:bCs/>
          <w:i/>
          <w:iCs/>
          <w:spacing w:val="-2"/>
          <w:sz w:val="18"/>
          <w:szCs w:val="18"/>
          <w:lang w:eastAsia="pt-BR"/>
        </w:rPr>
        <w:t>Carbon</w:t>
      </w:r>
      <w:proofErr w:type="spellEnd"/>
      <w:r w:rsidRPr="00CB72A7">
        <w:rPr>
          <w:rFonts w:ascii="Arial" w:eastAsia="Times New Roman" w:hAnsi="Arial" w:cs="Arial"/>
          <w:b/>
          <w:bCs/>
          <w:i/>
          <w:iCs/>
          <w:spacing w:val="-2"/>
          <w:sz w:val="18"/>
          <w:szCs w:val="18"/>
          <w:lang w:eastAsia="pt-BR"/>
        </w:rPr>
        <w:t xml:space="preserve"> </w:t>
      </w:r>
      <w:proofErr w:type="spellStart"/>
      <w:r w:rsidRPr="00CB72A7">
        <w:rPr>
          <w:rFonts w:ascii="Arial" w:eastAsia="Times New Roman" w:hAnsi="Arial" w:cs="Arial"/>
          <w:b/>
          <w:bCs/>
          <w:i/>
          <w:iCs/>
          <w:spacing w:val="-2"/>
          <w:sz w:val="18"/>
          <w:szCs w:val="18"/>
          <w:lang w:eastAsia="pt-BR"/>
        </w:rPr>
        <w:t>Disclosure</w:t>
      </w:r>
      <w:proofErr w:type="spellEnd"/>
      <w:r w:rsidRPr="00CB72A7">
        <w:rPr>
          <w:rFonts w:ascii="Arial" w:eastAsia="Times New Roman" w:hAnsi="Arial" w:cs="Arial"/>
          <w:b/>
          <w:bCs/>
          <w:i/>
          <w:iCs/>
          <w:spacing w:val="-2"/>
          <w:sz w:val="18"/>
          <w:szCs w:val="18"/>
          <w:lang w:eastAsia="pt-BR"/>
        </w:rPr>
        <w:t xml:space="preserve"> Project</w:t>
      </w:r>
      <w:r w:rsidRPr="00CB72A7">
        <w:rPr>
          <w:rFonts w:ascii="Arial" w:eastAsia="Times New Roman" w:hAnsi="Arial" w:cs="Arial"/>
          <w:b/>
          <w:bCs/>
          <w:spacing w:val="-2"/>
          <w:sz w:val="18"/>
          <w:szCs w:val="18"/>
          <w:lang w:eastAsia="pt-BR"/>
        </w:rPr>
        <w:t xml:space="preserve"> (CDP):</w:t>
      </w:r>
      <w:r w:rsidRPr="00CB72A7">
        <w:rPr>
          <w:rFonts w:ascii="Arial" w:eastAsia="Times New Roman" w:hAnsi="Arial" w:cs="Arial"/>
          <w:spacing w:val="-2"/>
          <w:sz w:val="18"/>
          <w:szCs w:val="18"/>
          <w:lang w:eastAsia="pt-BR"/>
        </w:rPr>
        <w:t xml:space="preserve"> a </w:t>
      </w:r>
      <w:proofErr w:type="spellStart"/>
      <w:r w:rsidRPr="00CB72A7">
        <w:rPr>
          <w:rFonts w:ascii="Arial" w:eastAsia="Times New Roman" w:hAnsi="Arial" w:cs="Arial"/>
          <w:spacing w:val="-2"/>
          <w:sz w:val="18"/>
          <w:szCs w:val="18"/>
          <w:lang w:eastAsia="pt-BR"/>
        </w:rPr>
        <w:t>Brasilprev</w:t>
      </w:r>
      <w:proofErr w:type="spellEnd"/>
      <w:r w:rsidRPr="00CB72A7">
        <w:rPr>
          <w:rFonts w:ascii="Arial" w:eastAsia="Times New Roman" w:hAnsi="Arial" w:cs="Arial"/>
          <w:spacing w:val="-2"/>
          <w:sz w:val="18"/>
          <w:szCs w:val="18"/>
          <w:lang w:eastAsia="pt-BR"/>
        </w:rPr>
        <w:t xml:space="preserve"> participa do CDP como investidora signatária, tendo acesso a sua base de dados global com informações sobre o compromisso das empresas, sejam potenciais ou já investidas, em relação a emissões de carbono e ações de sustentabilidade.</w:t>
      </w:r>
    </w:p>
    <w:p w14:paraId="2A65895F" w14:textId="3315FE86" w:rsidR="004D4569" w:rsidRPr="00CE350D" w:rsidRDefault="004D4569" w:rsidP="004D4569">
      <w:pPr>
        <w:numPr>
          <w:ilvl w:val="0"/>
          <w:numId w:val="13"/>
        </w:numPr>
        <w:spacing w:before="120" w:after="120"/>
        <w:ind w:left="714" w:hanging="357"/>
        <w:jc w:val="both"/>
        <w:rPr>
          <w:rFonts w:ascii="Arial" w:eastAsia="Times New Roman" w:hAnsi="Arial" w:cs="Arial"/>
          <w:spacing w:val="-2"/>
          <w:sz w:val="18"/>
          <w:szCs w:val="18"/>
          <w:lang w:eastAsia="pt-BR"/>
        </w:rPr>
      </w:pPr>
      <w:r w:rsidRPr="00CB72A7">
        <w:rPr>
          <w:rFonts w:ascii="Arial" w:eastAsia="Times New Roman" w:hAnsi="Arial" w:cs="Arial"/>
          <w:b/>
          <w:spacing w:val="-2"/>
          <w:sz w:val="18"/>
          <w:szCs w:val="18"/>
          <w:lang w:eastAsia="pt-BR"/>
        </w:rPr>
        <w:t xml:space="preserve">Projetos incentivados: </w:t>
      </w:r>
      <w:r w:rsidRPr="00CB72A7">
        <w:rPr>
          <w:rFonts w:ascii="Arial" w:eastAsia="Times New Roman" w:hAnsi="Arial" w:cs="Arial"/>
          <w:spacing w:val="-2"/>
          <w:sz w:val="18"/>
          <w:szCs w:val="18"/>
          <w:lang w:eastAsia="pt-BR"/>
        </w:rPr>
        <w:t>em 2020, foram apoiados 4 projetos sociais</w:t>
      </w:r>
      <w:r w:rsidR="007A0C76" w:rsidRPr="00CB72A7">
        <w:rPr>
          <w:rFonts w:ascii="Arial" w:eastAsia="Times New Roman" w:hAnsi="Arial" w:cs="Arial"/>
          <w:spacing w:val="-2"/>
          <w:sz w:val="18"/>
          <w:szCs w:val="18"/>
          <w:lang w:eastAsia="pt-BR"/>
        </w:rPr>
        <w:t xml:space="preserve"> por meio de Leis de Incentivo (Idoso e </w:t>
      </w:r>
      <w:proofErr w:type="spellStart"/>
      <w:r w:rsidR="007A0C76" w:rsidRPr="00CE350D">
        <w:rPr>
          <w:rFonts w:ascii="Arial" w:eastAsia="Times New Roman" w:hAnsi="Arial" w:cs="Arial"/>
          <w:spacing w:val="-2"/>
          <w:sz w:val="18"/>
          <w:szCs w:val="18"/>
          <w:lang w:eastAsia="pt-BR"/>
        </w:rPr>
        <w:t>Fumcad</w:t>
      </w:r>
      <w:proofErr w:type="spellEnd"/>
      <w:r w:rsidR="007A0C76" w:rsidRPr="00CE350D">
        <w:rPr>
          <w:rFonts w:ascii="Arial" w:eastAsia="Times New Roman" w:hAnsi="Arial" w:cs="Arial"/>
          <w:spacing w:val="-2"/>
          <w:sz w:val="18"/>
          <w:szCs w:val="18"/>
          <w:lang w:eastAsia="pt-BR"/>
        </w:rPr>
        <w:t xml:space="preserve">), beneficiando mais de 54 mil crianças e idosos. </w:t>
      </w:r>
    </w:p>
    <w:bookmarkEnd w:id="4"/>
    <w:p w14:paraId="76EDE685" w14:textId="172121A8" w:rsidR="005507F9" w:rsidRPr="00CE350D" w:rsidRDefault="00CE350D" w:rsidP="002B4E9D">
      <w:pPr>
        <w:pStyle w:val="05-Textonormal"/>
        <w:spacing w:after="0" w:line="240" w:lineRule="auto"/>
        <w:rPr>
          <w:rFonts w:cs="Arial"/>
        </w:rPr>
      </w:pPr>
      <w:r w:rsidRPr="00CE350D">
        <w:rPr>
          <w:rFonts w:cs="Arial"/>
        </w:rPr>
        <w:t>I</w:t>
      </w:r>
      <w:r w:rsidR="002B4E9D" w:rsidRPr="00CE350D">
        <w:rPr>
          <w:rFonts w:cs="Arial"/>
        </w:rPr>
        <w:t>nformações relacionadas ao tema estão disponibilizadas no site da companhia (</w:t>
      </w:r>
      <w:hyperlink r:id="rId14" w:history="1">
        <w:r w:rsidR="002B4E9D" w:rsidRPr="00CE350D">
          <w:rPr>
            <w:rStyle w:val="Hyperlink"/>
            <w:rFonts w:cs="Arial"/>
            <w:color w:val="auto"/>
            <w:u w:val="none"/>
          </w:rPr>
          <w:t>https://www1.brasilprev.com.br/quem-somos.html</w:t>
        </w:r>
      </w:hyperlink>
      <w:r w:rsidR="002B4E9D" w:rsidRPr="00CE350D">
        <w:rPr>
          <w:rFonts w:cs="Arial"/>
        </w:rPr>
        <w:t>).</w:t>
      </w:r>
    </w:p>
    <w:p w14:paraId="36E45770" w14:textId="77777777" w:rsidR="002B4E9D" w:rsidRPr="00CE350D" w:rsidRDefault="002B4E9D" w:rsidP="002B4E9D">
      <w:pPr>
        <w:pStyle w:val="05-Textonormal"/>
        <w:spacing w:after="0" w:line="240" w:lineRule="auto"/>
        <w:rPr>
          <w:rFonts w:cs="Arial"/>
        </w:rPr>
      </w:pPr>
    </w:p>
    <w:p w14:paraId="1FB1648B" w14:textId="77777777" w:rsidR="005507F9" w:rsidRPr="00CE350D" w:rsidRDefault="005507F9" w:rsidP="005507F9">
      <w:pPr>
        <w:pStyle w:val="05-Textonormal"/>
        <w:ind w:left="360"/>
        <w:rPr>
          <w:b/>
          <w:color w:val="1F4E79" w:themeColor="accent1" w:themeShade="80"/>
        </w:rPr>
      </w:pPr>
      <w:r w:rsidRPr="00CE350D">
        <w:rPr>
          <w:b/>
          <w:color w:val="1F4E79" w:themeColor="accent1" w:themeShade="80"/>
        </w:rPr>
        <w:t>Brasilcap</w:t>
      </w:r>
    </w:p>
    <w:p w14:paraId="736AF572" w14:textId="5876B04F" w:rsidR="005507F9" w:rsidRPr="00CE350D" w:rsidRDefault="005507F9" w:rsidP="005507F9">
      <w:pPr>
        <w:pStyle w:val="05-Textonormal"/>
        <w:numPr>
          <w:ilvl w:val="0"/>
          <w:numId w:val="12"/>
        </w:numPr>
        <w:rPr>
          <w:rFonts w:cs="Arial"/>
        </w:rPr>
      </w:pPr>
      <w:r w:rsidRPr="00CE350D">
        <w:rPr>
          <w:b/>
        </w:rPr>
        <w:t xml:space="preserve">Princípios para Sustentabilidade em Seguros (PSI): </w:t>
      </w:r>
      <w:r w:rsidRPr="00CE350D">
        <w:rPr>
          <w:rFonts w:cs="Arial"/>
        </w:rPr>
        <w:t xml:space="preserve">única empresa de capitalização do Brasil signatária dos </w:t>
      </w:r>
      <w:r w:rsidRPr="00CE350D">
        <w:t>Princípios para Sustentabilidade em Seguros</w:t>
      </w:r>
      <w:r w:rsidR="00E77132" w:rsidRPr="00CE350D">
        <w:rPr>
          <w:rFonts w:cs="Arial"/>
        </w:rPr>
        <w:t xml:space="preserve"> do qual faz parte desde 2015.</w:t>
      </w:r>
    </w:p>
    <w:p w14:paraId="5C56A9E7" w14:textId="6A7D0FAA" w:rsidR="00E77132" w:rsidRPr="00CE350D" w:rsidRDefault="00E77132" w:rsidP="00E77132">
      <w:pPr>
        <w:pStyle w:val="05-Textonormal"/>
        <w:numPr>
          <w:ilvl w:val="0"/>
          <w:numId w:val="12"/>
        </w:numPr>
        <w:rPr>
          <w:rFonts w:cs="Arial"/>
        </w:rPr>
      </w:pPr>
      <w:r w:rsidRPr="00CE350D">
        <w:rPr>
          <w:rFonts w:cs="Arial"/>
          <w:b/>
        </w:rPr>
        <w:t>Instituto Ethos:</w:t>
      </w:r>
      <w:r w:rsidRPr="00CE350D">
        <w:rPr>
          <w:rFonts w:cs="Arial"/>
        </w:rPr>
        <w:t xml:space="preserve"> a Brasilcap é associada ao Instituto Ethos com direito a participar dos fóruns relacionados às questões ASG e utilizar a Ferramenta Ethos – que possibilita a gestão de indicadores e monitoramento da evolução ASG e do índice geral de sustentabilidade da empresa.</w:t>
      </w:r>
    </w:p>
    <w:p w14:paraId="69570528" w14:textId="68341947" w:rsidR="005507F9" w:rsidRPr="00CE350D" w:rsidRDefault="002C78DB" w:rsidP="005507F9">
      <w:pPr>
        <w:pStyle w:val="05-Textonormal"/>
        <w:numPr>
          <w:ilvl w:val="0"/>
          <w:numId w:val="12"/>
        </w:numPr>
        <w:rPr>
          <w:rFonts w:cs="Arial"/>
          <w:bCs/>
        </w:rPr>
      </w:pPr>
      <w:r w:rsidRPr="00CE350D">
        <w:rPr>
          <w:b/>
          <w:bCs/>
        </w:rPr>
        <w:t>Ações contra a Covid-19</w:t>
      </w:r>
      <w:r w:rsidR="005507F9" w:rsidRPr="00CE350D">
        <w:rPr>
          <w:b/>
          <w:bCs/>
        </w:rPr>
        <w:t>:</w:t>
      </w:r>
      <w:r w:rsidR="005507F9" w:rsidRPr="00CE350D">
        <w:rPr>
          <w:rFonts w:cs="Arial"/>
        </w:rPr>
        <w:t xml:space="preserve"> em 20</w:t>
      </w:r>
      <w:r w:rsidRPr="00CE350D">
        <w:rPr>
          <w:rFonts w:cs="Arial"/>
        </w:rPr>
        <w:t>20 a companhia ampliou sua atuação em responsabilidade social em resposta à crise sanitária deflagrada pela Covid-19, tendo apoiado, dentre outras, as ações “Adote um Leito UTI – Na Luta Contra o Coronavírus”</w:t>
      </w:r>
      <w:r w:rsidRPr="00CE350D">
        <w:rPr>
          <w:rFonts w:cs="Arial"/>
          <w:bCs/>
        </w:rPr>
        <w:t xml:space="preserve">, com a doação de recursos que contribuíram para a aquisição de respiradores, </w:t>
      </w:r>
      <w:r w:rsidR="00A959C3" w:rsidRPr="00CE350D">
        <w:rPr>
          <w:rFonts w:cs="Arial"/>
          <w:bCs/>
        </w:rPr>
        <w:t xml:space="preserve">incubadoras, </w:t>
      </w:r>
      <w:r w:rsidRPr="00CE350D">
        <w:rPr>
          <w:rFonts w:cs="Arial"/>
          <w:bCs/>
        </w:rPr>
        <w:t xml:space="preserve">cama elétrica para UTI, </w:t>
      </w:r>
      <w:proofErr w:type="spellStart"/>
      <w:r w:rsidRPr="00CE350D">
        <w:rPr>
          <w:rFonts w:cs="Arial"/>
          <w:bCs/>
        </w:rPr>
        <w:t>cardioversor</w:t>
      </w:r>
      <w:proofErr w:type="spellEnd"/>
      <w:r w:rsidRPr="00CE350D">
        <w:rPr>
          <w:rFonts w:cs="Arial"/>
          <w:bCs/>
        </w:rPr>
        <w:t xml:space="preserve">, monitor cardíaco, insumos hospitalares como </w:t>
      </w:r>
      <w:proofErr w:type="spellStart"/>
      <w:r w:rsidRPr="00CE350D">
        <w:rPr>
          <w:rFonts w:cs="Arial"/>
          <w:bCs/>
        </w:rPr>
        <w:t>EPI’s</w:t>
      </w:r>
      <w:proofErr w:type="spellEnd"/>
      <w:r w:rsidRPr="00CE350D">
        <w:rPr>
          <w:rFonts w:cs="Arial"/>
          <w:bCs/>
        </w:rPr>
        <w:t xml:space="preserve"> (máscaras, aventais e instru</w:t>
      </w:r>
      <w:r w:rsidR="00B354FC" w:rsidRPr="00CE350D">
        <w:rPr>
          <w:rFonts w:cs="Arial"/>
          <w:bCs/>
        </w:rPr>
        <w:t>mentos cirúrgicos), bem como nos gastos com serviços de médicos, enfermeiros e assistentes.</w:t>
      </w:r>
    </w:p>
    <w:p w14:paraId="52D41D9B" w14:textId="6FCE8508" w:rsidR="002B4E9D" w:rsidRPr="00CE350D" w:rsidRDefault="002B4E9D" w:rsidP="002B4E9D">
      <w:pPr>
        <w:pStyle w:val="05-Textonormal"/>
        <w:spacing w:after="0" w:line="240" w:lineRule="auto"/>
        <w:rPr>
          <w:rFonts w:cs="Arial"/>
        </w:rPr>
      </w:pPr>
      <w:r w:rsidRPr="00CE350D">
        <w:rPr>
          <w:rFonts w:cs="Arial"/>
        </w:rPr>
        <w:t>Maiores informações relacionadas ao tema estão disponibilizadas no site da companhia (https://www.brasilcap.com.br/brasilcap/brasilcap/responsabilidade-socioambiental/responsabilidade-socioambiental.html).</w:t>
      </w:r>
    </w:p>
    <w:p w14:paraId="4A6DBB5A" w14:textId="77777777" w:rsidR="005507F9" w:rsidRDefault="005507F9" w:rsidP="005507F9">
      <w:pPr>
        <w:pStyle w:val="05-Textonormal"/>
        <w:ind w:left="720"/>
      </w:pPr>
    </w:p>
    <w:p w14:paraId="6EB95425"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PRINCIPAIS RECONHECIMENTOS</w:t>
      </w:r>
    </w:p>
    <w:p w14:paraId="56DDF139" w14:textId="2F029E10" w:rsidR="005507F9" w:rsidRPr="007B770B" w:rsidRDefault="007B770B" w:rsidP="005507F9">
      <w:pPr>
        <w:pStyle w:val="01-Textonormal"/>
      </w:pPr>
      <w:r w:rsidRPr="007B770B">
        <w:t>Em 2020</w:t>
      </w:r>
      <w:r w:rsidR="005507F9" w:rsidRPr="007B770B">
        <w:t xml:space="preserve">, a BB Seguridade foi a </w:t>
      </w:r>
      <w:r w:rsidRPr="007B770B">
        <w:t>vencedora</w:t>
      </w:r>
      <w:r w:rsidR="005507F9" w:rsidRPr="007B770B">
        <w:t xml:space="preserve"> </w:t>
      </w:r>
      <w:r w:rsidRPr="007B770B">
        <w:t>do</w:t>
      </w:r>
      <w:r w:rsidR="005507F9" w:rsidRPr="007B770B">
        <w:t xml:space="preserve"> </w:t>
      </w:r>
      <w:r w:rsidRPr="007B770B">
        <w:t>20</w:t>
      </w:r>
      <w:r w:rsidR="005507F9" w:rsidRPr="007B770B">
        <w:t xml:space="preserve">º Prêmio Broadcast Empresas, em parceria com a </w:t>
      </w:r>
      <w:proofErr w:type="spellStart"/>
      <w:r w:rsidR="005507F9" w:rsidRPr="007B770B">
        <w:t>Economática</w:t>
      </w:r>
      <w:proofErr w:type="spellEnd"/>
      <w:r w:rsidR="005507F9" w:rsidRPr="007B770B">
        <w:t>, que premiou as empresas que apresentaram os melhores desempenhos em um conjunto de indicadores e práticas de gover</w:t>
      </w:r>
      <w:r w:rsidRPr="007B770B">
        <w:t>nança corporativa no ano de 2019</w:t>
      </w:r>
      <w:r w:rsidR="005507F9" w:rsidRPr="007B770B">
        <w:t>.</w:t>
      </w:r>
      <w:r>
        <w:t xml:space="preserve"> A Companhia foi vencedora ainda na categoria “Novo Mercado”.</w:t>
      </w:r>
    </w:p>
    <w:p w14:paraId="7D2D96AF" w14:textId="77777777" w:rsidR="005507F9" w:rsidRPr="007B770B" w:rsidRDefault="005507F9" w:rsidP="005507F9">
      <w:pPr>
        <w:pStyle w:val="PargrafodaLista"/>
        <w:spacing w:before="120" w:after="120"/>
        <w:ind w:left="0"/>
        <w:jc w:val="both"/>
        <w:rPr>
          <w:rFonts w:ascii="Arial" w:hAnsi="Arial" w:cs="Arial"/>
          <w:sz w:val="18"/>
          <w:szCs w:val="18"/>
        </w:rPr>
      </w:pPr>
      <w:r w:rsidRPr="007B770B">
        <w:rPr>
          <w:rFonts w:ascii="Arial" w:hAnsi="Arial" w:cs="Arial"/>
          <w:sz w:val="18"/>
          <w:szCs w:val="18"/>
        </w:rPr>
        <w:t>Abaixo, os principais prêmios e reconhecimentos recebidos pelas empresas que fazem parte do Grupo BB Seguridade:</w:t>
      </w:r>
    </w:p>
    <w:p w14:paraId="58FAA964" w14:textId="77777777" w:rsidR="005507F9" w:rsidRPr="008A2D23" w:rsidRDefault="005507F9" w:rsidP="005507F9">
      <w:pPr>
        <w:pStyle w:val="PargrafodaLista"/>
        <w:spacing w:before="120" w:after="120"/>
        <w:ind w:left="0"/>
        <w:jc w:val="both"/>
        <w:rPr>
          <w:rFonts w:ascii="Arial" w:eastAsia="Times New Roman" w:hAnsi="Arial" w:cs="Arial"/>
          <w:b/>
          <w:sz w:val="18"/>
          <w:szCs w:val="18"/>
          <w:lang w:eastAsia="pt-BR"/>
        </w:rPr>
      </w:pPr>
    </w:p>
    <w:p w14:paraId="234137DF" w14:textId="559F4CEC" w:rsidR="005507F9" w:rsidRDefault="005507F9" w:rsidP="005507F9">
      <w:pPr>
        <w:pStyle w:val="PargrafodaLista"/>
        <w:spacing w:before="120" w:after="120"/>
        <w:ind w:left="360"/>
        <w:jc w:val="both"/>
        <w:rPr>
          <w:rFonts w:ascii="Arial" w:eastAsia="Times New Roman" w:hAnsi="Arial" w:cs="Times New Roman"/>
          <w:b/>
          <w:color w:val="1F4E79" w:themeColor="accent1" w:themeShade="80"/>
          <w:spacing w:val="-2"/>
          <w:sz w:val="20"/>
          <w:szCs w:val="20"/>
          <w:lang w:eastAsia="pt-BR"/>
        </w:rPr>
      </w:pPr>
      <w:proofErr w:type="spellStart"/>
      <w:r w:rsidRPr="005507F9">
        <w:rPr>
          <w:rFonts w:ascii="Arial" w:eastAsia="Times New Roman" w:hAnsi="Arial" w:cs="Times New Roman"/>
          <w:b/>
          <w:color w:val="1F4E79" w:themeColor="accent1" w:themeShade="80"/>
          <w:spacing w:val="-2"/>
          <w:sz w:val="20"/>
          <w:szCs w:val="20"/>
          <w:lang w:eastAsia="pt-BR"/>
        </w:rPr>
        <w:t>Brasilseg</w:t>
      </w:r>
      <w:proofErr w:type="spellEnd"/>
    </w:p>
    <w:p w14:paraId="5B56D06D" w14:textId="77777777" w:rsidR="008110F9" w:rsidRPr="008A2D23" w:rsidRDefault="008110F9" w:rsidP="005507F9">
      <w:pPr>
        <w:pStyle w:val="PargrafodaLista"/>
        <w:spacing w:before="120" w:after="120"/>
        <w:ind w:left="360"/>
        <w:jc w:val="both"/>
        <w:rPr>
          <w:rFonts w:ascii="Arial" w:eastAsia="Times New Roman" w:hAnsi="Arial" w:cs="Arial"/>
          <w:b/>
          <w:sz w:val="18"/>
          <w:szCs w:val="18"/>
          <w:lang w:eastAsia="pt-BR"/>
        </w:rPr>
      </w:pPr>
    </w:p>
    <w:p w14:paraId="344796F6" w14:textId="58A0766B" w:rsidR="00022204" w:rsidRPr="008110F9" w:rsidRDefault="00022204" w:rsidP="008110F9">
      <w:pPr>
        <w:pStyle w:val="PargrafodaLista"/>
        <w:numPr>
          <w:ilvl w:val="0"/>
          <w:numId w:val="29"/>
        </w:numPr>
        <w:spacing w:before="120"/>
        <w:ind w:left="714" w:hanging="357"/>
        <w:contextualSpacing w:val="0"/>
        <w:jc w:val="both"/>
        <w:rPr>
          <w:rFonts w:ascii="Arial" w:hAnsi="Arial" w:cs="Arial"/>
          <w:sz w:val="18"/>
          <w:szCs w:val="18"/>
        </w:rPr>
      </w:pPr>
      <w:proofErr w:type="spellStart"/>
      <w:r w:rsidRPr="008110F9">
        <w:rPr>
          <w:rFonts w:ascii="Arial" w:hAnsi="Arial" w:cs="Arial"/>
          <w:b/>
          <w:sz w:val="18"/>
          <w:szCs w:val="18"/>
        </w:rPr>
        <w:t>Great</w:t>
      </w:r>
      <w:proofErr w:type="spellEnd"/>
      <w:r w:rsidRPr="008110F9">
        <w:rPr>
          <w:rFonts w:ascii="Arial" w:hAnsi="Arial" w:cs="Arial"/>
          <w:b/>
          <w:sz w:val="18"/>
          <w:szCs w:val="18"/>
        </w:rPr>
        <w:t xml:space="preserve"> </w:t>
      </w:r>
      <w:proofErr w:type="spellStart"/>
      <w:r w:rsidRPr="008110F9">
        <w:rPr>
          <w:rFonts w:ascii="Arial" w:hAnsi="Arial" w:cs="Arial"/>
          <w:b/>
          <w:sz w:val="18"/>
          <w:szCs w:val="18"/>
        </w:rPr>
        <w:t>Place</w:t>
      </w:r>
      <w:proofErr w:type="spellEnd"/>
      <w:r w:rsidRPr="008110F9">
        <w:rPr>
          <w:rFonts w:ascii="Arial" w:hAnsi="Arial" w:cs="Arial"/>
          <w:b/>
          <w:sz w:val="18"/>
          <w:szCs w:val="18"/>
        </w:rPr>
        <w:t xml:space="preserve"> </w:t>
      </w:r>
      <w:proofErr w:type="spellStart"/>
      <w:r w:rsidRPr="008110F9">
        <w:rPr>
          <w:rFonts w:ascii="Arial" w:hAnsi="Arial" w:cs="Arial"/>
          <w:b/>
          <w:sz w:val="18"/>
          <w:szCs w:val="18"/>
        </w:rPr>
        <w:t>to</w:t>
      </w:r>
      <w:proofErr w:type="spellEnd"/>
      <w:r w:rsidRPr="008110F9">
        <w:rPr>
          <w:rFonts w:ascii="Arial" w:hAnsi="Arial" w:cs="Arial"/>
          <w:b/>
          <w:sz w:val="18"/>
          <w:szCs w:val="18"/>
        </w:rPr>
        <w:t xml:space="preserve"> </w:t>
      </w:r>
      <w:proofErr w:type="spellStart"/>
      <w:r w:rsidRPr="008110F9">
        <w:rPr>
          <w:rFonts w:ascii="Arial" w:hAnsi="Arial" w:cs="Arial"/>
          <w:b/>
          <w:sz w:val="18"/>
          <w:szCs w:val="18"/>
        </w:rPr>
        <w:t>Work</w:t>
      </w:r>
      <w:proofErr w:type="spellEnd"/>
      <w:r w:rsidRPr="008110F9">
        <w:rPr>
          <w:rFonts w:ascii="Arial" w:hAnsi="Arial" w:cs="Arial"/>
          <w:b/>
          <w:sz w:val="18"/>
          <w:szCs w:val="18"/>
        </w:rPr>
        <w:t xml:space="preserve"> (GPTW): </w:t>
      </w:r>
      <w:r w:rsidRPr="008110F9">
        <w:rPr>
          <w:rFonts w:ascii="Arial" w:hAnsi="Arial" w:cs="Arial"/>
          <w:sz w:val="18"/>
          <w:szCs w:val="18"/>
        </w:rPr>
        <w:t xml:space="preserve">a </w:t>
      </w:r>
      <w:proofErr w:type="spellStart"/>
      <w:r w:rsidRPr="008110F9">
        <w:rPr>
          <w:rFonts w:ascii="Arial" w:hAnsi="Arial" w:cs="Arial"/>
          <w:sz w:val="18"/>
          <w:szCs w:val="18"/>
        </w:rPr>
        <w:t>Brasilseg</w:t>
      </w:r>
      <w:proofErr w:type="spellEnd"/>
      <w:r w:rsidRPr="008110F9">
        <w:rPr>
          <w:rFonts w:ascii="Arial" w:hAnsi="Arial" w:cs="Arial"/>
          <w:sz w:val="18"/>
          <w:szCs w:val="18"/>
        </w:rPr>
        <w:t xml:space="preserve"> foi reconhecida no ranking do Instituto </w:t>
      </w:r>
      <w:proofErr w:type="spellStart"/>
      <w:r w:rsidRPr="008110F9">
        <w:rPr>
          <w:rFonts w:ascii="Arial" w:hAnsi="Arial" w:cs="Arial"/>
          <w:sz w:val="18"/>
          <w:szCs w:val="18"/>
        </w:rPr>
        <w:t>Great</w:t>
      </w:r>
      <w:proofErr w:type="spellEnd"/>
      <w:r w:rsidRPr="008110F9">
        <w:rPr>
          <w:rFonts w:ascii="Arial" w:hAnsi="Arial" w:cs="Arial"/>
          <w:sz w:val="18"/>
          <w:szCs w:val="18"/>
        </w:rPr>
        <w:t xml:space="preserve"> </w:t>
      </w:r>
      <w:proofErr w:type="spellStart"/>
      <w:r w:rsidRPr="008110F9">
        <w:rPr>
          <w:rFonts w:ascii="Arial" w:hAnsi="Arial" w:cs="Arial"/>
          <w:sz w:val="18"/>
          <w:szCs w:val="18"/>
        </w:rPr>
        <w:t>Place</w:t>
      </w:r>
      <w:proofErr w:type="spellEnd"/>
      <w:r w:rsidRPr="008110F9">
        <w:rPr>
          <w:rFonts w:ascii="Arial" w:hAnsi="Arial" w:cs="Arial"/>
          <w:sz w:val="18"/>
          <w:szCs w:val="18"/>
        </w:rPr>
        <w:t xml:space="preserve"> </w:t>
      </w:r>
      <w:proofErr w:type="spellStart"/>
      <w:r w:rsidRPr="008110F9">
        <w:rPr>
          <w:rFonts w:ascii="Arial" w:hAnsi="Arial" w:cs="Arial"/>
          <w:sz w:val="18"/>
          <w:szCs w:val="18"/>
        </w:rPr>
        <w:t>to</w:t>
      </w:r>
      <w:proofErr w:type="spellEnd"/>
      <w:r w:rsidRPr="008110F9">
        <w:rPr>
          <w:rFonts w:ascii="Arial" w:hAnsi="Arial" w:cs="Arial"/>
          <w:sz w:val="18"/>
          <w:szCs w:val="18"/>
        </w:rPr>
        <w:t xml:space="preserve"> </w:t>
      </w:r>
      <w:proofErr w:type="spellStart"/>
      <w:r w:rsidRPr="008110F9">
        <w:rPr>
          <w:rFonts w:ascii="Arial" w:hAnsi="Arial" w:cs="Arial"/>
          <w:sz w:val="18"/>
          <w:szCs w:val="18"/>
        </w:rPr>
        <w:t>Work</w:t>
      </w:r>
      <w:proofErr w:type="spellEnd"/>
      <w:r w:rsidRPr="008110F9">
        <w:rPr>
          <w:rFonts w:ascii="Arial" w:hAnsi="Arial" w:cs="Arial"/>
          <w:sz w:val="18"/>
          <w:szCs w:val="18"/>
        </w:rPr>
        <w:t xml:space="preserve"> por conta de suas ações de clima, desenvolvimento e bem-estar de colaboradores.</w:t>
      </w:r>
    </w:p>
    <w:p w14:paraId="34003285" w14:textId="2C86C582" w:rsidR="005507F9" w:rsidRDefault="005507F9" w:rsidP="005507F9">
      <w:pPr>
        <w:pStyle w:val="PargrafodaLista"/>
        <w:spacing w:before="120" w:after="120"/>
        <w:ind w:left="360"/>
        <w:jc w:val="both"/>
        <w:rPr>
          <w:rFonts w:ascii="Arial" w:eastAsia="Times New Roman" w:hAnsi="Arial" w:cs="Times New Roman"/>
          <w:b/>
          <w:color w:val="1F4E79" w:themeColor="accent1" w:themeShade="80"/>
          <w:spacing w:val="-2"/>
          <w:sz w:val="20"/>
          <w:szCs w:val="20"/>
          <w:lang w:eastAsia="pt-BR"/>
        </w:rPr>
      </w:pPr>
      <w:proofErr w:type="spellStart"/>
      <w:r w:rsidRPr="005507F9">
        <w:rPr>
          <w:rFonts w:ascii="Arial" w:eastAsia="Times New Roman" w:hAnsi="Arial" w:cs="Times New Roman"/>
          <w:b/>
          <w:color w:val="1F4E79" w:themeColor="accent1" w:themeShade="80"/>
          <w:spacing w:val="-2"/>
          <w:sz w:val="20"/>
          <w:szCs w:val="20"/>
          <w:lang w:eastAsia="pt-BR"/>
        </w:rPr>
        <w:t>Brasilprev</w:t>
      </w:r>
      <w:proofErr w:type="spellEnd"/>
    </w:p>
    <w:p w14:paraId="4953D2E2" w14:textId="77777777" w:rsidR="008110F9" w:rsidRPr="005507F9" w:rsidRDefault="008110F9" w:rsidP="005507F9">
      <w:pPr>
        <w:pStyle w:val="PargrafodaLista"/>
        <w:spacing w:before="120" w:after="120"/>
        <w:ind w:left="360"/>
        <w:jc w:val="both"/>
        <w:rPr>
          <w:rFonts w:ascii="Arial" w:eastAsia="Times New Roman" w:hAnsi="Arial" w:cs="Times New Roman"/>
          <w:b/>
          <w:color w:val="1F4E79" w:themeColor="accent1" w:themeShade="80"/>
          <w:spacing w:val="-2"/>
          <w:sz w:val="20"/>
          <w:szCs w:val="20"/>
          <w:lang w:eastAsia="pt-BR"/>
        </w:rPr>
      </w:pPr>
    </w:p>
    <w:p w14:paraId="1229CD7E" w14:textId="249612E7" w:rsidR="005507F9" w:rsidRPr="008110F9" w:rsidRDefault="000F00C6" w:rsidP="008110F9">
      <w:pPr>
        <w:pStyle w:val="PargrafodaLista"/>
        <w:numPr>
          <w:ilvl w:val="0"/>
          <w:numId w:val="29"/>
        </w:numPr>
        <w:spacing w:before="120"/>
        <w:ind w:left="714" w:hanging="357"/>
        <w:jc w:val="both"/>
        <w:rPr>
          <w:rFonts w:ascii="Arial" w:hAnsi="Arial" w:cs="Arial"/>
          <w:b/>
          <w:sz w:val="18"/>
          <w:szCs w:val="18"/>
        </w:rPr>
      </w:pPr>
      <w:r w:rsidRPr="008110F9">
        <w:rPr>
          <w:rFonts w:ascii="Arial" w:hAnsi="Arial" w:cs="Arial"/>
          <w:b/>
          <w:sz w:val="18"/>
          <w:szCs w:val="18"/>
        </w:rPr>
        <w:t xml:space="preserve">Isto é Dinheiro: </w:t>
      </w:r>
      <w:r w:rsidRPr="008110F9">
        <w:rPr>
          <w:rFonts w:ascii="Arial" w:hAnsi="Arial" w:cs="Arial"/>
          <w:sz w:val="18"/>
          <w:szCs w:val="18"/>
        </w:rPr>
        <w:t xml:space="preserve">escolhida a empresa do ano no setor de seguros </w:t>
      </w:r>
      <w:r w:rsidR="00CD4886" w:rsidRPr="008110F9">
        <w:rPr>
          <w:rFonts w:ascii="Arial" w:hAnsi="Arial" w:cs="Arial"/>
          <w:sz w:val="18"/>
          <w:szCs w:val="18"/>
        </w:rPr>
        <w:t>do anuário As</w:t>
      </w:r>
      <w:r w:rsidRPr="008110F9">
        <w:rPr>
          <w:rFonts w:ascii="Arial" w:hAnsi="Arial" w:cs="Arial"/>
          <w:sz w:val="18"/>
          <w:szCs w:val="18"/>
        </w:rPr>
        <w:t xml:space="preserve"> Melhores da Dinheiro 2020</w:t>
      </w:r>
      <w:r w:rsidR="00CD4886" w:rsidRPr="008110F9">
        <w:rPr>
          <w:rFonts w:ascii="Arial" w:hAnsi="Arial" w:cs="Arial"/>
          <w:sz w:val="18"/>
          <w:szCs w:val="18"/>
        </w:rPr>
        <w:t>, e alcançou o</w:t>
      </w:r>
      <w:r w:rsidRPr="008110F9">
        <w:rPr>
          <w:rFonts w:ascii="Arial" w:hAnsi="Arial" w:cs="Arial"/>
          <w:sz w:val="18"/>
          <w:szCs w:val="18"/>
        </w:rPr>
        <w:t xml:space="preserve"> 1º lugar em desempenho da gestão da responsabilidade social.</w:t>
      </w:r>
    </w:p>
    <w:p w14:paraId="5C1B6BE9" w14:textId="77777777" w:rsidR="008110F9" w:rsidRDefault="008110F9" w:rsidP="00CD4886">
      <w:pPr>
        <w:pStyle w:val="PargrafodaLista"/>
        <w:spacing w:before="120" w:after="120"/>
        <w:ind w:left="360"/>
        <w:jc w:val="both"/>
        <w:rPr>
          <w:rFonts w:ascii="Arial" w:eastAsia="Times New Roman" w:hAnsi="Arial" w:cs="Times New Roman"/>
          <w:b/>
          <w:color w:val="1F4E79" w:themeColor="accent1" w:themeShade="80"/>
          <w:spacing w:val="-2"/>
          <w:sz w:val="20"/>
          <w:szCs w:val="20"/>
          <w:lang w:eastAsia="pt-BR"/>
        </w:rPr>
      </w:pPr>
    </w:p>
    <w:p w14:paraId="38095CB9" w14:textId="004E6F96" w:rsidR="005507F9" w:rsidRDefault="005507F9" w:rsidP="00CD4886">
      <w:pPr>
        <w:pStyle w:val="PargrafodaLista"/>
        <w:spacing w:before="120" w:after="120"/>
        <w:ind w:left="360"/>
        <w:jc w:val="both"/>
        <w:rPr>
          <w:rFonts w:ascii="Arial" w:eastAsia="Times New Roman" w:hAnsi="Arial" w:cs="Times New Roman"/>
          <w:b/>
          <w:color w:val="1F4E79" w:themeColor="accent1" w:themeShade="80"/>
          <w:spacing w:val="-2"/>
          <w:sz w:val="20"/>
          <w:szCs w:val="20"/>
          <w:lang w:eastAsia="pt-BR"/>
        </w:rPr>
      </w:pPr>
      <w:r w:rsidRPr="00CD4886">
        <w:rPr>
          <w:rFonts w:ascii="Arial" w:eastAsia="Times New Roman" w:hAnsi="Arial" w:cs="Times New Roman"/>
          <w:b/>
          <w:color w:val="1F4E79" w:themeColor="accent1" w:themeShade="80"/>
          <w:spacing w:val="-2"/>
          <w:sz w:val="20"/>
          <w:szCs w:val="20"/>
          <w:lang w:eastAsia="pt-BR"/>
        </w:rPr>
        <w:t>Brasilcap</w:t>
      </w:r>
    </w:p>
    <w:p w14:paraId="190268F0" w14:textId="77777777" w:rsidR="007A0C76" w:rsidRDefault="007A0C76" w:rsidP="007A0C76">
      <w:pPr>
        <w:pStyle w:val="PargrafodaLista"/>
        <w:spacing w:after="0" w:line="240" w:lineRule="auto"/>
        <w:jc w:val="both"/>
        <w:rPr>
          <w:rFonts w:ascii="Arial" w:hAnsi="Arial" w:cs="Arial"/>
          <w:b/>
          <w:bCs/>
          <w:sz w:val="18"/>
          <w:szCs w:val="18"/>
        </w:rPr>
      </w:pPr>
    </w:p>
    <w:p w14:paraId="57B9F327" w14:textId="5514C625" w:rsidR="00BB1B28" w:rsidRPr="00AB472C" w:rsidRDefault="00BB1B28" w:rsidP="008110F9">
      <w:pPr>
        <w:pStyle w:val="PargrafodaLista"/>
        <w:numPr>
          <w:ilvl w:val="0"/>
          <w:numId w:val="29"/>
        </w:numPr>
        <w:spacing w:after="0"/>
        <w:ind w:left="714" w:hanging="357"/>
        <w:jc w:val="both"/>
        <w:rPr>
          <w:rFonts w:ascii="Arial" w:hAnsi="Arial" w:cs="Arial"/>
          <w:sz w:val="18"/>
          <w:szCs w:val="18"/>
        </w:rPr>
      </w:pPr>
      <w:r w:rsidRPr="00AB472C">
        <w:rPr>
          <w:rFonts w:ascii="Arial" w:hAnsi="Arial" w:cs="Arial"/>
          <w:b/>
          <w:bCs/>
          <w:sz w:val="18"/>
          <w:szCs w:val="18"/>
        </w:rPr>
        <w:t>Certificado de Empresa Cidadã:</w:t>
      </w:r>
      <w:r w:rsidRPr="00AB472C">
        <w:rPr>
          <w:rFonts w:ascii="Arial" w:hAnsi="Arial" w:cs="Arial"/>
          <w:color w:val="FF0000"/>
          <w:sz w:val="18"/>
          <w:szCs w:val="18"/>
        </w:rPr>
        <w:t xml:space="preserve"> </w:t>
      </w:r>
      <w:r w:rsidRPr="00AB472C">
        <w:rPr>
          <w:rFonts w:ascii="Arial" w:hAnsi="Arial" w:cs="Arial"/>
          <w:sz w:val="18"/>
          <w:szCs w:val="18"/>
        </w:rPr>
        <w:t xml:space="preserve">pelo décimo ano consecutivo, a Brasilcap conquista o Certificado de Empresa Cidadã. A iniciativa do Conselho Regional de Contabilidade do Rio de Janeiro (CRCRJ) está em sua 18ª edição e visa incentivar a excelência na qualidade das informações contábeis e socioambientais, publicadas nos relatórios anuais de empresas de todos os portes e segmentos do país; </w:t>
      </w:r>
    </w:p>
    <w:p w14:paraId="13B21183" w14:textId="77777777" w:rsidR="00BB1B28" w:rsidRPr="00AB472C" w:rsidRDefault="00BB1B28" w:rsidP="008110F9">
      <w:pPr>
        <w:spacing w:after="0"/>
        <w:ind w:left="714" w:hanging="357"/>
        <w:jc w:val="both"/>
        <w:rPr>
          <w:rFonts w:ascii="Arial" w:hAnsi="Arial" w:cs="Arial"/>
          <w:b/>
          <w:bCs/>
          <w:sz w:val="18"/>
          <w:szCs w:val="18"/>
        </w:rPr>
      </w:pPr>
    </w:p>
    <w:p w14:paraId="3156891C" w14:textId="1669EEFC" w:rsidR="00BB1B28" w:rsidRPr="00AB472C" w:rsidRDefault="00BB1B28" w:rsidP="008110F9">
      <w:pPr>
        <w:pStyle w:val="PargrafodaLista"/>
        <w:numPr>
          <w:ilvl w:val="0"/>
          <w:numId w:val="29"/>
        </w:numPr>
        <w:spacing w:after="0"/>
        <w:ind w:left="714" w:hanging="357"/>
        <w:jc w:val="both"/>
        <w:rPr>
          <w:rFonts w:ascii="Arial" w:hAnsi="Arial" w:cs="Arial"/>
          <w:b/>
          <w:bCs/>
          <w:sz w:val="18"/>
          <w:szCs w:val="18"/>
        </w:rPr>
      </w:pPr>
      <w:r w:rsidRPr="00AB472C">
        <w:rPr>
          <w:rFonts w:ascii="Arial" w:hAnsi="Arial" w:cs="Arial"/>
          <w:b/>
          <w:bCs/>
          <w:sz w:val="18"/>
          <w:szCs w:val="18"/>
        </w:rPr>
        <w:t xml:space="preserve">Prêmio Consumidor Moderno: </w:t>
      </w:r>
      <w:r w:rsidRPr="00AB472C">
        <w:rPr>
          <w:rFonts w:ascii="Arial" w:hAnsi="Arial" w:cs="Arial"/>
          <w:sz w:val="18"/>
          <w:szCs w:val="18"/>
        </w:rPr>
        <w:t>a Brasilcap foi a vencedora da 21ª edição do "</w:t>
      </w:r>
      <w:r w:rsidRPr="00AB472C">
        <w:rPr>
          <w:rFonts w:ascii="Tahoma" w:hAnsi="Tahoma" w:cs="Tahoma"/>
          <w:sz w:val="18"/>
          <w:szCs w:val="18"/>
        </w:rPr>
        <w:t>﻿﻿</w:t>
      </w:r>
      <w:r w:rsidRPr="00AB472C">
        <w:rPr>
          <w:rFonts w:ascii="Arial" w:hAnsi="Arial" w:cs="Arial"/>
          <w:sz w:val="18"/>
          <w:szCs w:val="18"/>
        </w:rPr>
        <w:t>Prêmio Consumidor Moderno de Excelência em Serviços ao Cliente"</w:t>
      </w:r>
      <w:r w:rsidRPr="00AB472C">
        <w:rPr>
          <w:rFonts w:ascii="Tahoma" w:hAnsi="Tahoma" w:cs="Tahoma"/>
          <w:sz w:val="18"/>
          <w:szCs w:val="18"/>
        </w:rPr>
        <w:t>﻿</w:t>
      </w:r>
      <w:r w:rsidRPr="00AB472C">
        <w:rPr>
          <w:rFonts w:ascii="Arial" w:hAnsi="Arial" w:cs="Arial"/>
          <w:sz w:val="18"/>
          <w:szCs w:val="18"/>
        </w:rPr>
        <w:t xml:space="preserve">, no segmento Previdência e Capitalização. O Prêmio é uma iniciativa da Revista Consumidor Moderno, em parceria com o Centro de Inteligência Padrão (CIP) e com a </w:t>
      </w:r>
      <w:proofErr w:type="spellStart"/>
      <w:r w:rsidRPr="00AB472C">
        <w:rPr>
          <w:rFonts w:ascii="Arial" w:hAnsi="Arial" w:cs="Arial"/>
          <w:sz w:val="18"/>
          <w:szCs w:val="18"/>
        </w:rPr>
        <w:t>OnYou</w:t>
      </w:r>
      <w:proofErr w:type="spellEnd"/>
      <w:r w:rsidRPr="00AB472C">
        <w:rPr>
          <w:rFonts w:ascii="Arial" w:hAnsi="Arial" w:cs="Arial"/>
          <w:sz w:val="18"/>
          <w:szCs w:val="18"/>
        </w:rPr>
        <w:t>. O processo de análise envolveu três fases, com abordagens distintas, que garantiram a avaliação de diferentes aspectos do atendimento prestado pela companhia.</w:t>
      </w:r>
    </w:p>
    <w:p w14:paraId="157E2F20" w14:textId="50BB0C88" w:rsidR="00592348" w:rsidRDefault="00592348">
      <w:pPr>
        <w:spacing w:after="160" w:line="259" w:lineRule="auto"/>
        <w:rPr>
          <w:rFonts w:ascii="Arial" w:hAnsi="Arial" w:cs="Arial"/>
        </w:rPr>
      </w:pPr>
    </w:p>
    <w:p w14:paraId="24E2945A" w14:textId="77777777" w:rsidR="005507F9" w:rsidRPr="005507F9" w:rsidRDefault="005507F9" w:rsidP="005507F9">
      <w:pPr>
        <w:pStyle w:val="01-TtulodeNota"/>
        <w:numPr>
          <w:ilvl w:val="0"/>
          <w:numId w:val="22"/>
        </w:numPr>
        <w:ind w:left="357" w:hanging="357"/>
        <w:rPr>
          <w:color w:val="1F4E79" w:themeColor="accent1" w:themeShade="80"/>
        </w:rPr>
      </w:pPr>
      <w:r w:rsidRPr="005507F9">
        <w:rPr>
          <w:color w:val="1F4E79" w:themeColor="accent1" w:themeShade="80"/>
        </w:rPr>
        <w:t>INFORMAÇÕES LEGAIS</w:t>
      </w:r>
    </w:p>
    <w:p w14:paraId="2361FD3D" w14:textId="77777777" w:rsidR="005507F9" w:rsidRDefault="005507F9" w:rsidP="005507F9">
      <w:pPr>
        <w:pStyle w:val="01-Textonormal"/>
      </w:pPr>
    </w:p>
    <w:p w14:paraId="013CDE03" w14:textId="2D384132" w:rsidR="005507F9" w:rsidRPr="00592348" w:rsidRDefault="005507F9" w:rsidP="005507F9">
      <w:pPr>
        <w:pStyle w:val="05-Textonormal"/>
        <w:rPr>
          <w:rFonts w:cs="Arial"/>
        </w:rPr>
      </w:pPr>
      <w:r w:rsidRPr="00592348">
        <w:rPr>
          <w:rFonts w:cs="Arial"/>
        </w:rPr>
        <w:t>No encerramento do exercício de 20</w:t>
      </w:r>
      <w:r w:rsidR="00592348" w:rsidRPr="00592348">
        <w:rPr>
          <w:rFonts w:cs="Arial"/>
        </w:rPr>
        <w:t>20</w:t>
      </w:r>
      <w:r w:rsidRPr="00592348">
        <w:rPr>
          <w:rFonts w:cs="Arial"/>
        </w:rPr>
        <w:t>, a BB Seguridade não registrou endividamento financeiro em suas demonstrações financeiras. A fonte de obtenção de recursos era constituída principalmente por capital próprio, além de eventuais fontes cíclicas de financiamento.</w:t>
      </w:r>
    </w:p>
    <w:p w14:paraId="171DCC32" w14:textId="14FCF0CD" w:rsidR="005507F9" w:rsidRPr="00592348" w:rsidRDefault="005507F9" w:rsidP="005507F9">
      <w:pPr>
        <w:pStyle w:val="05-Textonormal"/>
        <w:rPr>
          <w:rFonts w:cs="Arial"/>
        </w:rPr>
      </w:pPr>
      <w:r w:rsidRPr="00592348">
        <w:rPr>
          <w:rFonts w:cs="Arial"/>
        </w:rPr>
        <w:t xml:space="preserve">Os investimentos de suas </w:t>
      </w:r>
      <w:r w:rsidR="00323DE1" w:rsidRPr="00592348">
        <w:rPr>
          <w:rFonts w:cs="Arial"/>
        </w:rPr>
        <w:t>companhias investidas</w:t>
      </w:r>
      <w:r w:rsidRPr="00592348">
        <w:rPr>
          <w:rFonts w:cs="Arial"/>
        </w:rPr>
        <w:t xml:space="preserve"> seguirão seu fluxo normal de execução, de acordo com planos individuais estruturados por cada empresa.</w:t>
      </w:r>
    </w:p>
    <w:p w14:paraId="6D2F48FE" w14:textId="4D575F8F" w:rsidR="005507F9" w:rsidRPr="00592348" w:rsidRDefault="005507F9" w:rsidP="005507F9">
      <w:pPr>
        <w:pStyle w:val="05-Textonormal"/>
        <w:rPr>
          <w:rFonts w:cs="Arial"/>
        </w:rPr>
      </w:pPr>
      <w:r w:rsidRPr="00592348">
        <w:rPr>
          <w:rFonts w:cs="Arial"/>
        </w:rPr>
        <w:t>Em consonância com a Instrução CVM nº 381/03, informamos que durante o exercício de 20</w:t>
      </w:r>
      <w:r w:rsidR="00592348" w:rsidRPr="00592348">
        <w:rPr>
          <w:rFonts w:cs="Arial"/>
        </w:rPr>
        <w:t>20</w:t>
      </w:r>
      <w:r w:rsidRPr="00592348">
        <w:rPr>
          <w:rFonts w:cs="Arial"/>
        </w:rPr>
        <w:t xml:space="preserve"> a BB Seguridade utilizou os serviços de auditoria independente da Deloitte </w:t>
      </w:r>
      <w:proofErr w:type="spellStart"/>
      <w:r w:rsidRPr="00592348">
        <w:rPr>
          <w:rFonts w:cs="Arial"/>
        </w:rPr>
        <w:t>Touche</w:t>
      </w:r>
      <w:proofErr w:type="spellEnd"/>
      <w:r w:rsidRPr="00592348">
        <w:rPr>
          <w:rFonts w:cs="Arial"/>
        </w:rPr>
        <w:t xml:space="preserve"> </w:t>
      </w:r>
      <w:proofErr w:type="spellStart"/>
      <w:r w:rsidRPr="00592348">
        <w:rPr>
          <w:rFonts w:cs="Arial"/>
        </w:rPr>
        <w:t>Tohmatsu</w:t>
      </w:r>
      <w:proofErr w:type="spellEnd"/>
      <w:r w:rsidRPr="00592348">
        <w:rPr>
          <w:rFonts w:cs="Arial"/>
        </w:rPr>
        <w:t xml:space="preserve"> Auditores Independentes (“Deloitte”), por meio de contrato firmado pelo seu controlador, o Banco do Brasil S.A.</w:t>
      </w:r>
    </w:p>
    <w:p w14:paraId="4A1031C5" w14:textId="4B615BD9" w:rsidR="005507F9" w:rsidRPr="00592348" w:rsidRDefault="005507F9" w:rsidP="005507F9">
      <w:pPr>
        <w:pStyle w:val="05-Textonormal"/>
        <w:rPr>
          <w:rFonts w:cs="Arial"/>
        </w:rPr>
      </w:pPr>
      <w:r w:rsidRPr="00592348">
        <w:rPr>
          <w:rFonts w:cs="Arial"/>
        </w:rPr>
        <w:t xml:space="preserve">Ainda, a BB Seguridade e suas subsidiárias informam que a Deloitte </w:t>
      </w:r>
      <w:proofErr w:type="spellStart"/>
      <w:r w:rsidRPr="00592348">
        <w:rPr>
          <w:rFonts w:cs="Arial"/>
        </w:rPr>
        <w:t>Touche</w:t>
      </w:r>
      <w:proofErr w:type="spellEnd"/>
      <w:r w:rsidRPr="00592348">
        <w:rPr>
          <w:rFonts w:cs="Arial"/>
        </w:rPr>
        <w:t xml:space="preserve"> </w:t>
      </w:r>
      <w:proofErr w:type="spellStart"/>
      <w:r w:rsidRPr="00592348">
        <w:rPr>
          <w:rFonts w:cs="Arial"/>
        </w:rPr>
        <w:t>Tohmatsu</w:t>
      </w:r>
      <w:proofErr w:type="spellEnd"/>
      <w:r w:rsidRPr="00592348">
        <w:rPr>
          <w:rFonts w:cs="Arial"/>
        </w:rPr>
        <w:t xml:space="preserve"> Auditores Independente não prestou, em 20</w:t>
      </w:r>
      <w:r w:rsidR="00592348" w:rsidRPr="00592348">
        <w:rPr>
          <w:rFonts w:cs="Arial"/>
        </w:rPr>
        <w:t>20</w:t>
      </w:r>
      <w:r w:rsidRPr="00592348">
        <w:rPr>
          <w:rFonts w:cs="Arial"/>
        </w:rPr>
        <w:t xml:space="preserve">, serviços que pudessem afetar sua independência em relação aos trabalhos de auditoria, comprovada por meio de Carta de Independência apresentada à BB Seguridade. </w:t>
      </w:r>
    </w:p>
    <w:p w14:paraId="6A522D9A" w14:textId="1A5B40CF" w:rsidR="00FA375B" w:rsidRPr="00592348" w:rsidRDefault="005507F9" w:rsidP="005507F9">
      <w:pPr>
        <w:pStyle w:val="05-Textonormal"/>
        <w:rPr>
          <w:rFonts w:cs="Arial"/>
        </w:rPr>
      </w:pPr>
      <w:r w:rsidRPr="00592348">
        <w:rPr>
          <w:rFonts w:cs="Arial"/>
        </w:rPr>
        <w:t>Na contratação de serviços não relacionados à auditoria externa, a BB Seguridade adota procedimentos que se fundamentam na legislação aplicável e nos princípios internacionalmente aceitos que preservam a independência do auditor. Esses princípios consistem em: (i) o auditor não deve auditar o seu próprio trabalho; e (</w:t>
      </w:r>
      <w:proofErr w:type="spellStart"/>
      <w:r w:rsidRPr="00592348">
        <w:rPr>
          <w:rFonts w:cs="Arial"/>
        </w:rPr>
        <w:t>ii</w:t>
      </w:r>
      <w:proofErr w:type="spellEnd"/>
      <w:r w:rsidRPr="00592348">
        <w:rPr>
          <w:rFonts w:cs="Arial"/>
        </w:rPr>
        <w:t>) o auditor não deve atuar gerencialmente perante seu cliente, nem tampouco promover os interesses dele.</w:t>
      </w:r>
    </w:p>
    <w:p w14:paraId="71530E5F" w14:textId="77777777" w:rsidR="005507F9" w:rsidRPr="00087E49" w:rsidRDefault="005507F9" w:rsidP="005507F9">
      <w:pPr>
        <w:pStyle w:val="05-Textonormal"/>
        <w:rPr>
          <w:rFonts w:cs="Arial"/>
        </w:rPr>
      </w:pPr>
    </w:p>
    <w:p w14:paraId="6DAC6162" w14:textId="2BF52DAA" w:rsidR="005507F9" w:rsidRPr="002341FF" w:rsidRDefault="005507F9" w:rsidP="005507F9">
      <w:pPr>
        <w:pStyle w:val="05-Textonormal"/>
        <w:rPr>
          <w:rFonts w:cs="Arial"/>
        </w:rPr>
      </w:pPr>
      <w:r w:rsidRPr="002341FF">
        <w:rPr>
          <w:rFonts w:cs="Arial"/>
        </w:rPr>
        <w:t>A tabela abaixo apresenta a relação de contratos de prestação de serviços que estiveram vigentes durante o ano de 20</w:t>
      </w:r>
      <w:r w:rsidR="00592348">
        <w:rPr>
          <w:rFonts w:cs="Arial"/>
        </w:rPr>
        <w:t>20</w:t>
      </w:r>
      <w:r w:rsidRPr="002341FF">
        <w:rPr>
          <w:rFonts w:cs="Arial"/>
        </w:rPr>
        <w:t xml:space="preserve"> entre a Deloitte e as empresas </w:t>
      </w:r>
      <w:r w:rsidR="00323DE1">
        <w:rPr>
          <w:rFonts w:cs="Arial"/>
        </w:rPr>
        <w:t>investidas</w:t>
      </w:r>
      <w:r w:rsidRPr="002341FF">
        <w:rPr>
          <w:rFonts w:cs="Arial"/>
        </w:rPr>
        <w:t xml:space="preserve"> e controladora da BB Seguridade:</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98509F" w:rsidRPr="00201B3F" w14:paraId="29AF5F0E" w14:textId="77777777" w:rsidTr="0098509F">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tcBorders>
            <w:shd w:val="clear" w:color="auto" w:fill="D9E2F3" w:themeFill="accent5" w:themeFillTint="33"/>
            <w:vAlign w:val="center"/>
          </w:tcPr>
          <w:p w14:paraId="5EA3D1E1" w14:textId="77777777" w:rsidR="0098509F" w:rsidRPr="00B44538" w:rsidRDefault="0098509F" w:rsidP="0098509F">
            <w:pPr>
              <w:pStyle w:val="08-Tabelageral"/>
              <w:jc w:val="center"/>
              <w:rPr>
                <w:rFonts w:cs="Arial"/>
                <w:szCs w:val="14"/>
              </w:rPr>
            </w:pPr>
            <w:r w:rsidRPr="00B44538">
              <w:rPr>
                <w:rFonts w:cs="Arial"/>
                <w:bCs w:val="0"/>
                <w:szCs w:val="14"/>
              </w:rPr>
              <w:t>Contratante</w:t>
            </w:r>
          </w:p>
        </w:tc>
        <w:tc>
          <w:tcPr>
            <w:tcW w:w="2031" w:type="dxa"/>
            <w:gridSpan w:val="2"/>
            <w:tcBorders>
              <w:top w:val="single" w:sz="2" w:space="0" w:color="8EAADB" w:themeColor="accent5" w:themeTint="99"/>
              <w:bottom w:val="nil"/>
            </w:tcBorders>
            <w:shd w:val="clear" w:color="auto" w:fill="D9E2F3" w:themeFill="accent5" w:themeFillTint="33"/>
            <w:vAlign w:val="center"/>
          </w:tcPr>
          <w:p w14:paraId="4DB78864" w14:textId="77777777" w:rsidR="0098509F" w:rsidRPr="00B44538" w:rsidRDefault="0098509F" w:rsidP="0098509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Datas do Contrato</w:t>
            </w:r>
          </w:p>
        </w:tc>
        <w:tc>
          <w:tcPr>
            <w:tcW w:w="3640" w:type="dxa"/>
            <w:vMerge w:val="restart"/>
            <w:tcBorders>
              <w:top w:val="single" w:sz="2" w:space="0" w:color="8EAADB" w:themeColor="accent5" w:themeTint="99"/>
            </w:tcBorders>
            <w:shd w:val="clear" w:color="auto" w:fill="D9E2F3" w:themeFill="accent5" w:themeFillTint="33"/>
            <w:vAlign w:val="center"/>
          </w:tcPr>
          <w:p w14:paraId="14F85480" w14:textId="77777777" w:rsidR="0098509F" w:rsidRPr="00B44538" w:rsidRDefault="0098509F" w:rsidP="0098509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 xml:space="preserve">Natureza do </w:t>
            </w:r>
            <w:r>
              <w:rPr>
                <w:rFonts w:cs="Arial"/>
                <w:szCs w:val="14"/>
              </w:rPr>
              <w:t>S</w:t>
            </w:r>
            <w:r w:rsidRPr="00B44538">
              <w:rPr>
                <w:rFonts w:cs="Arial"/>
                <w:szCs w:val="14"/>
              </w:rPr>
              <w:t>erviço</w:t>
            </w:r>
          </w:p>
        </w:tc>
        <w:tc>
          <w:tcPr>
            <w:tcW w:w="1274" w:type="dxa"/>
            <w:vMerge w:val="restart"/>
            <w:tcBorders>
              <w:top w:val="single" w:sz="2" w:space="0" w:color="8EAADB" w:themeColor="accent5" w:themeTint="99"/>
            </w:tcBorders>
            <w:shd w:val="clear" w:color="auto" w:fill="D9E2F3" w:themeFill="accent5" w:themeFillTint="33"/>
            <w:vAlign w:val="center"/>
          </w:tcPr>
          <w:p w14:paraId="15CE62C2" w14:textId="77777777" w:rsidR="0098509F" w:rsidRPr="00B44538" w:rsidRDefault="0098509F" w:rsidP="0098509F">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rPr>
            </w:pPr>
            <w:r w:rsidRPr="00B44538">
              <w:rPr>
                <w:rFonts w:cs="Arial"/>
                <w:szCs w:val="14"/>
              </w:rPr>
              <w:t>Valor total dos honorários (R$)</w:t>
            </w:r>
          </w:p>
        </w:tc>
      </w:tr>
      <w:tr w:rsidR="0098509F" w:rsidRPr="001D6BE8" w14:paraId="40B4A538" w14:textId="77777777" w:rsidTr="0098509F">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2" w:space="0" w:color="8EAADB" w:themeColor="accent5" w:themeTint="99"/>
            </w:tcBorders>
          </w:tcPr>
          <w:p w14:paraId="47DE66DD" w14:textId="77777777" w:rsidR="0098509F" w:rsidRPr="00B44538" w:rsidRDefault="0098509F" w:rsidP="0098509F">
            <w:pPr>
              <w:pStyle w:val="08-Tabelageral"/>
              <w:jc w:val="left"/>
              <w:rPr>
                <w:rFonts w:cs="Arial"/>
                <w:bCs w:val="0"/>
                <w:szCs w:val="14"/>
              </w:rPr>
            </w:pPr>
          </w:p>
        </w:tc>
        <w:tc>
          <w:tcPr>
            <w:tcW w:w="1015" w:type="dxa"/>
            <w:tcBorders>
              <w:top w:val="nil"/>
              <w:bottom w:val="single" w:sz="2" w:space="0" w:color="8EAADB" w:themeColor="accent5" w:themeTint="99"/>
            </w:tcBorders>
          </w:tcPr>
          <w:p w14:paraId="3A1D10C4" w14:textId="77777777" w:rsidR="0098509F" w:rsidRPr="00B44538" w:rsidRDefault="0098509F" w:rsidP="0098509F">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rPr>
            </w:pPr>
            <w:r w:rsidRPr="00B44538">
              <w:rPr>
                <w:rFonts w:cs="Arial"/>
                <w:b/>
                <w:szCs w:val="14"/>
              </w:rPr>
              <w:t>Início</w:t>
            </w:r>
          </w:p>
        </w:tc>
        <w:tc>
          <w:tcPr>
            <w:tcW w:w="1016" w:type="dxa"/>
            <w:tcBorders>
              <w:top w:val="nil"/>
              <w:bottom w:val="single" w:sz="2" w:space="0" w:color="8EAADB" w:themeColor="accent5" w:themeTint="99"/>
            </w:tcBorders>
          </w:tcPr>
          <w:p w14:paraId="0818F8F0" w14:textId="77777777" w:rsidR="0098509F" w:rsidRPr="00B44538" w:rsidRDefault="0098509F" w:rsidP="0098509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r w:rsidRPr="00B44538">
              <w:rPr>
                <w:rFonts w:cs="Arial"/>
                <w:b/>
                <w:szCs w:val="14"/>
              </w:rPr>
              <w:t>Fim</w:t>
            </w:r>
          </w:p>
        </w:tc>
        <w:tc>
          <w:tcPr>
            <w:tcW w:w="3640" w:type="dxa"/>
            <w:vMerge/>
            <w:tcBorders>
              <w:bottom w:val="single" w:sz="2" w:space="0" w:color="8EAADB" w:themeColor="accent5" w:themeTint="99"/>
            </w:tcBorders>
          </w:tcPr>
          <w:p w14:paraId="4112B879" w14:textId="77777777" w:rsidR="0098509F" w:rsidRPr="00B44538" w:rsidRDefault="0098509F" w:rsidP="0098509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c>
          <w:tcPr>
            <w:tcW w:w="1274" w:type="dxa"/>
            <w:vMerge/>
            <w:tcBorders>
              <w:bottom w:val="single" w:sz="2" w:space="0" w:color="8EAADB" w:themeColor="accent5" w:themeTint="99"/>
            </w:tcBorders>
          </w:tcPr>
          <w:p w14:paraId="063BD706" w14:textId="77777777" w:rsidR="0098509F" w:rsidRPr="00B44538" w:rsidRDefault="0098509F" w:rsidP="0098509F">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rPr>
            </w:pPr>
          </w:p>
        </w:tc>
      </w:tr>
      <w:tr w:rsidR="0098509F" w:rsidRPr="001D6BE8" w14:paraId="18A107BD" w14:textId="77777777" w:rsidTr="0098509F">
        <w:trPr>
          <w:trHeight w:hRule="exact" w:val="976"/>
        </w:trPr>
        <w:tc>
          <w:tcPr>
            <w:cnfStyle w:val="001000000000" w:firstRow="0" w:lastRow="0" w:firstColumn="1" w:lastColumn="0" w:oddVBand="0" w:evenVBand="0" w:oddHBand="0" w:evenHBand="0" w:firstRowFirstColumn="0" w:firstRowLastColumn="0" w:lastRowFirstColumn="0" w:lastRowLastColumn="0"/>
            <w:tcW w:w="2693" w:type="dxa"/>
            <w:tcBorders>
              <w:top w:val="nil"/>
              <w:bottom w:val="nil"/>
            </w:tcBorders>
            <w:vAlign w:val="center"/>
          </w:tcPr>
          <w:p w14:paraId="48896844" w14:textId="77777777" w:rsidR="0098509F" w:rsidRPr="00F1221D" w:rsidRDefault="0098509F" w:rsidP="0098509F">
            <w:pPr>
              <w:pStyle w:val="08-Tabelageral"/>
              <w:jc w:val="left"/>
              <w:rPr>
                <w:rFonts w:cs="Arial"/>
                <w:b w:val="0"/>
                <w:snapToGrid w:val="0"/>
                <w:color w:val="auto"/>
                <w:szCs w:val="14"/>
              </w:rPr>
            </w:pPr>
            <w:r w:rsidRPr="00F1221D">
              <w:rPr>
                <w:rFonts w:cs="Arial"/>
                <w:b w:val="0"/>
                <w:color w:val="auto"/>
                <w:szCs w:val="14"/>
              </w:rPr>
              <w:t>Banco do Brasil S.A.</w:t>
            </w:r>
          </w:p>
        </w:tc>
        <w:tc>
          <w:tcPr>
            <w:tcW w:w="1015" w:type="dxa"/>
            <w:tcBorders>
              <w:top w:val="nil"/>
              <w:bottom w:val="nil"/>
            </w:tcBorders>
            <w:vAlign w:val="center"/>
          </w:tcPr>
          <w:p w14:paraId="5A71E486" w14:textId="77777777" w:rsidR="0098509F" w:rsidRPr="00F1221D" w:rsidRDefault="0098509F" w:rsidP="0098509F">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1221D">
              <w:rPr>
                <w:rFonts w:cs="Arial"/>
                <w:color w:val="auto"/>
                <w:szCs w:val="14"/>
              </w:rPr>
              <w:t>22/03/2019</w:t>
            </w:r>
          </w:p>
        </w:tc>
        <w:tc>
          <w:tcPr>
            <w:tcW w:w="1016" w:type="dxa"/>
            <w:tcBorders>
              <w:top w:val="nil"/>
              <w:bottom w:val="nil"/>
            </w:tcBorders>
            <w:vAlign w:val="center"/>
          </w:tcPr>
          <w:p w14:paraId="5E58D121" w14:textId="3E8E0DD6" w:rsidR="0098509F" w:rsidRPr="00F1221D" w:rsidRDefault="0098509F" w:rsidP="0098509F">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1221D">
              <w:rPr>
                <w:rFonts w:cs="Arial"/>
                <w:color w:val="auto"/>
                <w:szCs w:val="14"/>
              </w:rPr>
              <w:t>22/03/202</w:t>
            </w:r>
            <w:r w:rsidR="00DF1B28">
              <w:rPr>
                <w:rFonts w:cs="Arial"/>
                <w:color w:val="auto"/>
                <w:szCs w:val="14"/>
              </w:rPr>
              <w:t>1</w:t>
            </w:r>
          </w:p>
        </w:tc>
        <w:tc>
          <w:tcPr>
            <w:tcW w:w="3640" w:type="dxa"/>
            <w:tcBorders>
              <w:top w:val="nil"/>
              <w:bottom w:val="nil"/>
            </w:tcBorders>
            <w:vAlign w:val="center"/>
          </w:tcPr>
          <w:p w14:paraId="105BC0C6" w14:textId="1F1E8BE0" w:rsidR="0098509F" w:rsidRPr="00F1221D" w:rsidRDefault="0098509F" w:rsidP="0098509F">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szCs w:val="14"/>
              </w:rPr>
            </w:pPr>
            <w:r w:rsidRPr="00F1221D">
              <w:rPr>
                <w:rFonts w:cs="Arial"/>
                <w:color w:val="auto"/>
                <w:szCs w:val="14"/>
              </w:rPr>
              <w:t>Serviços de auditoria contábil sobre as demonstrações contábeis do Conglomerado Banco do Brasil, elaboradas de acordo com as práticas contábeis adotadas no Brasil e com as normas internacionais de contabilidade (IFRS)</w:t>
            </w:r>
            <w:r w:rsidR="00DF1B28">
              <w:rPr>
                <w:rFonts w:cs="Arial"/>
                <w:color w:val="auto"/>
                <w:szCs w:val="14"/>
              </w:rPr>
              <w:t xml:space="preserve"> e de outros serviços correlatos</w:t>
            </w:r>
          </w:p>
        </w:tc>
        <w:tc>
          <w:tcPr>
            <w:tcW w:w="1274" w:type="dxa"/>
            <w:tcBorders>
              <w:top w:val="nil"/>
              <w:bottom w:val="nil"/>
            </w:tcBorders>
            <w:vAlign w:val="center"/>
          </w:tcPr>
          <w:p w14:paraId="2AFF20FB" w14:textId="3C4921FB" w:rsidR="0098509F" w:rsidRPr="00F1221D" w:rsidRDefault="00DF1B28" w:rsidP="0098509F">
            <w:pPr>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color w:val="auto"/>
                <w:sz w:val="14"/>
                <w:szCs w:val="14"/>
              </w:rPr>
            </w:pPr>
            <w:r>
              <w:rPr>
                <w:rFonts w:ascii="Arial" w:hAnsi="Arial" w:cs="Arial"/>
                <w:color w:val="auto"/>
                <w:sz w:val="14"/>
                <w:szCs w:val="14"/>
              </w:rPr>
              <w:t>17.805.810,40</w:t>
            </w:r>
          </w:p>
        </w:tc>
      </w:tr>
      <w:tr w:rsidR="0098509F" w:rsidRPr="001D6BE8" w14:paraId="6C054AC0" w14:textId="77777777" w:rsidTr="0098509F">
        <w:trPr>
          <w:cnfStyle w:val="000000100000" w:firstRow="0" w:lastRow="0" w:firstColumn="0" w:lastColumn="0" w:oddVBand="0" w:evenVBand="0" w:oddHBand="1" w:evenHBand="0" w:firstRowFirstColumn="0" w:firstRowLastColumn="0" w:lastRowFirstColumn="0" w:lastRowLastColumn="0"/>
          <w:trHeight w:hRule="exact" w:val="456"/>
        </w:trPr>
        <w:tc>
          <w:tcPr>
            <w:cnfStyle w:val="001000000000" w:firstRow="0" w:lastRow="0" w:firstColumn="1" w:lastColumn="0" w:oddVBand="0" w:evenVBand="0" w:oddHBand="0" w:evenHBand="0" w:firstRowFirstColumn="0" w:firstRowLastColumn="0" w:lastRowFirstColumn="0" w:lastRowLastColumn="0"/>
            <w:tcW w:w="2693" w:type="dxa"/>
            <w:tcBorders>
              <w:top w:val="nil"/>
              <w:bottom w:val="nil"/>
            </w:tcBorders>
            <w:vAlign w:val="center"/>
          </w:tcPr>
          <w:p w14:paraId="4464F5F4" w14:textId="77777777" w:rsidR="0098509F" w:rsidRPr="00B44538" w:rsidRDefault="0098509F" w:rsidP="0098509F">
            <w:pPr>
              <w:pStyle w:val="08-Tabelageral"/>
              <w:jc w:val="left"/>
              <w:rPr>
                <w:rFonts w:cs="Arial"/>
                <w:b w:val="0"/>
                <w:snapToGrid w:val="0"/>
                <w:szCs w:val="14"/>
              </w:rPr>
            </w:pPr>
            <w:r w:rsidRPr="00B44538">
              <w:rPr>
                <w:rFonts w:cs="Arial"/>
                <w:b w:val="0"/>
                <w:szCs w:val="14"/>
              </w:rPr>
              <w:t>Brasilcap Capitalização S.A.</w:t>
            </w:r>
          </w:p>
        </w:tc>
        <w:tc>
          <w:tcPr>
            <w:tcW w:w="1015" w:type="dxa"/>
            <w:tcBorders>
              <w:top w:val="nil"/>
              <w:bottom w:val="nil"/>
            </w:tcBorders>
            <w:vAlign w:val="center"/>
          </w:tcPr>
          <w:p w14:paraId="703C7358" w14:textId="77777777" w:rsidR="0098509F" w:rsidRPr="00B44538" w:rsidRDefault="0098509F" w:rsidP="0098509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44538">
              <w:rPr>
                <w:rFonts w:cs="Arial"/>
                <w:szCs w:val="14"/>
              </w:rPr>
              <w:t>01/04/2019</w:t>
            </w:r>
          </w:p>
        </w:tc>
        <w:tc>
          <w:tcPr>
            <w:tcW w:w="1016" w:type="dxa"/>
            <w:tcBorders>
              <w:top w:val="nil"/>
              <w:bottom w:val="nil"/>
            </w:tcBorders>
            <w:vAlign w:val="center"/>
          </w:tcPr>
          <w:p w14:paraId="5A21F1C6" w14:textId="77777777" w:rsidR="0098509F" w:rsidRPr="00B44538" w:rsidRDefault="0098509F" w:rsidP="0098509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sidRPr="00B44538">
              <w:rPr>
                <w:rFonts w:cs="Arial"/>
                <w:szCs w:val="14"/>
              </w:rPr>
              <w:t>30/04/2021</w:t>
            </w:r>
          </w:p>
        </w:tc>
        <w:tc>
          <w:tcPr>
            <w:tcW w:w="3640" w:type="dxa"/>
            <w:tcBorders>
              <w:top w:val="nil"/>
              <w:bottom w:val="nil"/>
            </w:tcBorders>
            <w:vAlign w:val="center"/>
          </w:tcPr>
          <w:p w14:paraId="63452E0A" w14:textId="77777777" w:rsidR="0098509F" w:rsidRPr="00B44538" w:rsidRDefault="0098509F" w:rsidP="0098509F">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szCs w:val="14"/>
              </w:rPr>
            </w:pPr>
            <w:r w:rsidRPr="00B44538">
              <w:rPr>
                <w:rFonts w:cs="Arial"/>
                <w:color w:val="000000"/>
                <w:szCs w:val="14"/>
              </w:rPr>
              <w:t>Auditoria contábil sobre as demonstrações financeiras do exercício de 2019 e 2020</w:t>
            </w:r>
          </w:p>
        </w:tc>
        <w:tc>
          <w:tcPr>
            <w:tcW w:w="1274" w:type="dxa"/>
            <w:tcBorders>
              <w:top w:val="nil"/>
              <w:bottom w:val="nil"/>
            </w:tcBorders>
            <w:vAlign w:val="center"/>
          </w:tcPr>
          <w:p w14:paraId="70043229" w14:textId="77777777" w:rsidR="0098509F" w:rsidRPr="00B44538" w:rsidRDefault="0098509F" w:rsidP="0098509F">
            <w:pPr>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sidRPr="00B44538">
              <w:rPr>
                <w:rFonts w:ascii="Arial" w:hAnsi="Arial" w:cs="Arial"/>
                <w:sz w:val="14"/>
                <w:szCs w:val="14"/>
              </w:rPr>
              <w:t>753.000,00</w:t>
            </w:r>
          </w:p>
        </w:tc>
      </w:tr>
      <w:tr w:rsidR="00DF1B28" w:rsidRPr="001D6BE8" w14:paraId="6CD24960" w14:textId="77777777" w:rsidTr="0098509F">
        <w:trPr>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bottom w:val="single" w:sz="2" w:space="0" w:color="9CC2E5" w:themeColor="accent1" w:themeTint="99"/>
            </w:tcBorders>
            <w:vAlign w:val="center"/>
          </w:tcPr>
          <w:p w14:paraId="469B5AE6" w14:textId="41A6CC53" w:rsidR="00DF1B28" w:rsidRPr="00B44538" w:rsidRDefault="00DF1B28" w:rsidP="0098509F">
            <w:pPr>
              <w:pStyle w:val="08-Tabelageral"/>
              <w:jc w:val="left"/>
              <w:rPr>
                <w:rFonts w:cs="Arial"/>
                <w:b w:val="0"/>
                <w:szCs w:val="14"/>
              </w:rPr>
            </w:pPr>
            <w:proofErr w:type="spellStart"/>
            <w:r>
              <w:rPr>
                <w:rFonts w:cs="Arial"/>
                <w:b w:val="0"/>
                <w:szCs w:val="14"/>
              </w:rPr>
              <w:t>Brasilprev</w:t>
            </w:r>
            <w:proofErr w:type="spellEnd"/>
            <w:r>
              <w:rPr>
                <w:rFonts w:cs="Arial"/>
                <w:b w:val="0"/>
                <w:szCs w:val="14"/>
              </w:rPr>
              <w:t xml:space="preserve"> Seguros e Previdência S.A.</w:t>
            </w:r>
          </w:p>
        </w:tc>
        <w:tc>
          <w:tcPr>
            <w:tcW w:w="1015" w:type="dxa"/>
            <w:tcBorders>
              <w:top w:val="nil"/>
              <w:bottom w:val="single" w:sz="2" w:space="0" w:color="9CC2E5" w:themeColor="accent1" w:themeTint="99"/>
            </w:tcBorders>
            <w:vAlign w:val="center"/>
          </w:tcPr>
          <w:p w14:paraId="50FAFF59" w14:textId="3D6DC50C" w:rsidR="00DF1B28" w:rsidRDefault="00DF1B28" w:rsidP="0098509F">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01/03/2020</w:t>
            </w:r>
          </w:p>
        </w:tc>
        <w:tc>
          <w:tcPr>
            <w:tcW w:w="1016" w:type="dxa"/>
            <w:tcBorders>
              <w:top w:val="nil"/>
              <w:bottom w:val="single" w:sz="2" w:space="0" w:color="9CC2E5" w:themeColor="accent1" w:themeTint="99"/>
            </w:tcBorders>
            <w:vAlign w:val="center"/>
          </w:tcPr>
          <w:p w14:paraId="4822D259" w14:textId="5FAA31A4" w:rsidR="00DF1B28" w:rsidRPr="00B44538" w:rsidRDefault="00DF1B28" w:rsidP="0098509F">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30/04/2025</w:t>
            </w:r>
          </w:p>
        </w:tc>
        <w:tc>
          <w:tcPr>
            <w:tcW w:w="3640" w:type="dxa"/>
            <w:tcBorders>
              <w:top w:val="nil"/>
              <w:bottom w:val="single" w:sz="2" w:space="0" w:color="9CC2E5" w:themeColor="accent1" w:themeTint="99"/>
            </w:tcBorders>
            <w:vAlign w:val="center"/>
          </w:tcPr>
          <w:p w14:paraId="7AEC7213" w14:textId="5B4C7482" w:rsidR="00DF1B28" w:rsidRPr="00B44538" w:rsidRDefault="00DF1B28" w:rsidP="0098509F">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rPr>
            </w:pPr>
            <w:r>
              <w:rPr>
                <w:rFonts w:cs="Arial"/>
                <w:szCs w:val="14"/>
              </w:rPr>
              <w:t>Contrato de auditoria contemplando a Auditoria Contábil e Atuarial para os semestres findos em 30/06/2020 à 31/12/2024</w:t>
            </w:r>
          </w:p>
        </w:tc>
        <w:tc>
          <w:tcPr>
            <w:tcW w:w="1274" w:type="dxa"/>
            <w:tcBorders>
              <w:top w:val="nil"/>
              <w:bottom w:val="single" w:sz="2" w:space="0" w:color="9CC2E5" w:themeColor="accent1" w:themeTint="99"/>
            </w:tcBorders>
            <w:vAlign w:val="center"/>
          </w:tcPr>
          <w:p w14:paraId="5BE1499F" w14:textId="057E5A5B" w:rsidR="00DF1B28" w:rsidRPr="00B44538" w:rsidRDefault="00DF1B28" w:rsidP="0098509F">
            <w:pPr>
              <w:spacing w:before="40" w:after="40"/>
              <w:jc w:val="right"/>
              <w:cnfStyle w:val="000000000000" w:firstRow="0" w:lastRow="0" w:firstColumn="0" w:lastColumn="0" w:oddVBand="0" w:evenVBand="0" w:oddHBand="0" w:evenHBand="0" w:firstRowFirstColumn="0" w:firstRowLastColumn="0" w:lastRowFirstColumn="0" w:lastRowLastColumn="0"/>
              <w:rPr>
                <w:rFonts w:ascii="Arial" w:hAnsi="Arial" w:cs="Arial"/>
                <w:sz w:val="14"/>
                <w:szCs w:val="14"/>
              </w:rPr>
            </w:pPr>
            <w:r>
              <w:rPr>
                <w:rFonts w:ascii="Arial" w:hAnsi="Arial" w:cs="Arial"/>
                <w:sz w:val="14"/>
                <w:szCs w:val="14"/>
              </w:rPr>
              <w:t>700.000,00</w:t>
            </w:r>
          </w:p>
        </w:tc>
      </w:tr>
      <w:tr w:rsidR="0098509F" w:rsidRPr="001D6BE8" w14:paraId="06C6EB0C" w14:textId="77777777" w:rsidTr="0098509F">
        <w:trPr>
          <w:cnfStyle w:val="000000100000" w:firstRow="0" w:lastRow="0" w:firstColumn="0" w:lastColumn="0" w:oddVBand="0" w:evenVBand="0" w:oddHBand="1" w:evenHBand="0" w:firstRowFirstColumn="0" w:firstRowLastColumn="0" w:lastRowFirstColumn="0" w:lastRowLastColumn="0"/>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bottom w:val="single" w:sz="2" w:space="0" w:color="9CC2E5" w:themeColor="accent1" w:themeTint="99"/>
            </w:tcBorders>
            <w:vAlign w:val="center"/>
          </w:tcPr>
          <w:p w14:paraId="293636FB" w14:textId="77777777" w:rsidR="0098509F" w:rsidRPr="00B44538" w:rsidRDefault="0098509F" w:rsidP="0098509F">
            <w:pPr>
              <w:pStyle w:val="08-Tabelageral"/>
              <w:jc w:val="left"/>
              <w:rPr>
                <w:rFonts w:cs="Arial"/>
                <w:b w:val="0"/>
                <w:szCs w:val="14"/>
              </w:rPr>
            </w:pPr>
            <w:proofErr w:type="spellStart"/>
            <w:r w:rsidRPr="00B44538">
              <w:rPr>
                <w:rFonts w:cs="Arial"/>
                <w:b w:val="0"/>
                <w:szCs w:val="14"/>
              </w:rPr>
              <w:t>Brasilseg</w:t>
            </w:r>
            <w:proofErr w:type="spellEnd"/>
            <w:r w:rsidRPr="00B44538">
              <w:rPr>
                <w:rFonts w:cs="Arial"/>
                <w:b w:val="0"/>
                <w:szCs w:val="14"/>
              </w:rPr>
              <w:t xml:space="preserve"> Companhia de Seguros</w:t>
            </w:r>
          </w:p>
          <w:p w14:paraId="1FE80F08" w14:textId="77777777" w:rsidR="0098509F" w:rsidRPr="00B44538" w:rsidRDefault="0098509F" w:rsidP="0098509F">
            <w:pPr>
              <w:pStyle w:val="08-Tabelageral"/>
              <w:jc w:val="left"/>
              <w:rPr>
                <w:rFonts w:cs="Arial"/>
                <w:b w:val="0"/>
                <w:snapToGrid w:val="0"/>
                <w:szCs w:val="14"/>
              </w:rPr>
            </w:pPr>
            <w:r w:rsidRPr="00B44538">
              <w:rPr>
                <w:rFonts w:cs="Arial"/>
                <w:b w:val="0"/>
                <w:szCs w:val="14"/>
              </w:rPr>
              <w:t>Aliança do Brasil Seguros S/A</w:t>
            </w:r>
          </w:p>
        </w:tc>
        <w:tc>
          <w:tcPr>
            <w:tcW w:w="1015" w:type="dxa"/>
            <w:tcBorders>
              <w:top w:val="nil"/>
              <w:bottom w:val="single" w:sz="2" w:space="0" w:color="9CC2E5" w:themeColor="accent1" w:themeTint="99"/>
            </w:tcBorders>
            <w:vAlign w:val="center"/>
          </w:tcPr>
          <w:p w14:paraId="24956333" w14:textId="077C89B3" w:rsidR="0098509F" w:rsidRPr="00B44538" w:rsidRDefault="003A2E62" w:rsidP="0098509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w:t>
            </w:r>
            <w:r w:rsidR="00DF1B28">
              <w:rPr>
                <w:rFonts w:cs="Arial"/>
                <w:szCs w:val="14"/>
              </w:rPr>
              <w:t>5</w:t>
            </w:r>
            <w:r>
              <w:rPr>
                <w:rFonts w:cs="Arial"/>
                <w:szCs w:val="14"/>
              </w:rPr>
              <w:t>/10/20</w:t>
            </w:r>
            <w:r w:rsidR="00DF1B28">
              <w:rPr>
                <w:rFonts w:cs="Arial"/>
                <w:szCs w:val="14"/>
              </w:rPr>
              <w:t>20</w:t>
            </w:r>
          </w:p>
        </w:tc>
        <w:tc>
          <w:tcPr>
            <w:tcW w:w="1016" w:type="dxa"/>
            <w:tcBorders>
              <w:top w:val="nil"/>
              <w:bottom w:val="single" w:sz="2" w:space="0" w:color="9CC2E5" w:themeColor="accent1" w:themeTint="99"/>
            </w:tcBorders>
            <w:vAlign w:val="center"/>
          </w:tcPr>
          <w:p w14:paraId="120B6556" w14:textId="2D6AC7A3" w:rsidR="0098509F" w:rsidRPr="00B44538" w:rsidRDefault="00DF1B28" w:rsidP="0098509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14/10/2021</w:t>
            </w:r>
          </w:p>
        </w:tc>
        <w:tc>
          <w:tcPr>
            <w:tcW w:w="3640" w:type="dxa"/>
            <w:tcBorders>
              <w:top w:val="nil"/>
              <w:bottom w:val="single" w:sz="2" w:space="0" w:color="9CC2E5" w:themeColor="accent1" w:themeTint="99"/>
            </w:tcBorders>
            <w:vAlign w:val="center"/>
          </w:tcPr>
          <w:p w14:paraId="5A3B447F" w14:textId="03136361" w:rsidR="0098509F" w:rsidRPr="00B44538" w:rsidRDefault="00DF1B28" w:rsidP="0098509F">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rPr>
            </w:pPr>
            <w:r>
              <w:rPr>
                <w:rFonts w:cs="Arial"/>
                <w:szCs w:val="14"/>
              </w:rPr>
              <w:t>Auditoria Atuarial para o exercício social de 2020</w:t>
            </w:r>
          </w:p>
        </w:tc>
        <w:tc>
          <w:tcPr>
            <w:tcW w:w="1274" w:type="dxa"/>
            <w:tcBorders>
              <w:top w:val="nil"/>
              <w:bottom w:val="single" w:sz="2" w:space="0" w:color="9CC2E5" w:themeColor="accent1" w:themeTint="99"/>
            </w:tcBorders>
            <w:vAlign w:val="center"/>
          </w:tcPr>
          <w:p w14:paraId="2EBF9514" w14:textId="6A5EB139" w:rsidR="0098509F" w:rsidRPr="00B44538" w:rsidRDefault="00DF1B28" w:rsidP="0098509F">
            <w:pPr>
              <w:spacing w:before="40" w:after="40"/>
              <w:jc w:val="right"/>
              <w:cnfStyle w:val="000000100000" w:firstRow="0" w:lastRow="0" w:firstColumn="0" w:lastColumn="0" w:oddVBand="0" w:evenVBand="0" w:oddHBand="1" w:evenHBand="0" w:firstRowFirstColumn="0" w:firstRowLastColumn="0" w:lastRowFirstColumn="0" w:lastRowLastColumn="0"/>
              <w:rPr>
                <w:rFonts w:ascii="Arial" w:hAnsi="Arial" w:cs="Arial"/>
                <w:sz w:val="14"/>
                <w:szCs w:val="14"/>
              </w:rPr>
            </w:pPr>
            <w:r>
              <w:rPr>
                <w:rFonts w:ascii="Arial" w:hAnsi="Arial" w:cs="Arial"/>
                <w:sz w:val="14"/>
                <w:szCs w:val="14"/>
              </w:rPr>
              <w:t>237.500,00</w:t>
            </w:r>
          </w:p>
        </w:tc>
      </w:tr>
    </w:tbl>
    <w:p w14:paraId="4418B69C" w14:textId="77777777" w:rsidR="005507F9" w:rsidRPr="00271390" w:rsidRDefault="005507F9" w:rsidP="005507F9">
      <w:pPr>
        <w:pStyle w:val="07-Legenda"/>
        <w:rPr>
          <w:rFonts w:cs="Arial"/>
          <w:color w:val="FF0000"/>
          <w:highlight w:val="cyan"/>
        </w:rPr>
      </w:pPr>
    </w:p>
    <w:p w14:paraId="03225824" w14:textId="7902000D" w:rsidR="005507F9" w:rsidRPr="001734F0" w:rsidRDefault="005507F9" w:rsidP="005507F9">
      <w:pPr>
        <w:pStyle w:val="05-Textonormal"/>
        <w:rPr>
          <w:rFonts w:cs="Arial"/>
        </w:rPr>
      </w:pPr>
      <w:r w:rsidRPr="001734F0">
        <w:rPr>
          <w:rFonts w:cs="Arial"/>
        </w:rPr>
        <w:t>A BB Seguridade, seus acionistas, administradores e os membros do Conselho Fiscal se comprometem a resolver quaisquer disputas ou controvérsias relacionadas ao Regulamento de Listagem do Novo Mercado por meio da Câmara de Arbitragem do Mercado da B3 – Brasil, Bolsa, Balcão, conforme cláusula compromissória constante do Estatuto Social da BB Seguridade, artigo 5</w:t>
      </w:r>
      <w:r w:rsidR="00455150">
        <w:rPr>
          <w:rFonts w:cs="Arial"/>
        </w:rPr>
        <w:t>1</w:t>
      </w:r>
      <w:r w:rsidRPr="001734F0">
        <w:rPr>
          <w:rFonts w:cs="Arial"/>
        </w:rPr>
        <w:t>.</w:t>
      </w:r>
    </w:p>
    <w:p w14:paraId="579C0BE8" w14:textId="32DCA99B" w:rsidR="005507F9" w:rsidRDefault="005507F9" w:rsidP="005507F9">
      <w:pPr>
        <w:rPr>
          <w:rFonts w:ascii="Arial" w:eastAsia="Times New Roman" w:hAnsi="Arial" w:cs="Arial"/>
          <w:sz w:val="18"/>
          <w:szCs w:val="20"/>
          <w:lang w:eastAsia="pt-BR"/>
        </w:rPr>
      </w:pPr>
    </w:p>
    <w:p w14:paraId="56635DDF" w14:textId="77777777" w:rsidR="00164E68" w:rsidRPr="00FC539B" w:rsidRDefault="00164E68" w:rsidP="005507F9">
      <w:pPr>
        <w:rPr>
          <w:rFonts w:ascii="Arial" w:eastAsia="Times New Roman" w:hAnsi="Arial" w:cs="Arial"/>
          <w:sz w:val="18"/>
          <w:szCs w:val="20"/>
          <w:lang w:eastAsia="pt-BR"/>
        </w:rPr>
      </w:pPr>
    </w:p>
    <w:p w14:paraId="1881B148" w14:textId="77777777" w:rsidR="005507F9" w:rsidRPr="005507F9" w:rsidRDefault="005507F9" w:rsidP="002E067B">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sidRPr="005507F9">
        <w:rPr>
          <w:rFonts w:ascii="Arial" w:eastAsia="Times New Roman" w:hAnsi="Arial" w:cs="Times New Roman"/>
          <w:b/>
          <w:color w:val="1F4E79" w:themeColor="accent1" w:themeShade="80"/>
          <w:spacing w:val="-2"/>
          <w:sz w:val="20"/>
          <w:szCs w:val="20"/>
          <w:lang w:eastAsia="pt-BR"/>
        </w:rPr>
        <w:t>Agradecimentos</w:t>
      </w:r>
    </w:p>
    <w:p w14:paraId="427AD426" w14:textId="61803B65" w:rsidR="005507F9" w:rsidRPr="00FC539B" w:rsidRDefault="005507F9" w:rsidP="005507F9">
      <w:pPr>
        <w:pStyle w:val="05-Textonormal"/>
        <w:rPr>
          <w:rFonts w:cs="Arial"/>
        </w:rPr>
      </w:pPr>
      <w:r w:rsidRPr="00FC539B">
        <w:rPr>
          <w:rFonts w:cs="Arial"/>
        </w:rPr>
        <w:t>Agradecemos a dedicação e o empenho de nossos funcionários e colaboradores</w:t>
      </w:r>
      <w:r w:rsidR="00164E68">
        <w:rPr>
          <w:rFonts w:cs="Arial"/>
        </w:rPr>
        <w:t xml:space="preserve"> e</w:t>
      </w:r>
      <w:r w:rsidRPr="00FC539B">
        <w:rPr>
          <w:rFonts w:cs="Arial"/>
        </w:rPr>
        <w:t xml:space="preserve"> à rede de distribuição do Banco do Brasil</w:t>
      </w:r>
      <w:r>
        <w:rPr>
          <w:rFonts w:cs="Arial"/>
        </w:rPr>
        <w:t xml:space="preserve"> e </w:t>
      </w:r>
      <w:r w:rsidRPr="00FC539B">
        <w:rPr>
          <w:rFonts w:cs="Arial"/>
        </w:rPr>
        <w:t xml:space="preserve">demais parceiros, </w:t>
      </w:r>
      <w:r w:rsidR="00164E68">
        <w:rPr>
          <w:rFonts w:cs="Arial"/>
        </w:rPr>
        <w:t xml:space="preserve">fundamentais para a manutenção de um atendimento de qualidade aos clientes e da conformidade dos processos em um ano tão desafiador como o de 2020, além da </w:t>
      </w:r>
      <w:r w:rsidRPr="00FC539B">
        <w:rPr>
          <w:rFonts w:cs="Arial"/>
        </w:rPr>
        <w:t>confiança</w:t>
      </w:r>
      <w:r w:rsidR="00164E68">
        <w:rPr>
          <w:rFonts w:cs="Arial"/>
        </w:rPr>
        <w:t xml:space="preserve"> depositada por</w:t>
      </w:r>
      <w:r w:rsidRPr="00FC539B">
        <w:rPr>
          <w:rFonts w:cs="Arial"/>
        </w:rPr>
        <w:t xml:space="preserve"> acionistas, clientes e sociedade</w:t>
      </w:r>
      <w:r w:rsidR="00164E68">
        <w:rPr>
          <w:rFonts w:cs="Arial"/>
        </w:rPr>
        <w:t xml:space="preserve"> em geral</w:t>
      </w:r>
      <w:r w:rsidRPr="00FC539B">
        <w:rPr>
          <w:rFonts w:cs="Arial"/>
        </w:rPr>
        <w:t>.</w:t>
      </w:r>
    </w:p>
    <w:p w14:paraId="7D298A18" w14:textId="77777777" w:rsidR="005507F9" w:rsidRPr="00FC539B" w:rsidRDefault="005507F9" w:rsidP="005507F9">
      <w:pPr>
        <w:pStyle w:val="05-Textonormal"/>
        <w:rPr>
          <w:rFonts w:cs="Arial"/>
        </w:rPr>
      </w:pPr>
    </w:p>
    <w:p w14:paraId="3DA3C82F" w14:textId="55166E24" w:rsidR="005507F9" w:rsidRPr="005507F9" w:rsidRDefault="005507F9" w:rsidP="002E067B">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sidRPr="005507F9">
        <w:rPr>
          <w:rFonts w:ascii="Arial" w:eastAsia="Times New Roman" w:hAnsi="Arial" w:cs="Times New Roman"/>
          <w:b/>
          <w:color w:val="1F4E79" w:themeColor="accent1" w:themeShade="80"/>
          <w:spacing w:val="-2"/>
          <w:sz w:val="20"/>
          <w:szCs w:val="20"/>
          <w:lang w:eastAsia="pt-BR"/>
        </w:rPr>
        <w:t>Brasília, 202</w:t>
      </w:r>
      <w:r w:rsidR="00CA160D">
        <w:rPr>
          <w:rFonts w:ascii="Arial" w:eastAsia="Times New Roman" w:hAnsi="Arial" w:cs="Times New Roman"/>
          <w:b/>
          <w:color w:val="1F4E79" w:themeColor="accent1" w:themeShade="80"/>
          <w:spacing w:val="-2"/>
          <w:sz w:val="20"/>
          <w:szCs w:val="20"/>
          <w:lang w:eastAsia="pt-BR"/>
        </w:rPr>
        <w:t>1</w:t>
      </w:r>
    </w:p>
    <w:p w14:paraId="4F438A84" w14:textId="77777777" w:rsidR="005507F9" w:rsidRPr="005507F9" w:rsidRDefault="005507F9" w:rsidP="002E067B">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p>
    <w:p w14:paraId="6D25C2D1" w14:textId="77777777" w:rsidR="005507F9" w:rsidRPr="005507F9" w:rsidRDefault="005507F9" w:rsidP="002E067B">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sidRPr="005507F9">
        <w:rPr>
          <w:rFonts w:ascii="Arial" w:eastAsia="Times New Roman" w:hAnsi="Arial" w:cs="Times New Roman"/>
          <w:b/>
          <w:color w:val="1F4E79" w:themeColor="accent1" w:themeShade="80"/>
          <w:spacing w:val="-2"/>
          <w:sz w:val="20"/>
          <w:szCs w:val="20"/>
          <w:lang w:eastAsia="pt-BR"/>
        </w:rPr>
        <w:t>A Administração</w:t>
      </w:r>
    </w:p>
    <w:sectPr w:rsidR="005507F9" w:rsidRPr="005507F9" w:rsidSect="00690287">
      <w:headerReference w:type="even" r:id="rId15"/>
      <w:headerReference w:type="default" r:id="rId16"/>
      <w:footerReference w:type="even" r:id="rId17"/>
      <w:footerReference w:type="default" r:id="rId18"/>
      <w:headerReference w:type="first" r:id="rId19"/>
      <w:footerReference w:type="first" r:id="rId20"/>
      <w:type w:val="oddPage"/>
      <w:pgSz w:w="11906" w:h="16838" w:code="9"/>
      <w:pgMar w:top="1134" w:right="1134" w:bottom="907" w:left="1134"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A9A7C1" w14:textId="77777777" w:rsidR="000917B3" w:rsidRDefault="000917B3" w:rsidP="00F10B26">
      <w:pPr>
        <w:spacing w:after="0" w:line="240" w:lineRule="auto"/>
      </w:pPr>
      <w:r>
        <w:separator/>
      </w:r>
    </w:p>
  </w:endnote>
  <w:endnote w:type="continuationSeparator" w:id="0">
    <w:p w14:paraId="497D24EF" w14:textId="77777777" w:rsidR="000917B3" w:rsidRDefault="000917B3" w:rsidP="00F10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707EF" w14:textId="77777777" w:rsidR="000917B3" w:rsidRDefault="000917B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7220925"/>
      <w:docPartObj>
        <w:docPartGallery w:val="Page Numbers (Bottom of Page)"/>
        <w:docPartUnique/>
      </w:docPartObj>
    </w:sdtPr>
    <w:sdtContent>
      <w:p w14:paraId="7E540645" w14:textId="6DD5A1ED" w:rsidR="000917B3" w:rsidRDefault="000917B3">
        <w:pPr>
          <w:pStyle w:val="Rodap"/>
          <w:jc w:val="right"/>
        </w:pPr>
        <w:r w:rsidRPr="005D303B">
          <w:rPr>
            <w:rFonts w:ascii="Arial" w:hAnsi="Arial" w:cs="Arial"/>
            <w:b/>
            <w:noProof/>
            <w:color w:val="1F4E79" w:themeColor="accent1" w:themeShade="80"/>
            <w:sz w:val="18"/>
            <w:szCs w:val="18"/>
            <w:lang w:eastAsia="pt-BR"/>
          </w:rPr>
          <mc:AlternateContent>
            <mc:Choice Requires="wps">
              <w:drawing>
                <wp:anchor distT="0" distB="0" distL="114300" distR="114300" simplePos="0" relativeHeight="251692032" behindDoc="0" locked="0" layoutInCell="1" allowOverlap="1" wp14:anchorId="4E834054" wp14:editId="1C47A7E4">
                  <wp:simplePos x="0" y="0"/>
                  <wp:positionH relativeFrom="page">
                    <wp:posOffset>0</wp:posOffset>
                  </wp:positionH>
                  <wp:positionV relativeFrom="paragraph">
                    <wp:posOffset>-61651</wp:posOffset>
                  </wp:positionV>
                  <wp:extent cx="9144000" cy="53340"/>
                  <wp:effectExtent l="0" t="0" r="0" b="3810"/>
                  <wp:wrapNone/>
                  <wp:docPr id="2"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E2F6F8" id="Retângulo 14" o:spid="_x0000_s1026" style="position:absolute;margin-left:0;margin-top:-4.85pt;width:10in;height:4.2pt;z-index:251692032;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" fillcolor="#f9dd16" stroked="f" strokeweight="1pt">
                  <w10:wrap anchorx="page"/>
                </v:rect>
              </w:pict>
            </mc:Fallback>
          </mc:AlternateContent>
        </w:r>
        <w:r>
          <w:fldChar w:fldCharType="begin"/>
        </w:r>
        <w:r>
          <w:instrText>PAGE   \* MERGEFORMAT</w:instrText>
        </w:r>
        <w:r>
          <w:fldChar w:fldCharType="separate"/>
        </w:r>
        <w:r w:rsidR="00935F08">
          <w:rPr>
            <w:noProof/>
          </w:rPr>
          <w:t>19</w:t>
        </w:r>
        <w:r>
          <w:fldChar w:fldCharType="end"/>
        </w:r>
      </w:p>
    </w:sdtContent>
  </w:sdt>
  <w:p w14:paraId="78818112" w14:textId="77777777" w:rsidR="000917B3" w:rsidRDefault="000917B3">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0577270"/>
      <w:docPartObj>
        <w:docPartGallery w:val="Page Numbers (Bottom of Page)"/>
        <w:docPartUnique/>
      </w:docPartObj>
    </w:sdtPr>
    <w:sdtContent>
      <w:p w14:paraId="60347C75" w14:textId="77777777" w:rsidR="000917B3" w:rsidRDefault="000917B3">
        <w:pPr>
          <w:pStyle w:val="Rodap"/>
          <w:jc w:val="right"/>
        </w:pPr>
        <w:r w:rsidRPr="005D303B">
          <w:rPr>
            <w:rFonts w:ascii="Arial" w:hAnsi="Arial" w:cs="Arial"/>
            <w:b/>
            <w:noProof/>
            <w:color w:val="1F4E79" w:themeColor="accent1" w:themeShade="80"/>
            <w:sz w:val="18"/>
            <w:szCs w:val="18"/>
            <w:lang w:eastAsia="pt-BR"/>
          </w:rPr>
          <mc:AlternateContent>
            <mc:Choice Requires="wps">
              <w:drawing>
                <wp:anchor distT="0" distB="0" distL="114300" distR="114300" simplePos="0" relativeHeight="251689984" behindDoc="0" locked="0" layoutInCell="1" allowOverlap="1" wp14:anchorId="54FC1742" wp14:editId="6615215B">
                  <wp:simplePos x="0" y="0"/>
                  <wp:positionH relativeFrom="page">
                    <wp:align>left</wp:align>
                  </wp:positionH>
                  <wp:positionV relativeFrom="paragraph">
                    <wp:posOffset>2067</wp:posOffset>
                  </wp:positionV>
                  <wp:extent cx="5603132" cy="45719"/>
                  <wp:effectExtent l="0" t="0" r="0" b="0"/>
                  <wp:wrapNone/>
                  <wp:docPr id="1" name="Retângulo 14"/>
                  <wp:cNvGraphicFramePr/>
                  <a:graphic xmlns:a="http://schemas.openxmlformats.org/drawingml/2006/main">
                    <a:graphicData uri="http://schemas.microsoft.com/office/word/2010/wordprocessingShape">
                      <wps:wsp>
                        <wps:cNvSpPr/>
                        <wps:spPr>
                          <a:xfrm flipV="1">
                            <a:off x="0" y="0"/>
                            <a:ext cx="5603132" cy="45719"/>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238274" id="Retângulo 14" o:spid="_x0000_s1026" style="position:absolute;margin-left:0;margin-top:.15pt;width:441.2pt;height:3.6pt;flip:y;z-index:25168998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" fillcolor="#f9dd16" stroked="f" strokeweight="1pt">
                  <w10:wrap anchorx="page"/>
                </v:rect>
              </w:pict>
            </mc:Fallback>
          </mc:AlternateContent>
        </w:r>
        <w:r>
          <w:fldChar w:fldCharType="begin"/>
        </w:r>
        <w:r>
          <w:instrText>PAGE   \* MERGEFORMAT</w:instrText>
        </w:r>
        <w:r>
          <w:fldChar w:fldCharType="separate"/>
        </w:r>
        <w:r>
          <w:rPr>
            <w:noProof/>
          </w:rPr>
          <w:t>1</w:t>
        </w:r>
        <w:r>
          <w:fldChar w:fldCharType="end"/>
        </w:r>
      </w:p>
    </w:sdtContent>
  </w:sdt>
  <w:p w14:paraId="589786B2" w14:textId="77777777" w:rsidR="000917B3" w:rsidRDefault="000917B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23DAF" w14:textId="77777777" w:rsidR="000917B3" w:rsidRDefault="000917B3" w:rsidP="00F10B26">
      <w:pPr>
        <w:spacing w:after="0" w:line="240" w:lineRule="auto"/>
      </w:pPr>
      <w:r>
        <w:separator/>
      </w:r>
    </w:p>
  </w:footnote>
  <w:footnote w:type="continuationSeparator" w:id="0">
    <w:p w14:paraId="21A2346E" w14:textId="77777777" w:rsidR="000917B3" w:rsidRDefault="000917B3" w:rsidP="00F10B26">
      <w:pPr>
        <w:spacing w:after="0" w:line="240" w:lineRule="auto"/>
      </w:pPr>
      <w:r>
        <w:continuationSeparator/>
      </w:r>
    </w:p>
  </w:footnote>
  <w:footnote w:id="1">
    <w:p w14:paraId="54EC64E9" w14:textId="6055A282" w:rsidR="000917B3" w:rsidRDefault="000917B3" w:rsidP="00690287">
      <w:pPr>
        <w:pStyle w:val="Textodenotaderodap"/>
      </w:pPr>
      <w:r w:rsidRPr="00DC1D20">
        <w:rPr>
          <w:rStyle w:val="Refdenotaderodap"/>
          <w:rFonts w:ascii="Arial" w:hAnsi="Arial" w:cs="Arial"/>
          <w:sz w:val="16"/>
          <w:szCs w:val="16"/>
        </w:rPr>
        <w:footnoteRef/>
      </w:r>
      <w:r w:rsidRPr="00DC1D20">
        <w:rPr>
          <w:rFonts w:ascii="Arial" w:hAnsi="Arial" w:cs="Arial"/>
        </w:rPr>
        <w:t xml:space="preserve"> </w:t>
      </w:r>
      <w:r w:rsidRPr="00DC1D20">
        <w:rPr>
          <w:rFonts w:ascii="Arial" w:hAnsi="Arial" w:cs="Arial"/>
          <w:sz w:val="16"/>
          <w:szCs w:val="16"/>
        </w:rPr>
        <w:t>Fonte: SUSEP – Data-base 11M20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E6EA2" w14:textId="77777777" w:rsidR="000917B3" w:rsidRDefault="000917B3">
    <w:pPr>
      <w:pStyle w:val="Cabealho"/>
    </w:pPr>
    <w:r>
      <w:rPr>
        <w:noProof/>
        <w:lang w:eastAsia="pt-BR"/>
      </w:rPr>
      <mc:AlternateContent>
        <mc:Choice Requires="wps">
          <w:drawing>
            <wp:anchor distT="0" distB="0" distL="114300" distR="114300" simplePos="0" relativeHeight="251661312" behindDoc="0" locked="0" layoutInCell="0" allowOverlap="1" wp14:anchorId="58585560" wp14:editId="4FD01F96">
              <wp:simplePos x="0" y="0"/>
              <wp:positionH relativeFrom="page">
                <wp:posOffset>0</wp:posOffset>
              </wp:positionH>
              <wp:positionV relativeFrom="page">
                <wp:posOffset>190500</wp:posOffset>
              </wp:positionV>
              <wp:extent cx="7560310" cy="266700"/>
              <wp:effectExtent l="0" t="0" r="0" b="0"/>
              <wp:wrapNone/>
              <wp:docPr id="3" name="MSIPCMafbe480880c78337ed6cc877" descr="{&quot;HashCode&quot;:-1487292391,&quot;Height&quot;:841.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25C275" w14:textId="77777777" w:rsidR="000917B3" w:rsidRPr="00F10B26" w:rsidRDefault="000917B3"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8585560" id="_x0000_t202" coordsize="21600,21600" o:spt="202" path="m,l,21600r21600,l21600,xe">
              <v:stroke joinstyle="miter"/>
              <v:path gradientshapeok="t" o:connecttype="rect"/>
            </v:shapetype>
            <v:shape id="MSIPCMafbe480880c78337ed6cc877" o:spid="_x0000_s1028" type="#_x0000_t202" alt="{&quot;HashCode&quot;:-1487292391,&quot;Height&quot;:841.0,&quot;Width&quot;:595.0,&quot;Placement&quot;:&quot;Header&quot;,&quot;Index&quot;:&quot;OddAndEven&quot;,&quot;Section&quot;:1,&quot;Top&quot;:0.0,&quot;Left&quot;:0.0}" style="position:absolute;margin-left:0;margin-top:15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" o:allowincell="f" filled="f" stroked="f" strokeweight=".5pt">
              <v:textbox inset=",0,20pt,0">
                <w:txbxContent>
                  <w:p w14:paraId="7B25C275" w14:textId="77777777" w:rsidR="002F0327" w:rsidRPr="00F10B26" w:rsidRDefault="002F0327" w:rsidP="00F10B26">
                    <w:pPr>
                      <w:spacing w:after="0"/>
                      <w:jc w:val="right"/>
                      <w:rPr>
                        <w:rFonts w:ascii="Calibri" w:hAnsi="Calibri" w:cs="Calibri"/>
                        <w:color w:val="000000"/>
                        <w:sz w:val="20"/>
                      </w:rPr>
                    </w:pPr>
                    <w:r w:rsidRPr="00F10B26">
                      <w:rPr>
                        <w:rFonts w:ascii="Calibri" w:hAnsi="Calibri" w:cs="Calibri"/>
                        <w:color w:val="000000"/>
                        <w:sz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61DEF" w14:textId="77777777" w:rsidR="000917B3" w:rsidRDefault="000917B3" w:rsidP="00147488">
    <w:pPr>
      <w:pStyle w:val="Cabealho"/>
      <w:tabs>
        <w:tab w:val="clear" w:pos="4252"/>
        <w:tab w:val="clear" w:pos="8504"/>
        <w:tab w:val="left" w:pos="5625"/>
      </w:tabs>
    </w:pPr>
    <w:r>
      <w:rPr>
        <w:noProof/>
        <w:sz w:val="20"/>
        <w:szCs w:val="20"/>
        <w:lang w:eastAsia="pt-BR"/>
      </w:rPr>
      <mc:AlternateContent>
        <mc:Choice Requires="wps">
          <w:drawing>
            <wp:anchor distT="0" distB="0" distL="114300" distR="114300" simplePos="0" relativeHeight="251693056" behindDoc="0" locked="0" layoutInCell="1" allowOverlap="1" wp14:anchorId="7E58A3EA" wp14:editId="299553D3">
              <wp:simplePos x="0" y="0"/>
              <wp:positionH relativeFrom="column">
                <wp:posOffset>1891665</wp:posOffset>
              </wp:positionH>
              <wp:positionV relativeFrom="paragraph">
                <wp:posOffset>-464490</wp:posOffset>
              </wp:positionV>
              <wp:extent cx="4740250" cy="402742"/>
              <wp:effectExtent l="0" t="0" r="0" b="0"/>
              <wp:wrapNone/>
              <wp:docPr id="4" name="Caixa de Texto 4"/>
              <wp:cNvGraphicFramePr/>
              <a:graphic xmlns:a="http://schemas.openxmlformats.org/drawingml/2006/main">
                <a:graphicData uri="http://schemas.microsoft.com/office/word/2010/wordprocessingShape">
                  <wps:wsp>
                    <wps:cNvSpPr txBox="1"/>
                    <wps:spPr>
                      <a:xfrm>
                        <a:off x="0" y="0"/>
                        <a:ext cx="4740250" cy="402742"/>
                      </a:xfrm>
                      <a:prstGeom prst="rect">
                        <a:avLst/>
                      </a:prstGeom>
                      <a:noFill/>
                      <a:ln w="6350">
                        <a:noFill/>
                      </a:ln>
                    </wps:spPr>
                    <wps:txbx>
                      <w:txbxContent>
                        <w:p w14:paraId="49382EFD" w14:textId="3273329A" w:rsidR="000917B3" w:rsidRPr="00E16BE7" w:rsidRDefault="000917B3" w:rsidP="00E16BE7">
                          <w:pPr>
                            <w:jc w:val="right"/>
                            <w:rPr>
                              <w:rFonts w:ascii="Arial" w:hAnsi="Arial" w:cs="Arial"/>
                              <w:color w:val="FFFFFF" w:themeColor="background1"/>
                              <w:sz w:val="18"/>
                              <w:szCs w:val="18"/>
                            </w:rPr>
                          </w:pPr>
                          <w:r>
                            <w:rPr>
                              <w:rFonts w:ascii="Arial" w:hAnsi="Arial" w:cs="Arial"/>
                              <w:color w:val="FFFFFF" w:themeColor="background1"/>
                              <w:sz w:val="18"/>
                              <w:szCs w:val="18"/>
                            </w:rPr>
                            <w:t xml:space="preserve">Relatório Anual da Administração </w:t>
                          </w:r>
                          <w:r w:rsidRPr="00E16BE7">
                            <w:rPr>
                              <w:rFonts w:ascii="Arial" w:hAnsi="Arial" w:cs="Arial"/>
                              <w:color w:val="FFFFFF" w:themeColor="background1"/>
                              <w:sz w:val="18"/>
                              <w:szCs w:val="18"/>
                            </w:rPr>
                            <w:t>– Exercício 20</w:t>
                          </w:r>
                          <w:r>
                            <w:rPr>
                              <w:rFonts w:ascii="Arial" w:hAnsi="Arial" w:cs="Arial"/>
                              <w:color w:val="FFFFFF" w:themeColor="background1"/>
                              <w:sz w:val="18"/>
                              <w:szCs w:val="18"/>
                            </w:rPr>
                            <w:t>20</w:t>
                          </w:r>
                          <w:r w:rsidRPr="00E16BE7">
                            <w:rPr>
                              <w:rFonts w:ascii="Arial" w:hAnsi="Arial" w:cs="Arial"/>
                              <w:color w:val="FFFFFF" w:themeColor="background1"/>
                              <w:sz w:val="18"/>
                              <w:szCs w:val="18"/>
                            </w:rPr>
                            <w:br/>
                            <w:t>BB Seguridade Participações S.A.</w:t>
                          </w:r>
                        </w:p>
                        <w:p w14:paraId="0B6F8E22" w14:textId="77777777" w:rsidR="000917B3" w:rsidRPr="00E16BE7" w:rsidRDefault="000917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E58A3EA" id="_x0000_t202" coordsize="21600,21600" o:spt="202" path="m,l,21600r21600,l21600,xe">
              <v:stroke joinstyle="miter"/>
              <v:path gradientshapeok="t" o:connecttype="rect"/>
            </v:shapetype>
            <v:shape id="Caixa de Texto 4" o:spid="_x0000_s1029" type="#_x0000_t202" style="position:absolute;margin-left:148.95pt;margin-top:-36.55pt;width:373.25pt;height:31.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" filled="f" stroked="f" strokeweight=".5pt">
              <v:textbox>
                <w:txbxContent>
                  <w:p w14:paraId="49382EFD" w14:textId="3273329A" w:rsidR="00451A27" w:rsidRPr="00E16BE7" w:rsidRDefault="00451A27" w:rsidP="00E16BE7">
                    <w:pPr>
                      <w:jc w:val="right"/>
                      <w:rPr>
                        <w:rFonts w:ascii="Arial" w:hAnsi="Arial" w:cs="Arial"/>
                        <w:color w:val="FFFFFF" w:themeColor="background1"/>
                        <w:sz w:val="18"/>
                        <w:szCs w:val="18"/>
                      </w:rPr>
                    </w:pPr>
                    <w:r>
                      <w:rPr>
                        <w:rFonts w:ascii="Arial" w:hAnsi="Arial" w:cs="Arial"/>
                        <w:color w:val="FFFFFF" w:themeColor="background1"/>
                        <w:sz w:val="18"/>
                        <w:szCs w:val="18"/>
                      </w:rPr>
                      <w:t xml:space="preserve">Relatório Anual da Administração </w:t>
                    </w:r>
                    <w:r w:rsidRPr="00E16BE7">
                      <w:rPr>
                        <w:rFonts w:ascii="Arial" w:hAnsi="Arial" w:cs="Arial"/>
                        <w:color w:val="FFFFFF" w:themeColor="background1"/>
                        <w:sz w:val="18"/>
                        <w:szCs w:val="18"/>
                      </w:rPr>
                      <w:t>– Exercício 20</w:t>
                    </w:r>
                    <w:r>
                      <w:rPr>
                        <w:rFonts w:ascii="Arial" w:hAnsi="Arial" w:cs="Arial"/>
                        <w:color w:val="FFFFFF" w:themeColor="background1"/>
                        <w:sz w:val="18"/>
                        <w:szCs w:val="18"/>
                      </w:rPr>
                      <w:t>20</w:t>
                    </w:r>
                    <w:r w:rsidRPr="00E16BE7">
                      <w:rPr>
                        <w:rFonts w:ascii="Arial" w:hAnsi="Arial" w:cs="Arial"/>
                        <w:color w:val="FFFFFF" w:themeColor="background1"/>
                        <w:sz w:val="18"/>
                        <w:szCs w:val="18"/>
                      </w:rPr>
                      <w:br/>
                      <w:t>BB Seguridade Participações S.A.</w:t>
                    </w:r>
                  </w:p>
                  <w:p w14:paraId="0B6F8E22" w14:textId="77777777" w:rsidR="00451A27" w:rsidRPr="00E16BE7" w:rsidRDefault="00451A27"/>
                </w:txbxContent>
              </v:textbox>
            </v:shape>
          </w:pict>
        </mc:Fallback>
      </mc:AlternateContent>
    </w:r>
    <w:r>
      <w:rPr>
        <w:noProof/>
        <w:sz w:val="20"/>
        <w:szCs w:val="20"/>
        <w:lang w:eastAsia="pt-BR"/>
      </w:rPr>
      <mc:AlternateContent>
        <mc:Choice Requires="wps">
          <w:drawing>
            <wp:anchor distT="0" distB="0" distL="114300" distR="114300" simplePos="0" relativeHeight="251660287" behindDoc="0" locked="0" layoutInCell="0" allowOverlap="1" wp14:anchorId="60BD9D64" wp14:editId="654BFA10">
              <wp:simplePos x="0" y="0"/>
              <wp:positionH relativeFrom="page">
                <wp:posOffset>0</wp:posOffset>
              </wp:positionH>
              <wp:positionV relativeFrom="page">
                <wp:posOffset>190500</wp:posOffset>
              </wp:positionV>
              <wp:extent cx="7560310" cy="266700"/>
              <wp:effectExtent l="0" t="0" r="0" b="0"/>
              <wp:wrapNone/>
              <wp:docPr id="24" name="MSIPCM2c7745e2a5f905146a5a0684" descr="{&quot;HashCode&quot;:344086827,&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E4E66E2" w14:textId="77777777" w:rsidR="000917B3" w:rsidRPr="00AC5AD8" w:rsidRDefault="000917B3" w:rsidP="00AC5AD8">
                          <w:pPr>
                            <w:spacing w:after="0"/>
                            <w:jc w:val="right"/>
                            <w:rPr>
                              <w:rFonts w:ascii="Calibri" w:hAnsi="Calibri" w:cs="Calibri"/>
                              <w:color w:val="000000"/>
                              <w:sz w:val="20"/>
                            </w:rPr>
                          </w:pPr>
                          <w:r w:rsidRPr="00AC5AD8">
                            <w:rPr>
                              <w:rFonts w:ascii="Calibri" w:hAnsi="Calibri" w:cs="Calibri"/>
                              <w:color w:val="000000"/>
                              <w:sz w:val="20"/>
                            </w:rPr>
                            <w:t>#Pública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0BD9D64" id="MSIPCM2c7745e2a5f905146a5a0684" o:spid="_x0000_s1030" type="#_x0000_t202" alt="{&quot;HashCode&quot;:344086827,&quot;Height&quot;:841.0,&quot;Width&quot;:595.0,&quot;Placement&quot;:&quot;Header&quot;,&quot;Index&quot;:&quot;Primary&quot;,&quot;Section&quot;:1,&quot;Top&quot;:0.0,&quot;Left&quot;:0.0}" style="position:absolute;margin-left:0;margin-top:15pt;width:595.3pt;height:21pt;z-index:251660287;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" o:allowincell="f" filled="f" stroked="f" strokeweight=".5pt">
              <v:textbox inset=",0,20pt,0">
                <w:txbxContent>
                  <w:p w14:paraId="5E4E66E2" w14:textId="77777777" w:rsidR="00451A27" w:rsidRPr="00AC5AD8" w:rsidRDefault="00451A27" w:rsidP="00AC5AD8">
                    <w:pPr>
                      <w:spacing w:after="0"/>
                      <w:jc w:val="right"/>
                      <w:rPr>
                        <w:rFonts w:ascii="Calibri" w:hAnsi="Calibri" w:cs="Calibri"/>
                        <w:color w:val="000000"/>
                        <w:sz w:val="20"/>
                      </w:rPr>
                    </w:pPr>
                    <w:r w:rsidRPr="00AC5AD8">
                      <w:rPr>
                        <w:rFonts w:ascii="Calibri" w:hAnsi="Calibri" w:cs="Calibri"/>
                        <w:color w:val="000000"/>
                        <w:sz w:val="20"/>
                      </w:rPr>
                      <w:t>#Pública</w:t>
                    </w:r>
                  </w:p>
                </w:txbxContent>
              </v:textbox>
              <w10:wrap anchorx="page" anchory="page"/>
            </v:shape>
          </w:pict>
        </mc:Fallback>
      </mc:AlternateContent>
    </w:r>
    <w:r>
      <w:rPr>
        <w:noProof/>
        <w:sz w:val="20"/>
        <w:szCs w:val="20"/>
        <w:lang w:eastAsia="pt-BR"/>
      </w:rPr>
      <w:drawing>
        <wp:anchor distT="0" distB="0" distL="114300" distR="114300" simplePos="0" relativeHeight="251686912" behindDoc="0" locked="0" layoutInCell="1" allowOverlap="1" wp14:anchorId="2EC537DE" wp14:editId="5EFD0362">
          <wp:simplePos x="0" y="0"/>
          <wp:positionH relativeFrom="margin">
            <wp:posOffset>-453606</wp:posOffset>
          </wp:positionH>
          <wp:positionV relativeFrom="paragraph">
            <wp:posOffset>-380365</wp:posOffset>
          </wp:positionV>
          <wp:extent cx="967740" cy="198755"/>
          <wp:effectExtent l="0" t="0" r="381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BB Seguro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198755"/>
                  </a:xfrm>
                  <a:prstGeom prst="rect">
                    <a:avLst/>
                  </a:prstGeom>
                </pic:spPr>
              </pic:pic>
            </a:graphicData>
          </a:graphic>
          <wp14:sizeRelH relativeFrom="margin">
            <wp14:pctWidth>0</wp14:pctWidth>
          </wp14:sizeRelH>
          <wp14:sizeRelV relativeFrom="margin">
            <wp14:pctHeight>0</wp14:pctHeight>
          </wp14:sizeRelV>
        </wp:anchor>
      </w:drawing>
    </w:r>
    <w:r w:rsidRPr="005D303B">
      <w:rPr>
        <w:rFonts w:ascii="Arial" w:hAnsi="Arial" w:cs="Arial"/>
        <w:b/>
        <w:noProof/>
        <w:color w:val="1F4E79" w:themeColor="accent1" w:themeShade="80"/>
        <w:sz w:val="18"/>
        <w:szCs w:val="18"/>
        <w:lang w:eastAsia="pt-BR"/>
      </w:rPr>
      <mc:AlternateContent>
        <mc:Choice Requires="wps">
          <w:drawing>
            <wp:anchor distT="0" distB="0" distL="114300" distR="114300" simplePos="0" relativeHeight="251674624" behindDoc="0" locked="0" layoutInCell="1" allowOverlap="1" wp14:anchorId="2B77A83C" wp14:editId="287DD346">
              <wp:simplePos x="0" y="0"/>
              <wp:positionH relativeFrom="page">
                <wp:posOffset>0</wp:posOffset>
              </wp:positionH>
              <wp:positionV relativeFrom="paragraph">
                <wp:posOffset>-42384</wp:posOffset>
              </wp:positionV>
              <wp:extent cx="9144000" cy="53340"/>
              <wp:effectExtent l="0" t="0" r="0" b="3810"/>
              <wp:wrapNone/>
              <wp:docPr id="15"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9DD16"/>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278911" id="Retângulo 14" o:spid="_x0000_s1026" style="position:absolute;margin-left:0;margin-top:-3.35pt;width:10in;height:4.2pt;z-index:251674624;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" fillcolor="#f9dd16" stroked="f" strokeweight="1pt">
              <w10:wrap anchorx="page"/>
            </v:rect>
          </w:pict>
        </mc:Fallback>
      </mc:AlternateContent>
    </w:r>
    <w:r w:rsidRPr="0069353A">
      <w:rPr>
        <w:noProof/>
        <w:sz w:val="20"/>
        <w:szCs w:val="20"/>
        <w:lang w:eastAsia="pt-BR"/>
      </w:rPr>
      <mc:AlternateContent>
        <mc:Choice Requires="wps">
          <w:drawing>
            <wp:anchor distT="0" distB="0" distL="114300" distR="114300" simplePos="0" relativeHeight="251672576" behindDoc="1" locked="0" layoutInCell="1" allowOverlap="1" wp14:anchorId="7E1EF739" wp14:editId="04FF3AE6">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5" name="Retângulo 5"/>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7337C8D0" w14:textId="77777777" w:rsidR="000917B3" w:rsidRDefault="000917B3" w:rsidP="00E16BE7">
                          <w:pPr>
                            <w:ind w:left="708"/>
                            <w:jc w:val="righ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E1EF739" id="Retângulo 5" o:spid="_x0000_s1031" style="position:absolute;margin-left:0;margin-top:-42.55pt;width:594.75pt;height:39.2pt;z-index:-2516439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" fillcolor="#0038a8" stroked="f" strokeweight="1pt">
              <v:textbox>
                <w:txbxContent>
                  <w:p w14:paraId="7337C8D0" w14:textId="77777777" w:rsidR="00451A27" w:rsidRDefault="00451A27" w:rsidP="00E16BE7">
                    <w:pPr>
                      <w:ind w:left="708"/>
                      <w:jc w:val="right"/>
                    </w:pPr>
                  </w:p>
                </w:txbxContent>
              </v:textbox>
              <w10:wrap type="through"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0D71E" w14:textId="77777777" w:rsidR="000917B3" w:rsidRPr="00147488" w:rsidRDefault="000917B3" w:rsidP="00147488">
    <w:pPr>
      <w:pStyle w:val="Cabealho"/>
      <w:tabs>
        <w:tab w:val="clear" w:pos="4252"/>
        <w:tab w:val="clear" w:pos="8504"/>
        <w:tab w:val="left" w:pos="5625"/>
      </w:tabs>
    </w:pPr>
    <w:r>
      <w:rPr>
        <w:rFonts w:ascii="Arial" w:hAnsi="Arial" w:cs="Arial"/>
        <w:b/>
        <w:noProof/>
        <w:color w:val="1F4E79" w:themeColor="accent1" w:themeShade="80"/>
        <w:sz w:val="18"/>
        <w:szCs w:val="18"/>
        <w:lang w:eastAsia="pt-BR"/>
      </w:rPr>
      <mc:AlternateContent>
        <mc:Choice Requires="wps">
          <w:drawing>
            <wp:anchor distT="0" distB="0" distL="114300" distR="114300" simplePos="0" relativeHeight="251681792" behindDoc="0" locked="0" layoutInCell="0" allowOverlap="1" wp14:anchorId="04009359" wp14:editId="252175AE">
              <wp:simplePos x="0" y="0"/>
              <wp:positionH relativeFrom="page">
                <wp:align>right</wp:align>
              </wp:positionH>
              <wp:positionV relativeFrom="page">
                <wp:posOffset>9728</wp:posOffset>
              </wp:positionV>
              <wp:extent cx="4441730" cy="607978"/>
              <wp:effectExtent l="0" t="0" r="0" b="1905"/>
              <wp:wrapNone/>
              <wp:docPr id="7" name="MSIPCMd4874885a903e562d240bca3" descr="{&quot;HashCode&quot;:-1487292391,&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4441730" cy="607978"/>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6E218C" w14:textId="77777777" w:rsidR="000917B3" w:rsidRPr="009C4F47" w:rsidRDefault="000917B3" w:rsidP="009C4F47">
                          <w:pPr>
                            <w:spacing w:after="0"/>
                            <w:jc w:val="right"/>
                            <w:rPr>
                              <w:rFonts w:ascii="Calibri" w:hAnsi="Calibri" w:cs="Calibri"/>
                              <w:color w:val="FFFFFF" w:themeColor="background1"/>
                              <w:sz w:val="18"/>
                            </w:rPr>
                          </w:pPr>
                        </w:p>
                        <w:p w14:paraId="1309D154" w14:textId="77777777" w:rsidR="000917B3" w:rsidRPr="009C4F47" w:rsidRDefault="000917B3" w:rsidP="009C4F47">
                          <w:pPr>
                            <w:spacing w:after="0"/>
                            <w:jc w:val="right"/>
                            <w:rPr>
                              <w:rFonts w:ascii="Arial" w:hAnsi="Arial" w:cs="Arial"/>
                              <w:color w:val="FFFFFF" w:themeColor="background1"/>
                              <w:sz w:val="18"/>
                            </w:rPr>
                          </w:pPr>
                          <w:r w:rsidRPr="009C4F47">
                            <w:rPr>
                              <w:rFonts w:ascii="Arial" w:hAnsi="Arial" w:cs="Arial"/>
                              <w:color w:val="FFFFFF" w:themeColor="background1"/>
                              <w:sz w:val="18"/>
                            </w:rPr>
                            <w:t>Demonstrações Contábeis Individuais e Consolidadas – Exercício 2019</w:t>
                          </w:r>
                        </w:p>
                        <w:p w14:paraId="7AB03258" w14:textId="77777777" w:rsidR="000917B3" w:rsidRPr="009C4F47" w:rsidRDefault="000917B3" w:rsidP="009C4F47">
                          <w:pPr>
                            <w:spacing w:after="0"/>
                            <w:jc w:val="right"/>
                            <w:rPr>
                              <w:rFonts w:ascii="Arial" w:hAnsi="Arial" w:cs="Arial"/>
                              <w:color w:val="FFFFFF" w:themeColor="background1"/>
                              <w:sz w:val="18"/>
                            </w:rPr>
                          </w:pPr>
                          <w:r w:rsidRPr="009C4F47">
                            <w:rPr>
                              <w:rFonts w:ascii="Arial" w:hAnsi="Arial" w:cs="Arial"/>
                              <w:color w:val="FFFFFF" w:themeColor="background1"/>
                              <w:sz w:val="18"/>
                            </w:rPr>
                            <w:t>BB Seguridade Participações S.A.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4009359" id="_x0000_t202" coordsize="21600,21600" o:spt="202" path="m,l,21600r21600,l21600,xe">
              <v:stroke joinstyle="miter"/>
              <v:path gradientshapeok="t" o:connecttype="rect"/>
            </v:shapetype>
            <v:shape id="MSIPCMd4874885a903e562d240bca3" o:spid="_x0000_s1032" type="#_x0000_t202" alt="{&quot;HashCode&quot;:-1487292391,&quot;Height&quot;:841.0,&quot;Width&quot;:595.0,&quot;Placement&quot;:&quot;Header&quot;,&quot;Index&quot;:&quot;FirstPage&quot;,&quot;Section&quot;:1,&quot;Top&quot;:0.0,&quot;Left&quot;:0.0}" style="position:absolute;margin-left:298.55pt;margin-top:.75pt;width:349.75pt;height:47.85pt;z-index:25168179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" o:allowincell="f" filled="f" stroked="f" strokeweight=".5pt">
              <v:textbox inset=",0,20pt,0">
                <w:txbxContent>
                  <w:p w14:paraId="636E218C" w14:textId="77777777" w:rsidR="00451A27" w:rsidRPr="009C4F47" w:rsidRDefault="00451A27" w:rsidP="009C4F47">
                    <w:pPr>
                      <w:spacing w:after="0"/>
                      <w:jc w:val="right"/>
                      <w:rPr>
                        <w:rFonts w:ascii="Calibri" w:hAnsi="Calibri" w:cs="Calibri"/>
                        <w:color w:val="FFFFFF" w:themeColor="background1"/>
                        <w:sz w:val="18"/>
                      </w:rPr>
                    </w:pPr>
                  </w:p>
                  <w:p w14:paraId="1309D154" w14:textId="77777777" w:rsidR="00451A27" w:rsidRPr="009C4F47" w:rsidRDefault="00451A27" w:rsidP="009C4F47">
                    <w:pPr>
                      <w:spacing w:after="0"/>
                      <w:jc w:val="right"/>
                      <w:rPr>
                        <w:rFonts w:ascii="Arial" w:hAnsi="Arial" w:cs="Arial"/>
                        <w:color w:val="FFFFFF" w:themeColor="background1"/>
                        <w:sz w:val="18"/>
                      </w:rPr>
                    </w:pPr>
                    <w:r w:rsidRPr="009C4F47">
                      <w:rPr>
                        <w:rFonts w:ascii="Arial" w:hAnsi="Arial" w:cs="Arial"/>
                        <w:color w:val="FFFFFF" w:themeColor="background1"/>
                        <w:sz w:val="18"/>
                      </w:rPr>
                      <w:t>Demonstrações Contábeis Individuais e Consolidadas – Exercício 2019</w:t>
                    </w:r>
                  </w:p>
                  <w:p w14:paraId="7AB03258" w14:textId="77777777" w:rsidR="00451A27" w:rsidRPr="009C4F47" w:rsidRDefault="00451A27" w:rsidP="009C4F47">
                    <w:pPr>
                      <w:spacing w:after="0"/>
                      <w:jc w:val="right"/>
                      <w:rPr>
                        <w:rFonts w:ascii="Arial" w:hAnsi="Arial" w:cs="Arial"/>
                        <w:color w:val="FFFFFF" w:themeColor="background1"/>
                        <w:sz w:val="18"/>
                      </w:rPr>
                    </w:pPr>
                    <w:r w:rsidRPr="009C4F47">
                      <w:rPr>
                        <w:rFonts w:ascii="Arial" w:hAnsi="Arial" w:cs="Arial"/>
                        <w:color w:val="FFFFFF" w:themeColor="background1"/>
                        <w:sz w:val="18"/>
                      </w:rPr>
                      <w:t>BB Seguridade Participações S.A.</w:t>
                    </w:r>
                  </w:p>
                </w:txbxContent>
              </v:textbox>
              <w10:wrap anchorx="page" anchory="page"/>
            </v:shape>
          </w:pict>
        </mc:Fallback>
      </mc:AlternateContent>
    </w:r>
    <w:r w:rsidRPr="005D303B">
      <w:rPr>
        <w:rFonts w:ascii="Arial" w:hAnsi="Arial" w:cs="Arial"/>
        <w:b/>
        <w:noProof/>
        <w:color w:val="1F4E79" w:themeColor="accent1" w:themeShade="80"/>
        <w:sz w:val="18"/>
        <w:szCs w:val="18"/>
        <w:lang w:eastAsia="pt-BR"/>
      </w:rPr>
      <w:drawing>
        <wp:anchor distT="0" distB="0" distL="114300" distR="114300" simplePos="0" relativeHeight="251679744" behindDoc="0" locked="0" layoutInCell="1" allowOverlap="1" wp14:anchorId="0FAC5E78" wp14:editId="62B0D54B">
          <wp:simplePos x="0" y="0"/>
          <wp:positionH relativeFrom="margin">
            <wp:posOffset>-447675</wp:posOffset>
          </wp:positionH>
          <wp:positionV relativeFrom="paragraph">
            <wp:posOffset>-353060</wp:posOffset>
          </wp:positionV>
          <wp:extent cx="1176020" cy="259080"/>
          <wp:effectExtent l="0" t="0" r="5080" b="7620"/>
          <wp:wrapNone/>
          <wp:docPr id="13"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m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6020" cy="259080"/>
                  </a:xfrm>
                  <a:prstGeom prst="rect">
                    <a:avLst/>
                  </a:prstGeom>
                </pic:spPr>
              </pic:pic>
            </a:graphicData>
          </a:graphic>
          <wp14:sizeRelH relativeFrom="margin">
            <wp14:pctWidth>0</wp14:pctWidth>
          </wp14:sizeRelH>
          <wp14:sizeRelV relativeFrom="margin">
            <wp14:pctHeight>0</wp14:pctHeight>
          </wp14:sizeRelV>
        </wp:anchor>
      </w:drawing>
    </w:r>
    <w:r w:rsidRPr="0069353A">
      <w:rPr>
        <w:noProof/>
        <w:sz w:val="20"/>
        <w:szCs w:val="20"/>
        <w:lang w:eastAsia="pt-BR"/>
      </w:rPr>
      <mc:AlternateContent>
        <mc:Choice Requires="wps">
          <w:drawing>
            <wp:anchor distT="0" distB="0" distL="114300" distR="114300" simplePos="0" relativeHeight="251678720" behindDoc="1" locked="0" layoutInCell="1" allowOverlap="1" wp14:anchorId="34F384D3" wp14:editId="7D3B5FAD">
              <wp:simplePos x="0" y="0"/>
              <wp:positionH relativeFrom="page">
                <wp:align>left</wp:align>
              </wp:positionH>
              <wp:positionV relativeFrom="paragraph">
                <wp:posOffset>-542925</wp:posOffset>
              </wp:positionV>
              <wp:extent cx="7553325" cy="657860"/>
              <wp:effectExtent l="0" t="0" r="9525" b="8890"/>
              <wp:wrapThrough wrapText="bothSides">
                <wp:wrapPolygon edited="0">
                  <wp:start x="0" y="0"/>
                  <wp:lineTo x="0" y="21266"/>
                  <wp:lineTo x="21573" y="21266"/>
                  <wp:lineTo x="21573" y="0"/>
                  <wp:lineTo x="0" y="0"/>
                </wp:wrapPolygon>
              </wp:wrapThrough>
              <wp:docPr id="8" name="Retângulo 8"/>
              <wp:cNvGraphicFramePr/>
              <a:graphic xmlns:a="http://schemas.openxmlformats.org/drawingml/2006/main">
                <a:graphicData uri="http://schemas.microsoft.com/office/word/2010/wordprocessingShape">
                  <wps:wsp>
                    <wps:cNvSpPr/>
                    <wps:spPr>
                      <a:xfrm>
                        <a:off x="0" y="0"/>
                        <a:ext cx="7553325" cy="657860"/>
                      </a:xfrm>
                      <a:prstGeom prst="rect">
                        <a:avLst/>
                      </a:prstGeom>
                      <a:solidFill>
                        <a:srgbClr val="0038A8"/>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945F870" id="Retângulo 8" o:spid="_x0000_s1026" style="position:absolute;margin-left:0;margin-top:-42.75pt;width:594.75pt;height:51.8pt;z-index:-2516377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" fillcolor="#0038a8" stroked="f" strokeweight="1pt">
              <w10:wrap type="through" anchorx="page"/>
            </v:rect>
          </w:pict>
        </mc:Fallback>
      </mc:AlternateContent>
    </w:r>
    <w:r w:rsidRPr="005D303B">
      <w:rPr>
        <w:rFonts w:ascii="Arial" w:hAnsi="Arial" w:cs="Arial"/>
        <w:b/>
        <w:noProof/>
        <w:color w:val="1F4E79" w:themeColor="accent1" w:themeShade="80"/>
        <w:sz w:val="18"/>
        <w:szCs w:val="18"/>
        <w:lang w:eastAsia="pt-BR"/>
      </w:rPr>
      <mc:AlternateContent>
        <mc:Choice Requires="wps">
          <w:drawing>
            <wp:anchor distT="0" distB="0" distL="114300" distR="114300" simplePos="0" relativeHeight="251680768" behindDoc="0" locked="0" layoutInCell="1" allowOverlap="1" wp14:anchorId="69D2658F" wp14:editId="478F0693">
              <wp:simplePos x="0" y="0"/>
              <wp:positionH relativeFrom="page">
                <wp:posOffset>0</wp:posOffset>
              </wp:positionH>
              <wp:positionV relativeFrom="paragraph">
                <wp:posOffset>77252</wp:posOffset>
              </wp:positionV>
              <wp:extent cx="9144000" cy="53340"/>
              <wp:effectExtent l="0" t="0" r="0" b="3810"/>
              <wp:wrapNone/>
              <wp:docPr id="9" name="Retângulo 14"/>
              <wp:cNvGraphicFramePr/>
              <a:graphic xmlns:a="http://schemas.openxmlformats.org/drawingml/2006/main">
                <a:graphicData uri="http://schemas.microsoft.com/office/word/2010/wordprocessingShape">
                  <wps:wsp>
                    <wps:cNvSpPr/>
                    <wps:spPr>
                      <a:xfrm>
                        <a:off x="0" y="0"/>
                        <a:ext cx="9144000" cy="53340"/>
                      </a:xfrm>
                      <a:prstGeom prst="rect">
                        <a:avLst/>
                      </a:prstGeom>
                      <a:solidFill>
                        <a:srgbClr val="F5E500"/>
                      </a:solidFill>
                      <a:ln>
                        <a:noFill/>
                      </a:ln>
                    </wps:spPr>
                    <wps:style>
                      <a:lnRef idx="2">
                        <a:schemeClr val="accent6">
                          <a:shade val="50000"/>
                        </a:schemeClr>
                      </a:lnRef>
                      <a:fillRef idx="1">
                        <a:schemeClr val="accent6"/>
                      </a:fillRef>
                      <a:effectRef idx="0">
                        <a:schemeClr val="accent6"/>
                      </a:effectRef>
                      <a:fontRef idx="minor">
                        <a:schemeClr val="lt1"/>
                      </a:fontRef>
                    </wps:style>
                    <wps:bodyPr anchor="ct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ED45FCD" id="Retângulo 14" o:spid="_x0000_s1026" style="position:absolute;margin-left:0;margin-top:6.1pt;width:10in;height:4.2pt;z-index:25168076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" fillcolor="#f5e500"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76BFD"/>
    <w:multiLevelType w:val="hybridMultilevel"/>
    <w:tmpl w:val="4CAA9572"/>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35F7533"/>
    <w:multiLevelType w:val="hybridMultilevel"/>
    <w:tmpl w:val="21E834CA"/>
    <w:lvl w:ilvl="0" w:tplc="206897DA">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06B61C25"/>
    <w:multiLevelType w:val="hybridMultilevel"/>
    <w:tmpl w:val="44026B3A"/>
    <w:lvl w:ilvl="0" w:tplc="F4F63B60">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6C27D12"/>
    <w:multiLevelType w:val="hybridMultilevel"/>
    <w:tmpl w:val="8E5E234A"/>
    <w:lvl w:ilvl="0" w:tplc="528C157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E875E7"/>
    <w:multiLevelType w:val="hybridMultilevel"/>
    <w:tmpl w:val="DED2D768"/>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28D21A2"/>
    <w:multiLevelType w:val="multilevel"/>
    <w:tmpl w:val="FD1E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BE7E32"/>
    <w:multiLevelType w:val="hybridMultilevel"/>
    <w:tmpl w:val="91ACD6DC"/>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41E5734"/>
    <w:multiLevelType w:val="hybridMultilevel"/>
    <w:tmpl w:val="5DF6070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15:restartNumberingAfterBreak="0">
    <w:nsid w:val="284F18E1"/>
    <w:multiLevelType w:val="hybridMultilevel"/>
    <w:tmpl w:val="66FAE1EA"/>
    <w:lvl w:ilvl="0" w:tplc="866C6EAE">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AFE14AF"/>
    <w:multiLevelType w:val="hybridMultilevel"/>
    <w:tmpl w:val="51B4FCAE"/>
    <w:lvl w:ilvl="0" w:tplc="04160001">
      <w:start w:val="1"/>
      <w:numFmt w:val="bullet"/>
      <w:lvlText w:val=""/>
      <w:lvlJc w:val="left"/>
      <w:pPr>
        <w:ind w:left="717" w:hanging="360"/>
      </w:pPr>
      <w:rPr>
        <w:rFonts w:ascii="Symbol" w:hAnsi="Symbol" w:hint="default"/>
      </w:rPr>
    </w:lvl>
    <w:lvl w:ilvl="1" w:tplc="04160003" w:tentative="1">
      <w:start w:val="1"/>
      <w:numFmt w:val="bullet"/>
      <w:lvlText w:val="o"/>
      <w:lvlJc w:val="left"/>
      <w:pPr>
        <w:ind w:left="1437" w:hanging="360"/>
      </w:pPr>
      <w:rPr>
        <w:rFonts w:ascii="Courier New" w:hAnsi="Courier New" w:cs="Courier New" w:hint="default"/>
      </w:rPr>
    </w:lvl>
    <w:lvl w:ilvl="2" w:tplc="04160005" w:tentative="1">
      <w:start w:val="1"/>
      <w:numFmt w:val="bullet"/>
      <w:lvlText w:val=""/>
      <w:lvlJc w:val="left"/>
      <w:pPr>
        <w:ind w:left="2157" w:hanging="360"/>
      </w:pPr>
      <w:rPr>
        <w:rFonts w:ascii="Wingdings" w:hAnsi="Wingdings" w:hint="default"/>
      </w:rPr>
    </w:lvl>
    <w:lvl w:ilvl="3" w:tplc="04160001" w:tentative="1">
      <w:start w:val="1"/>
      <w:numFmt w:val="bullet"/>
      <w:lvlText w:val=""/>
      <w:lvlJc w:val="left"/>
      <w:pPr>
        <w:ind w:left="2877" w:hanging="360"/>
      </w:pPr>
      <w:rPr>
        <w:rFonts w:ascii="Symbol" w:hAnsi="Symbol" w:hint="default"/>
      </w:rPr>
    </w:lvl>
    <w:lvl w:ilvl="4" w:tplc="04160003" w:tentative="1">
      <w:start w:val="1"/>
      <w:numFmt w:val="bullet"/>
      <w:lvlText w:val="o"/>
      <w:lvlJc w:val="left"/>
      <w:pPr>
        <w:ind w:left="3597" w:hanging="360"/>
      </w:pPr>
      <w:rPr>
        <w:rFonts w:ascii="Courier New" w:hAnsi="Courier New" w:cs="Courier New" w:hint="default"/>
      </w:rPr>
    </w:lvl>
    <w:lvl w:ilvl="5" w:tplc="04160005" w:tentative="1">
      <w:start w:val="1"/>
      <w:numFmt w:val="bullet"/>
      <w:lvlText w:val=""/>
      <w:lvlJc w:val="left"/>
      <w:pPr>
        <w:ind w:left="4317" w:hanging="360"/>
      </w:pPr>
      <w:rPr>
        <w:rFonts w:ascii="Wingdings" w:hAnsi="Wingdings" w:hint="default"/>
      </w:rPr>
    </w:lvl>
    <w:lvl w:ilvl="6" w:tplc="04160001" w:tentative="1">
      <w:start w:val="1"/>
      <w:numFmt w:val="bullet"/>
      <w:lvlText w:val=""/>
      <w:lvlJc w:val="left"/>
      <w:pPr>
        <w:ind w:left="5037" w:hanging="360"/>
      </w:pPr>
      <w:rPr>
        <w:rFonts w:ascii="Symbol" w:hAnsi="Symbol" w:hint="default"/>
      </w:rPr>
    </w:lvl>
    <w:lvl w:ilvl="7" w:tplc="04160003" w:tentative="1">
      <w:start w:val="1"/>
      <w:numFmt w:val="bullet"/>
      <w:lvlText w:val="o"/>
      <w:lvlJc w:val="left"/>
      <w:pPr>
        <w:ind w:left="5757" w:hanging="360"/>
      </w:pPr>
      <w:rPr>
        <w:rFonts w:ascii="Courier New" w:hAnsi="Courier New" w:cs="Courier New" w:hint="default"/>
      </w:rPr>
    </w:lvl>
    <w:lvl w:ilvl="8" w:tplc="04160005" w:tentative="1">
      <w:start w:val="1"/>
      <w:numFmt w:val="bullet"/>
      <w:lvlText w:val=""/>
      <w:lvlJc w:val="left"/>
      <w:pPr>
        <w:ind w:left="6477" w:hanging="360"/>
      </w:pPr>
      <w:rPr>
        <w:rFonts w:ascii="Wingdings" w:hAnsi="Wingdings" w:hint="default"/>
      </w:rPr>
    </w:lvl>
  </w:abstractNum>
  <w:abstractNum w:abstractNumId="11" w15:restartNumberingAfterBreak="0">
    <w:nsid w:val="2B61526A"/>
    <w:multiLevelType w:val="hybridMultilevel"/>
    <w:tmpl w:val="F47AAAE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3A2672E7"/>
    <w:multiLevelType w:val="hybridMultilevel"/>
    <w:tmpl w:val="96FE0F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4BD52BF"/>
    <w:multiLevelType w:val="hybridMultilevel"/>
    <w:tmpl w:val="E4FC43E6"/>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BC45EE7"/>
    <w:multiLevelType w:val="hybridMultilevel"/>
    <w:tmpl w:val="DDC68AB4"/>
    <w:lvl w:ilvl="0" w:tplc="B0EE086E">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E513421"/>
    <w:multiLevelType w:val="hybridMultilevel"/>
    <w:tmpl w:val="4578738E"/>
    <w:lvl w:ilvl="0" w:tplc="04160001">
      <w:start w:val="1"/>
      <w:numFmt w:val="bullet"/>
      <w:lvlText w:val=""/>
      <w:lvlJc w:val="left"/>
      <w:pPr>
        <w:ind w:left="766" w:hanging="360"/>
      </w:pPr>
      <w:rPr>
        <w:rFonts w:ascii="Symbol" w:hAnsi="Symbol" w:hint="default"/>
      </w:rPr>
    </w:lvl>
    <w:lvl w:ilvl="1" w:tplc="04160003" w:tentative="1">
      <w:start w:val="1"/>
      <w:numFmt w:val="bullet"/>
      <w:lvlText w:val="o"/>
      <w:lvlJc w:val="left"/>
      <w:pPr>
        <w:ind w:left="1486" w:hanging="360"/>
      </w:pPr>
      <w:rPr>
        <w:rFonts w:ascii="Courier New" w:hAnsi="Courier New" w:cs="Courier New" w:hint="default"/>
      </w:rPr>
    </w:lvl>
    <w:lvl w:ilvl="2" w:tplc="04160005" w:tentative="1">
      <w:start w:val="1"/>
      <w:numFmt w:val="bullet"/>
      <w:lvlText w:val=""/>
      <w:lvlJc w:val="left"/>
      <w:pPr>
        <w:ind w:left="2206" w:hanging="360"/>
      </w:pPr>
      <w:rPr>
        <w:rFonts w:ascii="Wingdings" w:hAnsi="Wingdings" w:hint="default"/>
      </w:rPr>
    </w:lvl>
    <w:lvl w:ilvl="3" w:tplc="04160001" w:tentative="1">
      <w:start w:val="1"/>
      <w:numFmt w:val="bullet"/>
      <w:lvlText w:val=""/>
      <w:lvlJc w:val="left"/>
      <w:pPr>
        <w:ind w:left="2926" w:hanging="360"/>
      </w:pPr>
      <w:rPr>
        <w:rFonts w:ascii="Symbol" w:hAnsi="Symbol" w:hint="default"/>
      </w:rPr>
    </w:lvl>
    <w:lvl w:ilvl="4" w:tplc="04160003" w:tentative="1">
      <w:start w:val="1"/>
      <w:numFmt w:val="bullet"/>
      <w:lvlText w:val="o"/>
      <w:lvlJc w:val="left"/>
      <w:pPr>
        <w:ind w:left="3646" w:hanging="360"/>
      </w:pPr>
      <w:rPr>
        <w:rFonts w:ascii="Courier New" w:hAnsi="Courier New" w:cs="Courier New" w:hint="default"/>
      </w:rPr>
    </w:lvl>
    <w:lvl w:ilvl="5" w:tplc="04160005" w:tentative="1">
      <w:start w:val="1"/>
      <w:numFmt w:val="bullet"/>
      <w:lvlText w:val=""/>
      <w:lvlJc w:val="left"/>
      <w:pPr>
        <w:ind w:left="4366" w:hanging="360"/>
      </w:pPr>
      <w:rPr>
        <w:rFonts w:ascii="Wingdings" w:hAnsi="Wingdings" w:hint="default"/>
      </w:rPr>
    </w:lvl>
    <w:lvl w:ilvl="6" w:tplc="04160001" w:tentative="1">
      <w:start w:val="1"/>
      <w:numFmt w:val="bullet"/>
      <w:lvlText w:val=""/>
      <w:lvlJc w:val="left"/>
      <w:pPr>
        <w:ind w:left="5086" w:hanging="360"/>
      </w:pPr>
      <w:rPr>
        <w:rFonts w:ascii="Symbol" w:hAnsi="Symbol" w:hint="default"/>
      </w:rPr>
    </w:lvl>
    <w:lvl w:ilvl="7" w:tplc="04160003" w:tentative="1">
      <w:start w:val="1"/>
      <w:numFmt w:val="bullet"/>
      <w:lvlText w:val="o"/>
      <w:lvlJc w:val="left"/>
      <w:pPr>
        <w:ind w:left="5806" w:hanging="360"/>
      </w:pPr>
      <w:rPr>
        <w:rFonts w:ascii="Courier New" w:hAnsi="Courier New" w:cs="Courier New" w:hint="default"/>
      </w:rPr>
    </w:lvl>
    <w:lvl w:ilvl="8" w:tplc="04160005" w:tentative="1">
      <w:start w:val="1"/>
      <w:numFmt w:val="bullet"/>
      <w:lvlText w:val=""/>
      <w:lvlJc w:val="left"/>
      <w:pPr>
        <w:ind w:left="6526" w:hanging="360"/>
      </w:pPr>
      <w:rPr>
        <w:rFonts w:ascii="Wingdings" w:hAnsi="Wingdings" w:hint="default"/>
      </w:rPr>
    </w:lvl>
  </w:abstractNum>
  <w:abstractNum w:abstractNumId="16" w15:restartNumberingAfterBreak="0">
    <w:nsid w:val="50395186"/>
    <w:multiLevelType w:val="hybridMultilevel"/>
    <w:tmpl w:val="460EF6C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7" w15:restartNumberingAfterBreak="0">
    <w:nsid w:val="56FC4CBD"/>
    <w:multiLevelType w:val="hybridMultilevel"/>
    <w:tmpl w:val="63924756"/>
    <w:lvl w:ilvl="0" w:tplc="243A4EF0">
      <w:start w:val="1"/>
      <w:numFmt w:val="bullet"/>
      <w:pStyle w:val="10-Lista2"/>
      <w:lvlText w:val=""/>
      <w:lvlJc w:val="left"/>
      <w:pPr>
        <w:ind w:left="1004" w:hanging="360"/>
      </w:pPr>
      <w:rPr>
        <w:rFonts w:ascii="Wingdings" w:hAnsi="Wingdings" w:hint="default"/>
      </w:rPr>
    </w:lvl>
    <w:lvl w:ilvl="1" w:tplc="A06CEBCC" w:tentative="1">
      <w:start w:val="1"/>
      <w:numFmt w:val="bullet"/>
      <w:lvlText w:val="o"/>
      <w:lvlJc w:val="left"/>
      <w:pPr>
        <w:ind w:left="1724" w:hanging="360"/>
      </w:pPr>
      <w:rPr>
        <w:rFonts w:ascii="Courier New" w:hAnsi="Courier New" w:cs="Courier New" w:hint="default"/>
      </w:rPr>
    </w:lvl>
    <w:lvl w:ilvl="2" w:tplc="82FC9CBA" w:tentative="1">
      <w:start w:val="1"/>
      <w:numFmt w:val="bullet"/>
      <w:lvlText w:val=""/>
      <w:lvlJc w:val="left"/>
      <w:pPr>
        <w:ind w:left="2444" w:hanging="360"/>
      </w:pPr>
      <w:rPr>
        <w:rFonts w:ascii="Wingdings" w:hAnsi="Wingdings" w:hint="default"/>
      </w:rPr>
    </w:lvl>
    <w:lvl w:ilvl="3" w:tplc="036CA270" w:tentative="1">
      <w:start w:val="1"/>
      <w:numFmt w:val="bullet"/>
      <w:lvlText w:val=""/>
      <w:lvlJc w:val="left"/>
      <w:pPr>
        <w:ind w:left="3164" w:hanging="360"/>
      </w:pPr>
      <w:rPr>
        <w:rFonts w:ascii="Symbol" w:hAnsi="Symbol" w:hint="default"/>
      </w:rPr>
    </w:lvl>
    <w:lvl w:ilvl="4" w:tplc="44807950" w:tentative="1">
      <w:start w:val="1"/>
      <w:numFmt w:val="bullet"/>
      <w:lvlText w:val="o"/>
      <w:lvlJc w:val="left"/>
      <w:pPr>
        <w:ind w:left="3884" w:hanging="360"/>
      </w:pPr>
      <w:rPr>
        <w:rFonts w:ascii="Courier New" w:hAnsi="Courier New" w:cs="Courier New" w:hint="default"/>
      </w:rPr>
    </w:lvl>
    <w:lvl w:ilvl="5" w:tplc="568EE992" w:tentative="1">
      <w:start w:val="1"/>
      <w:numFmt w:val="bullet"/>
      <w:lvlText w:val=""/>
      <w:lvlJc w:val="left"/>
      <w:pPr>
        <w:ind w:left="4604" w:hanging="360"/>
      </w:pPr>
      <w:rPr>
        <w:rFonts w:ascii="Wingdings" w:hAnsi="Wingdings" w:hint="default"/>
      </w:rPr>
    </w:lvl>
    <w:lvl w:ilvl="6" w:tplc="4BA2E17E" w:tentative="1">
      <w:start w:val="1"/>
      <w:numFmt w:val="bullet"/>
      <w:lvlText w:val=""/>
      <w:lvlJc w:val="left"/>
      <w:pPr>
        <w:ind w:left="5324" w:hanging="360"/>
      </w:pPr>
      <w:rPr>
        <w:rFonts w:ascii="Symbol" w:hAnsi="Symbol" w:hint="default"/>
      </w:rPr>
    </w:lvl>
    <w:lvl w:ilvl="7" w:tplc="41407EDC" w:tentative="1">
      <w:start w:val="1"/>
      <w:numFmt w:val="bullet"/>
      <w:lvlText w:val="o"/>
      <w:lvlJc w:val="left"/>
      <w:pPr>
        <w:ind w:left="6044" w:hanging="360"/>
      </w:pPr>
      <w:rPr>
        <w:rFonts w:ascii="Courier New" w:hAnsi="Courier New" w:cs="Courier New" w:hint="default"/>
      </w:rPr>
    </w:lvl>
    <w:lvl w:ilvl="8" w:tplc="5574ADAA" w:tentative="1">
      <w:start w:val="1"/>
      <w:numFmt w:val="bullet"/>
      <w:lvlText w:val=""/>
      <w:lvlJc w:val="left"/>
      <w:pPr>
        <w:ind w:left="6764" w:hanging="360"/>
      </w:pPr>
      <w:rPr>
        <w:rFonts w:ascii="Wingdings" w:hAnsi="Wingdings" w:hint="default"/>
      </w:rPr>
    </w:lvl>
  </w:abstractNum>
  <w:abstractNum w:abstractNumId="18" w15:restartNumberingAfterBreak="0">
    <w:nsid w:val="60D8161B"/>
    <w:multiLevelType w:val="hybridMultilevel"/>
    <w:tmpl w:val="C30047CE"/>
    <w:lvl w:ilvl="0" w:tplc="909C471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20" w15:restartNumberingAfterBreak="0">
    <w:nsid w:val="630A34C1"/>
    <w:multiLevelType w:val="hybridMultilevel"/>
    <w:tmpl w:val="A7281760"/>
    <w:lvl w:ilvl="0" w:tplc="2D8A869C">
      <w:start w:val="1"/>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52635CC"/>
    <w:multiLevelType w:val="hybridMultilevel"/>
    <w:tmpl w:val="470875DC"/>
    <w:lvl w:ilvl="0" w:tplc="F386F920">
      <w:start w:val="1"/>
      <w:numFmt w:val="decimal"/>
      <w:lvlText w:val="%1 -"/>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7A502DA"/>
    <w:multiLevelType w:val="hybridMultilevel"/>
    <w:tmpl w:val="D12C011C"/>
    <w:lvl w:ilvl="0" w:tplc="C9C05A4E">
      <w:start w:val="1"/>
      <w:numFmt w:val="lowerLetter"/>
      <w:lvlText w:val="%1)"/>
      <w:lvlJc w:val="left"/>
      <w:pPr>
        <w:ind w:left="360" w:hanging="360"/>
      </w:pPr>
      <w:rPr>
        <w:rFonts w:hint="default"/>
        <w:b/>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3" w15:restartNumberingAfterBreak="0">
    <w:nsid w:val="69F77D1D"/>
    <w:multiLevelType w:val="hybridMultilevel"/>
    <w:tmpl w:val="7F0C89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F39303A"/>
    <w:multiLevelType w:val="hybridMultilevel"/>
    <w:tmpl w:val="B27AA88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70C21F00"/>
    <w:multiLevelType w:val="hybridMultilevel"/>
    <w:tmpl w:val="D1460874"/>
    <w:lvl w:ilvl="0" w:tplc="0416001B">
      <w:start w:val="1"/>
      <w:numFmt w:val="low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11619F4"/>
    <w:multiLevelType w:val="hybridMultilevel"/>
    <w:tmpl w:val="BADE828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7" w15:restartNumberingAfterBreak="0">
    <w:nsid w:val="72A45E8B"/>
    <w:multiLevelType w:val="hybridMultilevel"/>
    <w:tmpl w:val="2B0CB9F4"/>
    <w:lvl w:ilvl="0" w:tplc="04160001">
      <w:start w:val="1"/>
      <w:numFmt w:val="bullet"/>
      <w:lvlText w:val=""/>
      <w:lvlJc w:val="left"/>
      <w:pPr>
        <w:ind w:left="720" w:hanging="360"/>
      </w:pPr>
      <w:rPr>
        <w:rFonts w:ascii="Symbol"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3AF4C5F"/>
    <w:multiLevelType w:val="hybridMultilevel"/>
    <w:tmpl w:val="3C1201D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9" w15:restartNumberingAfterBreak="0">
    <w:nsid w:val="7CDC5FE9"/>
    <w:multiLevelType w:val="hybridMultilevel"/>
    <w:tmpl w:val="2D3A5DC6"/>
    <w:lvl w:ilvl="0" w:tplc="43B0147C">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9"/>
  </w:num>
  <w:num w:numId="2">
    <w:abstractNumId w:val="1"/>
  </w:num>
  <w:num w:numId="3">
    <w:abstractNumId w:val="4"/>
  </w:num>
  <w:num w:numId="4">
    <w:abstractNumId w:val="19"/>
  </w:num>
  <w:num w:numId="5">
    <w:abstractNumId w:val="17"/>
  </w:num>
  <w:num w:numId="6">
    <w:abstractNumId w:val="13"/>
  </w:num>
  <w:num w:numId="7">
    <w:abstractNumId w:val="2"/>
  </w:num>
  <w:num w:numId="8">
    <w:abstractNumId w:val="14"/>
  </w:num>
  <w:num w:numId="9">
    <w:abstractNumId w:val="5"/>
  </w:num>
  <w:num w:numId="10">
    <w:abstractNumId w:val="27"/>
  </w:num>
  <w:num w:numId="11">
    <w:abstractNumId w:val="7"/>
  </w:num>
  <w:num w:numId="12">
    <w:abstractNumId w:val="26"/>
  </w:num>
  <w:num w:numId="13">
    <w:abstractNumId w:val="24"/>
  </w:num>
  <w:num w:numId="14">
    <w:abstractNumId w:val="6"/>
  </w:num>
  <w:num w:numId="15">
    <w:abstractNumId w:val="22"/>
  </w:num>
  <w:num w:numId="16">
    <w:abstractNumId w:val="23"/>
  </w:num>
  <w:num w:numId="17">
    <w:abstractNumId w:val="12"/>
  </w:num>
  <w:num w:numId="18">
    <w:abstractNumId w:val="10"/>
  </w:num>
  <w:num w:numId="19">
    <w:abstractNumId w:val="15"/>
  </w:num>
  <w:num w:numId="20">
    <w:abstractNumId w:val="28"/>
  </w:num>
  <w:num w:numId="21">
    <w:abstractNumId w:val="29"/>
  </w:num>
  <w:num w:numId="22">
    <w:abstractNumId w:val="21"/>
  </w:num>
  <w:num w:numId="23">
    <w:abstractNumId w:val="3"/>
  </w:num>
  <w:num w:numId="24">
    <w:abstractNumId w:val="18"/>
  </w:num>
  <w:num w:numId="25">
    <w:abstractNumId w:val="25"/>
  </w:num>
  <w:num w:numId="26">
    <w:abstractNumId w:val="20"/>
  </w:num>
  <w:num w:numId="27">
    <w:abstractNumId w:val="11"/>
  </w:num>
  <w:num w:numId="28">
    <w:abstractNumId w:val="12"/>
  </w:num>
  <w:num w:numId="29">
    <w:abstractNumId w:val="16"/>
  </w:num>
  <w:num w:numId="30">
    <w:abstractNumId w:val="8"/>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drawingGridHorizontalSpacing w:val="100"/>
  <w:displayHorizontalDrawingGridEvery w:val="2"/>
  <w:displayVertic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B26"/>
    <w:rsid w:val="000056E5"/>
    <w:rsid w:val="00013BA9"/>
    <w:rsid w:val="000172F7"/>
    <w:rsid w:val="00020DAC"/>
    <w:rsid w:val="00022204"/>
    <w:rsid w:val="0002439D"/>
    <w:rsid w:val="000244FC"/>
    <w:rsid w:val="00052F5B"/>
    <w:rsid w:val="00073065"/>
    <w:rsid w:val="000818F3"/>
    <w:rsid w:val="00085DCC"/>
    <w:rsid w:val="0009000D"/>
    <w:rsid w:val="000917B3"/>
    <w:rsid w:val="000A3C30"/>
    <w:rsid w:val="000A4A49"/>
    <w:rsid w:val="000B723E"/>
    <w:rsid w:val="000C3EE6"/>
    <w:rsid w:val="000C4FA0"/>
    <w:rsid w:val="000C5506"/>
    <w:rsid w:val="000E0615"/>
    <w:rsid w:val="000E615C"/>
    <w:rsid w:val="000F00C6"/>
    <w:rsid w:val="000F1DE7"/>
    <w:rsid w:val="000F4E58"/>
    <w:rsid w:val="00123462"/>
    <w:rsid w:val="00125B56"/>
    <w:rsid w:val="00133430"/>
    <w:rsid w:val="00147488"/>
    <w:rsid w:val="00161412"/>
    <w:rsid w:val="001649ED"/>
    <w:rsid w:val="00164E68"/>
    <w:rsid w:val="0017410B"/>
    <w:rsid w:val="0017528A"/>
    <w:rsid w:val="00176B0F"/>
    <w:rsid w:val="001944DE"/>
    <w:rsid w:val="001968B0"/>
    <w:rsid w:val="001B52C3"/>
    <w:rsid w:val="001B7253"/>
    <w:rsid w:val="001B7666"/>
    <w:rsid w:val="001D5908"/>
    <w:rsid w:val="001D6BE8"/>
    <w:rsid w:val="001E33EE"/>
    <w:rsid w:val="001E4AA7"/>
    <w:rsid w:val="001E71C4"/>
    <w:rsid w:val="001F1893"/>
    <w:rsid w:val="0021442D"/>
    <w:rsid w:val="00222220"/>
    <w:rsid w:val="0024202B"/>
    <w:rsid w:val="00253A36"/>
    <w:rsid w:val="00273D83"/>
    <w:rsid w:val="00276E10"/>
    <w:rsid w:val="002826B2"/>
    <w:rsid w:val="00284C59"/>
    <w:rsid w:val="002970D5"/>
    <w:rsid w:val="002A077F"/>
    <w:rsid w:val="002A101E"/>
    <w:rsid w:val="002B4E9D"/>
    <w:rsid w:val="002C0239"/>
    <w:rsid w:val="002C12AD"/>
    <w:rsid w:val="002C2740"/>
    <w:rsid w:val="002C2E05"/>
    <w:rsid w:val="002C2F01"/>
    <w:rsid w:val="002C4409"/>
    <w:rsid w:val="002C6570"/>
    <w:rsid w:val="002C78DB"/>
    <w:rsid w:val="002C7991"/>
    <w:rsid w:val="002D4F9C"/>
    <w:rsid w:val="002E067B"/>
    <w:rsid w:val="002F0327"/>
    <w:rsid w:val="002F1840"/>
    <w:rsid w:val="002F6CF8"/>
    <w:rsid w:val="00313591"/>
    <w:rsid w:val="003219EA"/>
    <w:rsid w:val="003220F0"/>
    <w:rsid w:val="00323DE1"/>
    <w:rsid w:val="00330B31"/>
    <w:rsid w:val="00344B07"/>
    <w:rsid w:val="0035585D"/>
    <w:rsid w:val="00364519"/>
    <w:rsid w:val="00371CC5"/>
    <w:rsid w:val="0038031F"/>
    <w:rsid w:val="00381C30"/>
    <w:rsid w:val="003829FE"/>
    <w:rsid w:val="00382B8B"/>
    <w:rsid w:val="00383B19"/>
    <w:rsid w:val="00384E2A"/>
    <w:rsid w:val="003932C4"/>
    <w:rsid w:val="00393631"/>
    <w:rsid w:val="00394EC4"/>
    <w:rsid w:val="00395FBC"/>
    <w:rsid w:val="00396107"/>
    <w:rsid w:val="00397AF8"/>
    <w:rsid w:val="003A1011"/>
    <w:rsid w:val="003A2E62"/>
    <w:rsid w:val="003B01A1"/>
    <w:rsid w:val="003B21BB"/>
    <w:rsid w:val="003B6DF9"/>
    <w:rsid w:val="003C3BCB"/>
    <w:rsid w:val="003D4BBF"/>
    <w:rsid w:val="003D7E20"/>
    <w:rsid w:val="003F5ADE"/>
    <w:rsid w:val="0040040C"/>
    <w:rsid w:val="004037CC"/>
    <w:rsid w:val="004160E5"/>
    <w:rsid w:val="00420CF7"/>
    <w:rsid w:val="00427968"/>
    <w:rsid w:val="0043564B"/>
    <w:rsid w:val="0043704C"/>
    <w:rsid w:val="00441B6A"/>
    <w:rsid w:val="00444D58"/>
    <w:rsid w:val="004504FE"/>
    <w:rsid w:val="00451A27"/>
    <w:rsid w:val="00455150"/>
    <w:rsid w:val="00456527"/>
    <w:rsid w:val="00462F97"/>
    <w:rsid w:val="004703A7"/>
    <w:rsid w:val="004707AB"/>
    <w:rsid w:val="00476412"/>
    <w:rsid w:val="00485DDD"/>
    <w:rsid w:val="004861CE"/>
    <w:rsid w:val="0049004B"/>
    <w:rsid w:val="00492F75"/>
    <w:rsid w:val="00495830"/>
    <w:rsid w:val="004959FD"/>
    <w:rsid w:val="004A04EA"/>
    <w:rsid w:val="004A0D67"/>
    <w:rsid w:val="004A5C7A"/>
    <w:rsid w:val="004B0F99"/>
    <w:rsid w:val="004B1CF4"/>
    <w:rsid w:val="004B779F"/>
    <w:rsid w:val="004C6944"/>
    <w:rsid w:val="004D09E1"/>
    <w:rsid w:val="004D4569"/>
    <w:rsid w:val="004D6DAC"/>
    <w:rsid w:val="004E0F95"/>
    <w:rsid w:val="004E2FE8"/>
    <w:rsid w:val="005029A2"/>
    <w:rsid w:val="00505000"/>
    <w:rsid w:val="00505BF8"/>
    <w:rsid w:val="00506B7A"/>
    <w:rsid w:val="005131C9"/>
    <w:rsid w:val="005240E4"/>
    <w:rsid w:val="0053150A"/>
    <w:rsid w:val="00542F97"/>
    <w:rsid w:val="00543180"/>
    <w:rsid w:val="005507F9"/>
    <w:rsid w:val="005666E8"/>
    <w:rsid w:val="00581444"/>
    <w:rsid w:val="00583DE8"/>
    <w:rsid w:val="00592348"/>
    <w:rsid w:val="00595CE6"/>
    <w:rsid w:val="00596752"/>
    <w:rsid w:val="005A3E08"/>
    <w:rsid w:val="005A457A"/>
    <w:rsid w:val="005A4829"/>
    <w:rsid w:val="005A4DC5"/>
    <w:rsid w:val="005B06C1"/>
    <w:rsid w:val="005B2A55"/>
    <w:rsid w:val="005D0575"/>
    <w:rsid w:val="005D303B"/>
    <w:rsid w:val="00601B2F"/>
    <w:rsid w:val="00605543"/>
    <w:rsid w:val="006141F1"/>
    <w:rsid w:val="00622037"/>
    <w:rsid w:val="0063302F"/>
    <w:rsid w:val="00644F22"/>
    <w:rsid w:val="0066080B"/>
    <w:rsid w:val="00674500"/>
    <w:rsid w:val="00674FE5"/>
    <w:rsid w:val="0068338E"/>
    <w:rsid w:val="0068396B"/>
    <w:rsid w:val="00690287"/>
    <w:rsid w:val="006924EB"/>
    <w:rsid w:val="00692A9B"/>
    <w:rsid w:val="006B1F70"/>
    <w:rsid w:val="006B2FF0"/>
    <w:rsid w:val="006C4101"/>
    <w:rsid w:val="006E6400"/>
    <w:rsid w:val="006F1358"/>
    <w:rsid w:val="006F4C4F"/>
    <w:rsid w:val="0071344D"/>
    <w:rsid w:val="00724FCF"/>
    <w:rsid w:val="00735DB4"/>
    <w:rsid w:val="007378FC"/>
    <w:rsid w:val="00737A9F"/>
    <w:rsid w:val="00737BAD"/>
    <w:rsid w:val="007444F1"/>
    <w:rsid w:val="0074664D"/>
    <w:rsid w:val="007549BC"/>
    <w:rsid w:val="0076500F"/>
    <w:rsid w:val="00765271"/>
    <w:rsid w:val="007718A0"/>
    <w:rsid w:val="007A0C76"/>
    <w:rsid w:val="007B0BB2"/>
    <w:rsid w:val="007B217A"/>
    <w:rsid w:val="007B770B"/>
    <w:rsid w:val="007C1B2E"/>
    <w:rsid w:val="007D699C"/>
    <w:rsid w:val="007E158C"/>
    <w:rsid w:val="007E64B5"/>
    <w:rsid w:val="007F3E2D"/>
    <w:rsid w:val="008110F9"/>
    <w:rsid w:val="00812270"/>
    <w:rsid w:val="00822B38"/>
    <w:rsid w:val="00831E65"/>
    <w:rsid w:val="008330E6"/>
    <w:rsid w:val="00835844"/>
    <w:rsid w:val="0083617A"/>
    <w:rsid w:val="00844909"/>
    <w:rsid w:val="00844EDD"/>
    <w:rsid w:val="00862ACC"/>
    <w:rsid w:val="00870B1D"/>
    <w:rsid w:val="00873986"/>
    <w:rsid w:val="00875B73"/>
    <w:rsid w:val="00876F8F"/>
    <w:rsid w:val="00877B0E"/>
    <w:rsid w:val="00881997"/>
    <w:rsid w:val="0089001E"/>
    <w:rsid w:val="008915A2"/>
    <w:rsid w:val="008916DA"/>
    <w:rsid w:val="008B21A4"/>
    <w:rsid w:val="008B50E2"/>
    <w:rsid w:val="008C3196"/>
    <w:rsid w:val="008C5A10"/>
    <w:rsid w:val="008E1721"/>
    <w:rsid w:val="008E2FB8"/>
    <w:rsid w:val="008F3FE9"/>
    <w:rsid w:val="008F4BE3"/>
    <w:rsid w:val="008F50B7"/>
    <w:rsid w:val="008F62D4"/>
    <w:rsid w:val="0090159D"/>
    <w:rsid w:val="009208AB"/>
    <w:rsid w:val="009246D7"/>
    <w:rsid w:val="00935C27"/>
    <w:rsid w:val="00935F08"/>
    <w:rsid w:val="00943B34"/>
    <w:rsid w:val="009465C8"/>
    <w:rsid w:val="0094735F"/>
    <w:rsid w:val="00951754"/>
    <w:rsid w:val="00960D19"/>
    <w:rsid w:val="009624B1"/>
    <w:rsid w:val="00972AD1"/>
    <w:rsid w:val="009747A6"/>
    <w:rsid w:val="00975CCA"/>
    <w:rsid w:val="00982EFE"/>
    <w:rsid w:val="009839EC"/>
    <w:rsid w:val="0098509F"/>
    <w:rsid w:val="00993A30"/>
    <w:rsid w:val="00996190"/>
    <w:rsid w:val="00996AD9"/>
    <w:rsid w:val="009B6438"/>
    <w:rsid w:val="009B7402"/>
    <w:rsid w:val="009C4F47"/>
    <w:rsid w:val="009C73C9"/>
    <w:rsid w:val="009E060D"/>
    <w:rsid w:val="009F5768"/>
    <w:rsid w:val="00A013E7"/>
    <w:rsid w:val="00A02E8E"/>
    <w:rsid w:val="00A03EC3"/>
    <w:rsid w:val="00A0797B"/>
    <w:rsid w:val="00A1474D"/>
    <w:rsid w:val="00A24057"/>
    <w:rsid w:val="00A27081"/>
    <w:rsid w:val="00A31035"/>
    <w:rsid w:val="00A35706"/>
    <w:rsid w:val="00A36FD0"/>
    <w:rsid w:val="00A371E3"/>
    <w:rsid w:val="00A4536B"/>
    <w:rsid w:val="00A51EB9"/>
    <w:rsid w:val="00A53DC3"/>
    <w:rsid w:val="00A554D5"/>
    <w:rsid w:val="00A55B3B"/>
    <w:rsid w:val="00A56D8E"/>
    <w:rsid w:val="00A64FD4"/>
    <w:rsid w:val="00A91516"/>
    <w:rsid w:val="00A9187A"/>
    <w:rsid w:val="00A959C3"/>
    <w:rsid w:val="00A9643C"/>
    <w:rsid w:val="00A9668D"/>
    <w:rsid w:val="00AB0214"/>
    <w:rsid w:val="00AB472C"/>
    <w:rsid w:val="00AB7742"/>
    <w:rsid w:val="00AC552A"/>
    <w:rsid w:val="00AC5AD8"/>
    <w:rsid w:val="00AD19D4"/>
    <w:rsid w:val="00AE3ACF"/>
    <w:rsid w:val="00AF342F"/>
    <w:rsid w:val="00AF5003"/>
    <w:rsid w:val="00B025F5"/>
    <w:rsid w:val="00B13B57"/>
    <w:rsid w:val="00B158EE"/>
    <w:rsid w:val="00B223AA"/>
    <w:rsid w:val="00B26F72"/>
    <w:rsid w:val="00B354FC"/>
    <w:rsid w:val="00B3753E"/>
    <w:rsid w:val="00B72120"/>
    <w:rsid w:val="00B7790C"/>
    <w:rsid w:val="00B85392"/>
    <w:rsid w:val="00B95C4E"/>
    <w:rsid w:val="00BA3D4E"/>
    <w:rsid w:val="00BA5AEF"/>
    <w:rsid w:val="00BA653A"/>
    <w:rsid w:val="00BB0833"/>
    <w:rsid w:val="00BB1B28"/>
    <w:rsid w:val="00BC02C4"/>
    <w:rsid w:val="00BC33B5"/>
    <w:rsid w:val="00BC52C1"/>
    <w:rsid w:val="00BD1626"/>
    <w:rsid w:val="00BE257D"/>
    <w:rsid w:val="00BF779B"/>
    <w:rsid w:val="00BF7FC3"/>
    <w:rsid w:val="00C1337B"/>
    <w:rsid w:val="00C159CF"/>
    <w:rsid w:val="00C256BE"/>
    <w:rsid w:val="00C31BF6"/>
    <w:rsid w:val="00C33285"/>
    <w:rsid w:val="00C33A54"/>
    <w:rsid w:val="00C55966"/>
    <w:rsid w:val="00C61D1F"/>
    <w:rsid w:val="00C6269B"/>
    <w:rsid w:val="00C646C5"/>
    <w:rsid w:val="00C76607"/>
    <w:rsid w:val="00C806B0"/>
    <w:rsid w:val="00C9513B"/>
    <w:rsid w:val="00C976B1"/>
    <w:rsid w:val="00CA160D"/>
    <w:rsid w:val="00CA4BC4"/>
    <w:rsid w:val="00CB06D1"/>
    <w:rsid w:val="00CB2379"/>
    <w:rsid w:val="00CB6CDE"/>
    <w:rsid w:val="00CB72A7"/>
    <w:rsid w:val="00CC22E5"/>
    <w:rsid w:val="00CD0AC0"/>
    <w:rsid w:val="00CD3714"/>
    <w:rsid w:val="00CD4886"/>
    <w:rsid w:val="00CE29F7"/>
    <w:rsid w:val="00CE350D"/>
    <w:rsid w:val="00CF3B11"/>
    <w:rsid w:val="00D02FA7"/>
    <w:rsid w:val="00D107C7"/>
    <w:rsid w:val="00D11396"/>
    <w:rsid w:val="00D13EBE"/>
    <w:rsid w:val="00D178E3"/>
    <w:rsid w:val="00D41BBD"/>
    <w:rsid w:val="00D53F9E"/>
    <w:rsid w:val="00D63A91"/>
    <w:rsid w:val="00D6427A"/>
    <w:rsid w:val="00D7056E"/>
    <w:rsid w:val="00D74FEC"/>
    <w:rsid w:val="00D75845"/>
    <w:rsid w:val="00D818D4"/>
    <w:rsid w:val="00D829C3"/>
    <w:rsid w:val="00D86C33"/>
    <w:rsid w:val="00D94F55"/>
    <w:rsid w:val="00D97073"/>
    <w:rsid w:val="00DB14FA"/>
    <w:rsid w:val="00DB23AA"/>
    <w:rsid w:val="00DB2B9B"/>
    <w:rsid w:val="00DB3592"/>
    <w:rsid w:val="00DC1D20"/>
    <w:rsid w:val="00DD308B"/>
    <w:rsid w:val="00DD3DF1"/>
    <w:rsid w:val="00DD5035"/>
    <w:rsid w:val="00DD75BB"/>
    <w:rsid w:val="00DE7760"/>
    <w:rsid w:val="00DF1B28"/>
    <w:rsid w:val="00E10F48"/>
    <w:rsid w:val="00E12AA0"/>
    <w:rsid w:val="00E16BE7"/>
    <w:rsid w:val="00E30347"/>
    <w:rsid w:val="00E336CD"/>
    <w:rsid w:val="00E47720"/>
    <w:rsid w:val="00E55CF8"/>
    <w:rsid w:val="00E72AC0"/>
    <w:rsid w:val="00E742C7"/>
    <w:rsid w:val="00E77132"/>
    <w:rsid w:val="00E82B32"/>
    <w:rsid w:val="00E84D83"/>
    <w:rsid w:val="00E92344"/>
    <w:rsid w:val="00EA26AE"/>
    <w:rsid w:val="00EB4D38"/>
    <w:rsid w:val="00EC4F89"/>
    <w:rsid w:val="00EC508F"/>
    <w:rsid w:val="00EC738B"/>
    <w:rsid w:val="00EF4463"/>
    <w:rsid w:val="00F07C50"/>
    <w:rsid w:val="00F10B26"/>
    <w:rsid w:val="00F12B95"/>
    <w:rsid w:val="00F20675"/>
    <w:rsid w:val="00F21127"/>
    <w:rsid w:val="00F2289B"/>
    <w:rsid w:val="00F27DC1"/>
    <w:rsid w:val="00F3383B"/>
    <w:rsid w:val="00F34E22"/>
    <w:rsid w:val="00F4201A"/>
    <w:rsid w:val="00F4214C"/>
    <w:rsid w:val="00F45148"/>
    <w:rsid w:val="00F526BD"/>
    <w:rsid w:val="00F56461"/>
    <w:rsid w:val="00F57F8D"/>
    <w:rsid w:val="00F61839"/>
    <w:rsid w:val="00F629C5"/>
    <w:rsid w:val="00F733A6"/>
    <w:rsid w:val="00F74BC0"/>
    <w:rsid w:val="00F923FA"/>
    <w:rsid w:val="00F926DB"/>
    <w:rsid w:val="00FA375B"/>
    <w:rsid w:val="00FA60D5"/>
    <w:rsid w:val="00FC485B"/>
    <w:rsid w:val="00FC4FD6"/>
    <w:rsid w:val="00FC6831"/>
    <w:rsid w:val="00FD310A"/>
    <w:rsid w:val="00FD5121"/>
    <w:rsid w:val="00FF6F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8D902FA"/>
  <w15:chartTrackingRefBased/>
  <w15:docId w15:val="{7A4F39DF-3B50-4280-9898-8786DD180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4EB"/>
    <w:pPr>
      <w:spacing w:after="200" w:line="276" w:lineRule="auto"/>
    </w:pPr>
    <w:rPr>
      <w:rFonts w:eastAsia="MS Mincho"/>
    </w:rPr>
  </w:style>
  <w:style w:type="paragraph" w:styleId="Ttulo1">
    <w:name w:val="heading 1"/>
    <w:basedOn w:val="Normal"/>
    <w:next w:val="Normal"/>
    <w:link w:val="Ttulo1Char"/>
    <w:uiPriority w:val="9"/>
    <w:qFormat/>
    <w:rsid w:val="00CF3B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qFormat/>
    <w:rsid w:val="005507F9"/>
    <w:pPr>
      <w:keepNext/>
      <w:keepLines/>
      <w:spacing w:before="240" w:after="120" w:line="240" w:lineRule="auto"/>
      <w:jc w:val="both"/>
      <w:outlineLvl w:val="1"/>
    </w:pPr>
    <w:rPr>
      <w:rFonts w:ascii="Arial" w:eastAsia="SimSun" w:hAnsi="Arial" w:cs="Times New Roman"/>
      <w:b/>
      <w:bCs/>
      <w:iCs/>
      <w:sz w:val="28"/>
      <w:szCs w:val="28"/>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eading 1a,Appendix,encabezado"/>
    <w:basedOn w:val="Normal"/>
    <w:link w:val="CabealhoChar"/>
    <w:unhideWhenUsed/>
    <w:rsid w:val="00F10B26"/>
    <w:pPr>
      <w:tabs>
        <w:tab w:val="center" w:pos="4252"/>
        <w:tab w:val="right" w:pos="8504"/>
      </w:tabs>
      <w:spacing w:after="0" w:line="240" w:lineRule="auto"/>
    </w:pPr>
  </w:style>
  <w:style w:type="character" w:customStyle="1" w:styleId="CabealhoChar">
    <w:name w:val="Cabeçalho Char"/>
    <w:aliases w:val="Heading 1a Char,Appendix Char,encabezado Char"/>
    <w:basedOn w:val="Fontepargpadro"/>
    <w:link w:val="Cabealho"/>
    <w:rsid w:val="00F10B26"/>
  </w:style>
  <w:style w:type="paragraph" w:styleId="Rodap">
    <w:name w:val="footer"/>
    <w:basedOn w:val="Normal"/>
    <w:link w:val="RodapChar"/>
    <w:uiPriority w:val="99"/>
    <w:unhideWhenUsed/>
    <w:rsid w:val="00F10B26"/>
    <w:pPr>
      <w:tabs>
        <w:tab w:val="center" w:pos="4252"/>
        <w:tab w:val="right" w:pos="8504"/>
      </w:tabs>
      <w:spacing w:after="0" w:line="240" w:lineRule="auto"/>
    </w:pPr>
  </w:style>
  <w:style w:type="character" w:customStyle="1" w:styleId="RodapChar">
    <w:name w:val="Rodapé Char"/>
    <w:basedOn w:val="Fontepargpadro"/>
    <w:link w:val="Rodap"/>
    <w:uiPriority w:val="99"/>
    <w:rsid w:val="00F10B26"/>
  </w:style>
  <w:style w:type="paragraph" w:customStyle="1" w:styleId="07-Legenda">
    <w:name w:val="07-Legenda"/>
    <w:basedOn w:val="Normal"/>
    <w:qFormat/>
    <w:rsid w:val="006924EB"/>
    <w:pPr>
      <w:keepLines/>
      <w:tabs>
        <w:tab w:val="left" w:pos="284"/>
      </w:tabs>
      <w:spacing w:before="40" w:after="0" w:line="240" w:lineRule="auto"/>
      <w:ind w:left="284" w:hanging="284"/>
      <w:jc w:val="both"/>
    </w:pPr>
    <w:rPr>
      <w:rFonts w:ascii="Arial" w:eastAsia="Times New Roman" w:hAnsi="Arial" w:cs="Times New Roman"/>
      <w:spacing w:val="-2"/>
      <w:sz w:val="14"/>
      <w:szCs w:val="18"/>
      <w:lang w:eastAsia="pt-BR"/>
    </w:rPr>
  </w:style>
  <w:style w:type="paragraph" w:customStyle="1" w:styleId="08-Tabelageral">
    <w:name w:val="08-Tabela geral"/>
    <w:basedOn w:val="Normal"/>
    <w:qFormat/>
    <w:rsid w:val="006924EB"/>
    <w:pPr>
      <w:keepNext/>
      <w:keepLines/>
      <w:spacing w:before="40" w:after="40" w:line="240" w:lineRule="auto"/>
      <w:jc w:val="right"/>
    </w:pPr>
    <w:rPr>
      <w:rFonts w:ascii="Arial" w:eastAsia="Times New Roman" w:hAnsi="Arial" w:cs="Times New Roman"/>
      <w:spacing w:val="-2"/>
      <w:sz w:val="14"/>
      <w:szCs w:val="18"/>
      <w:lang w:eastAsia="pt-BR"/>
    </w:rPr>
  </w:style>
  <w:style w:type="table" w:styleId="Tabelacomgrade">
    <w:name w:val="Table Grid"/>
    <w:basedOn w:val="Tabelanormal"/>
    <w:uiPriority w:val="59"/>
    <w:rsid w:val="004D09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2F6CF8"/>
    <w:pPr>
      <w:ind w:left="720"/>
      <w:contextualSpacing/>
    </w:pPr>
  </w:style>
  <w:style w:type="table" w:styleId="TabeladeGrade1Clara-nfase1">
    <w:name w:val="Grid Table 1 Light Accent 1"/>
    <w:basedOn w:val="Tabelanormal"/>
    <w:uiPriority w:val="46"/>
    <w:rsid w:val="00B26F7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B26F7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38031F"/>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B26F7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B26F7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B26F7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B26F7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B26F7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4A0D6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4A0D67"/>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Fontepargpadro"/>
    <w:uiPriority w:val="99"/>
    <w:unhideWhenUsed/>
    <w:rsid w:val="001B52C3"/>
    <w:rPr>
      <w:color w:val="0563C1" w:themeColor="hyperlink"/>
      <w:u w:val="single"/>
    </w:rPr>
  </w:style>
  <w:style w:type="paragraph" w:customStyle="1" w:styleId="01-TtulodeNota">
    <w:name w:val="01-Título de Nota"/>
    <w:basedOn w:val="05-Textonormal"/>
    <w:next w:val="Normal"/>
    <w:uiPriority w:val="99"/>
    <w:qFormat/>
    <w:rsid w:val="00943B34"/>
    <w:pPr>
      <w:spacing w:line="240" w:lineRule="auto"/>
    </w:pPr>
    <w:rPr>
      <w:b/>
      <w:sz w:val="20"/>
      <w:szCs w:val="20"/>
    </w:rPr>
  </w:style>
  <w:style w:type="paragraph" w:customStyle="1" w:styleId="05-Textonormal">
    <w:name w:val="05-Texto normal"/>
    <w:basedOn w:val="Normal"/>
    <w:qFormat/>
    <w:rsid w:val="00943B34"/>
    <w:pPr>
      <w:spacing w:before="120" w:after="120"/>
      <w:jc w:val="both"/>
    </w:pPr>
    <w:rPr>
      <w:rFonts w:ascii="Arial" w:eastAsia="Times New Roman" w:hAnsi="Arial" w:cs="Times New Roman"/>
      <w:spacing w:val="-2"/>
      <w:sz w:val="18"/>
      <w:szCs w:val="18"/>
      <w:lang w:eastAsia="pt-BR"/>
    </w:rPr>
  </w:style>
  <w:style w:type="paragraph" w:styleId="Textodebalo">
    <w:name w:val="Balloon Text"/>
    <w:basedOn w:val="Normal"/>
    <w:link w:val="TextodebaloChar"/>
    <w:uiPriority w:val="99"/>
    <w:semiHidden/>
    <w:unhideWhenUsed/>
    <w:rsid w:val="009C4F4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C4F47"/>
    <w:rPr>
      <w:rFonts w:ascii="Segoe UI" w:eastAsia="MS Mincho" w:hAnsi="Segoe UI" w:cs="Segoe UI"/>
      <w:sz w:val="18"/>
      <w:szCs w:val="18"/>
    </w:rPr>
  </w:style>
  <w:style w:type="character" w:customStyle="1" w:styleId="Ttulo1Char">
    <w:name w:val="Título 1 Char"/>
    <w:basedOn w:val="Fontepargpadro"/>
    <w:link w:val="Ttulo1"/>
    <w:uiPriority w:val="9"/>
    <w:rsid w:val="00CF3B11"/>
    <w:rPr>
      <w:rFonts w:asciiTheme="majorHAnsi" w:eastAsiaTheme="majorEastAsia" w:hAnsiTheme="majorHAnsi" w:cstheme="majorBidi"/>
      <w:color w:val="2E74B5" w:themeColor="accent1" w:themeShade="BF"/>
      <w:sz w:val="32"/>
      <w:szCs w:val="32"/>
    </w:rPr>
  </w:style>
  <w:style w:type="paragraph" w:styleId="CabealhodoSumrio">
    <w:name w:val="TOC Heading"/>
    <w:basedOn w:val="Ttulo1"/>
    <w:next w:val="Normal"/>
    <w:uiPriority w:val="39"/>
    <w:unhideWhenUsed/>
    <w:qFormat/>
    <w:rsid w:val="00CF3B11"/>
    <w:pPr>
      <w:spacing w:line="259" w:lineRule="auto"/>
      <w:outlineLvl w:val="9"/>
    </w:pPr>
    <w:rPr>
      <w:lang w:eastAsia="pt-BR"/>
    </w:rPr>
  </w:style>
  <w:style w:type="paragraph" w:styleId="Sumrio1">
    <w:name w:val="toc 1"/>
    <w:basedOn w:val="Normal"/>
    <w:next w:val="Normal"/>
    <w:autoRedefine/>
    <w:uiPriority w:val="39"/>
    <w:unhideWhenUsed/>
    <w:rsid w:val="00CF3B11"/>
    <w:pPr>
      <w:spacing w:after="100"/>
    </w:pPr>
  </w:style>
  <w:style w:type="character" w:customStyle="1" w:styleId="Ttulo2Char">
    <w:name w:val="Título 2 Char"/>
    <w:basedOn w:val="Fontepargpadro"/>
    <w:link w:val="Ttulo2"/>
    <w:uiPriority w:val="9"/>
    <w:rsid w:val="005507F9"/>
    <w:rPr>
      <w:rFonts w:ascii="Arial" w:eastAsia="SimSun" w:hAnsi="Arial" w:cs="Times New Roman"/>
      <w:b/>
      <w:bCs/>
      <w:iCs/>
      <w:sz w:val="28"/>
      <w:szCs w:val="28"/>
      <w:lang w:val="x-none" w:eastAsia="zh-CN"/>
    </w:rPr>
  </w:style>
  <w:style w:type="paragraph" w:styleId="Corpodetexto2">
    <w:name w:val="Body Text 2"/>
    <w:basedOn w:val="Normal"/>
    <w:link w:val="Corpodetexto2Char"/>
    <w:uiPriority w:val="99"/>
    <w:rsid w:val="005507F9"/>
    <w:pPr>
      <w:spacing w:after="0" w:line="240" w:lineRule="auto"/>
    </w:pPr>
    <w:rPr>
      <w:rFonts w:ascii="Arial (W1)" w:eastAsia="Times New Roman" w:hAnsi="Arial (W1)" w:cs="Arial (W1)"/>
      <w:b/>
      <w:bCs/>
      <w:lang w:eastAsia="pt-BR"/>
    </w:rPr>
  </w:style>
  <w:style w:type="character" w:customStyle="1" w:styleId="Corpodetexto2Char">
    <w:name w:val="Corpo de texto 2 Char"/>
    <w:basedOn w:val="Fontepargpadro"/>
    <w:link w:val="Corpodetexto2"/>
    <w:uiPriority w:val="99"/>
    <w:rsid w:val="005507F9"/>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5507F9"/>
    <w:pPr>
      <w:spacing w:after="0" w:line="260" w:lineRule="atLeast"/>
      <w:jc w:val="both"/>
    </w:pPr>
    <w:rPr>
      <w:rFonts w:ascii="Times" w:eastAsia="Times New Roman" w:hAnsi="Times" w:cs="Times New Roman"/>
      <w:szCs w:val="20"/>
      <w:lang w:eastAsia="pt-BR"/>
    </w:rPr>
  </w:style>
  <w:style w:type="character" w:customStyle="1" w:styleId="17TEXTOcorpojustificadoChar">
    <w:name w:val="17. «TEXTO» corpo justificado Char"/>
    <w:link w:val="17TEXTOcorpojustificado"/>
    <w:rsid w:val="005507F9"/>
    <w:rPr>
      <w:rFonts w:ascii="Times" w:eastAsia="Times New Roman" w:hAnsi="Times" w:cs="Times New Roman"/>
      <w:szCs w:val="20"/>
      <w:lang w:eastAsia="pt-BR"/>
    </w:rPr>
  </w:style>
  <w:style w:type="paragraph" w:customStyle="1" w:styleId="Default">
    <w:name w:val="Default"/>
    <w:rsid w:val="005507F9"/>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5507F9"/>
    <w:pPr>
      <w:spacing w:line="137" w:lineRule="atLeast"/>
    </w:pPr>
    <w:rPr>
      <w:color w:val="auto"/>
    </w:rPr>
  </w:style>
  <w:style w:type="paragraph" w:customStyle="1" w:styleId="Body">
    <w:name w:val="Body"/>
    <w:basedOn w:val="Normal"/>
    <w:link w:val="BodyChar"/>
    <w:uiPriority w:val="99"/>
    <w:qFormat/>
    <w:rsid w:val="005507F9"/>
    <w:pPr>
      <w:spacing w:after="140" w:line="290" w:lineRule="auto"/>
      <w:jc w:val="both"/>
    </w:pPr>
    <w:rPr>
      <w:rFonts w:ascii="Arial" w:eastAsia="Times New Roman" w:hAnsi="Arial" w:cs="Times New Roman"/>
      <w:kern w:val="20"/>
      <w:sz w:val="20"/>
      <w:szCs w:val="24"/>
      <w:lang w:val="en-US"/>
    </w:rPr>
  </w:style>
  <w:style w:type="paragraph" w:customStyle="1" w:styleId="bullet1">
    <w:name w:val="bullet 1"/>
    <w:basedOn w:val="Normal"/>
    <w:rsid w:val="005507F9"/>
    <w:pPr>
      <w:numPr>
        <w:numId w:val="3"/>
      </w:numPr>
      <w:spacing w:after="140" w:line="290" w:lineRule="auto"/>
      <w:jc w:val="both"/>
    </w:pPr>
    <w:rPr>
      <w:rFonts w:ascii="Arial" w:eastAsia="Times New Roman" w:hAnsi="Arial" w:cs="Times New Roman"/>
      <w:kern w:val="20"/>
      <w:sz w:val="20"/>
      <w:szCs w:val="24"/>
      <w:lang w:val="en-US"/>
    </w:rPr>
  </w:style>
  <w:style w:type="character" w:customStyle="1" w:styleId="BodyChar">
    <w:name w:val="Body Char"/>
    <w:link w:val="Body"/>
    <w:uiPriority w:val="99"/>
    <w:rsid w:val="005507F9"/>
    <w:rPr>
      <w:rFonts w:ascii="Arial" w:eastAsia="Times New Roman" w:hAnsi="Arial" w:cs="Times New Roman"/>
      <w:kern w:val="20"/>
      <w:sz w:val="20"/>
      <w:szCs w:val="24"/>
      <w:lang w:val="en-US"/>
    </w:rPr>
  </w:style>
  <w:style w:type="character" w:customStyle="1" w:styleId="st">
    <w:name w:val="st"/>
    <w:basedOn w:val="Fontepargpadro"/>
    <w:rsid w:val="005507F9"/>
  </w:style>
  <w:style w:type="character" w:styleId="Refdecomentrio">
    <w:name w:val="annotation reference"/>
    <w:uiPriority w:val="99"/>
    <w:semiHidden/>
    <w:unhideWhenUsed/>
    <w:rsid w:val="005507F9"/>
    <w:rPr>
      <w:sz w:val="16"/>
      <w:szCs w:val="16"/>
    </w:rPr>
  </w:style>
  <w:style w:type="paragraph" w:styleId="Textodecomentrio">
    <w:name w:val="annotation text"/>
    <w:basedOn w:val="Normal"/>
    <w:link w:val="TextodecomentrioChar"/>
    <w:uiPriority w:val="99"/>
    <w:unhideWhenUsed/>
    <w:rsid w:val="005507F9"/>
    <w:pPr>
      <w:spacing w:line="240" w:lineRule="auto"/>
    </w:pPr>
    <w:rPr>
      <w:rFonts w:ascii="Calibri" w:eastAsia="Calibri" w:hAnsi="Calibri" w:cs="Times New Roman"/>
      <w:sz w:val="20"/>
      <w:szCs w:val="20"/>
    </w:rPr>
  </w:style>
  <w:style w:type="character" w:customStyle="1" w:styleId="TextodecomentrioChar">
    <w:name w:val="Texto de comentário Char"/>
    <w:basedOn w:val="Fontepargpadro"/>
    <w:link w:val="Textodecomentrio"/>
    <w:uiPriority w:val="99"/>
    <w:rsid w:val="005507F9"/>
    <w:rPr>
      <w:rFonts w:ascii="Calibri" w:eastAsia="Calibri" w:hAnsi="Calibri"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5507F9"/>
    <w:rPr>
      <w:b/>
      <w:bCs/>
    </w:rPr>
  </w:style>
  <w:style w:type="character" w:customStyle="1" w:styleId="AssuntodocomentrioChar">
    <w:name w:val="Assunto do comentário Char"/>
    <w:basedOn w:val="TextodecomentrioChar"/>
    <w:link w:val="Assuntodocomentrio"/>
    <w:uiPriority w:val="99"/>
    <w:semiHidden/>
    <w:rsid w:val="005507F9"/>
    <w:rPr>
      <w:rFonts w:ascii="Calibri" w:eastAsia="Calibri" w:hAnsi="Calibri" w:cs="Times New Roman"/>
      <w:b/>
      <w:bCs/>
      <w:sz w:val="20"/>
      <w:szCs w:val="20"/>
    </w:rPr>
  </w:style>
  <w:style w:type="paragraph" w:customStyle="1" w:styleId="Padro">
    <w:name w:val="Padrão"/>
    <w:rsid w:val="005507F9"/>
    <w:pPr>
      <w:tabs>
        <w:tab w:val="left" w:pos="708"/>
      </w:tabs>
      <w:suppressAutoHyphens/>
      <w:spacing w:after="200" w:line="276" w:lineRule="auto"/>
    </w:pPr>
    <w:rPr>
      <w:rFonts w:ascii="Calibri" w:eastAsia="SimSun" w:hAnsi="Calibri" w:cs="Calibri"/>
      <w:color w:val="00000A"/>
    </w:rPr>
  </w:style>
  <w:style w:type="paragraph" w:customStyle="1" w:styleId="01-Textonormal">
    <w:name w:val="01-Texto normal"/>
    <w:basedOn w:val="05-Textonormal"/>
    <w:qFormat/>
    <w:rsid w:val="005507F9"/>
  </w:style>
  <w:style w:type="paragraph" w:customStyle="1" w:styleId="02-TtulodeNota">
    <w:name w:val="02-Título de Nota"/>
    <w:basedOn w:val="05-Textonormal"/>
    <w:next w:val="01-Textonormal"/>
    <w:qFormat/>
    <w:rsid w:val="005507F9"/>
    <w:pPr>
      <w:spacing w:line="240" w:lineRule="auto"/>
      <w:outlineLvl w:val="0"/>
    </w:pPr>
    <w:rPr>
      <w:b/>
      <w:sz w:val="20"/>
      <w:szCs w:val="20"/>
    </w:rPr>
  </w:style>
  <w:style w:type="paragraph" w:customStyle="1" w:styleId="06-Rmil">
    <w:name w:val="06-R$ mil"/>
    <w:basedOn w:val="01-Textonormal"/>
    <w:next w:val="01-Textonormal"/>
    <w:qFormat/>
    <w:rsid w:val="005507F9"/>
    <w:pPr>
      <w:keepNext/>
      <w:keepLines/>
      <w:spacing w:before="0" w:after="0" w:line="240" w:lineRule="auto"/>
      <w:jc w:val="right"/>
    </w:pPr>
    <w:rPr>
      <w:b/>
      <w:sz w:val="14"/>
    </w:rPr>
  </w:style>
  <w:style w:type="paragraph" w:customStyle="1" w:styleId="03-SubttulodeNota">
    <w:name w:val="03-Subtítulo de Nota"/>
    <w:basedOn w:val="05-Textonormal"/>
    <w:next w:val="01-Textonormal"/>
    <w:qFormat/>
    <w:rsid w:val="005507F9"/>
    <w:pPr>
      <w:spacing w:line="240" w:lineRule="auto"/>
      <w:outlineLvl w:val="1"/>
    </w:pPr>
    <w:rPr>
      <w:b/>
      <w:sz w:val="20"/>
      <w:szCs w:val="20"/>
    </w:rPr>
  </w:style>
  <w:style w:type="paragraph" w:customStyle="1" w:styleId="04-TtuloNegrito">
    <w:name w:val="04-Título Negrito"/>
    <w:basedOn w:val="02-TtulodeNota"/>
    <w:next w:val="01-Textonormal"/>
    <w:qFormat/>
    <w:rsid w:val="005507F9"/>
    <w:pPr>
      <w:outlineLvl w:val="1"/>
    </w:pPr>
  </w:style>
  <w:style w:type="paragraph" w:customStyle="1" w:styleId="09-Lista">
    <w:name w:val="09-Lista"/>
    <w:basedOn w:val="01-Textonormal"/>
    <w:qFormat/>
    <w:rsid w:val="005507F9"/>
    <w:pPr>
      <w:numPr>
        <w:numId w:val="4"/>
      </w:numPr>
      <w:tabs>
        <w:tab w:val="left" w:pos="851"/>
      </w:tabs>
      <w:spacing w:before="0" w:after="0"/>
    </w:pPr>
  </w:style>
  <w:style w:type="paragraph" w:customStyle="1" w:styleId="10-Lista2">
    <w:name w:val="10-Lista 2"/>
    <w:basedOn w:val="09-Lista"/>
    <w:qFormat/>
    <w:rsid w:val="005507F9"/>
    <w:pPr>
      <w:numPr>
        <w:numId w:val="5"/>
      </w:numPr>
      <w:tabs>
        <w:tab w:val="clear" w:pos="851"/>
        <w:tab w:val="left" w:pos="1418"/>
      </w:tabs>
    </w:pPr>
  </w:style>
  <w:style w:type="paragraph" w:styleId="Textodenotaderodap">
    <w:name w:val="footnote text"/>
    <w:basedOn w:val="Normal"/>
    <w:link w:val="TextodenotaderodapChar"/>
    <w:uiPriority w:val="99"/>
    <w:semiHidden/>
    <w:unhideWhenUsed/>
    <w:rsid w:val="005507F9"/>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5507F9"/>
    <w:rPr>
      <w:rFonts w:ascii="Calibri" w:eastAsia="Calibri" w:hAnsi="Calibri" w:cs="Times New Roman"/>
      <w:sz w:val="20"/>
      <w:szCs w:val="20"/>
    </w:rPr>
  </w:style>
  <w:style w:type="character" w:styleId="Refdenotaderodap">
    <w:name w:val="footnote reference"/>
    <w:uiPriority w:val="99"/>
    <w:semiHidden/>
    <w:unhideWhenUsed/>
    <w:rsid w:val="005507F9"/>
    <w:rPr>
      <w:vertAlign w:val="superscript"/>
    </w:rPr>
  </w:style>
  <w:style w:type="paragraph" w:styleId="NormalWeb">
    <w:name w:val="Normal (Web)"/>
    <w:basedOn w:val="Normal"/>
    <w:uiPriority w:val="99"/>
    <w:semiHidden/>
    <w:unhideWhenUsed/>
    <w:rsid w:val="005507F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Reviso">
    <w:name w:val="Revision"/>
    <w:hidden/>
    <w:uiPriority w:val="99"/>
    <w:semiHidden/>
    <w:rsid w:val="005507F9"/>
    <w:pPr>
      <w:spacing w:after="0" w:line="240" w:lineRule="auto"/>
    </w:pPr>
    <w:rPr>
      <w:rFonts w:ascii="Calibri" w:eastAsia="Calibri" w:hAnsi="Calibri" w:cs="Times New Roman"/>
    </w:rPr>
  </w:style>
  <w:style w:type="character" w:styleId="nfase">
    <w:name w:val="Emphasis"/>
    <w:uiPriority w:val="20"/>
    <w:qFormat/>
    <w:rsid w:val="005507F9"/>
    <w:rPr>
      <w:i/>
      <w:iCs/>
    </w:rPr>
  </w:style>
  <w:style w:type="character" w:customStyle="1" w:styleId="pt-br">
    <w:name w:val="pt-br"/>
    <w:basedOn w:val="Fontepargpadro"/>
    <w:rsid w:val="005507F9"/>
  </w:style>
  <w:style w:type="character" w:customStyle="1" w:styleId="hps">
    <w:name w:val="hps"/>
    <w:basedOn w:val="Fontepargpadro"/>
    <w:rsid w:val="005507F9"/>
  </w:style>
  <w:style w:type="character" w:styleId="Forte">
    <w:name w:val="Strong"/>
    <w:uiPriority w:val="22"/>
    <w:qFormat/>
    <w:rsid w:val="005507F9"/>
    <w:rPr>
      <w:b/>
      <w:bCs/>
    </w:rPr>
  </w:style>
  <w:style w:type="table" w:customStyle="1" w:styleId="TabelaSimples21">
    <w:name w:val="Tabela Simples 21"/>
    <w:basedOn w:val="Tabelanormal"/>
    <w:uiPriority w:val="42"/>
    <w:rsid w:val="005507F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5507F9"/>
    <w:pPr>
      <w:spacing w:after="0" w:line="240" w:lineRule="auto"/>
      <w:jc w:val="both"/>
    </w:pPr>
    <w:rPr>
      <w:rFonts w:ascii="Calibri" w:eastAsia="Calibri" w:hAnsi="Calibri" w:cs="Times New Roman"/>
      <w:bCs/>
      <w:color w:val="1F497D"/>
      <w:sz w:val="18"/>
    </w:rPr>
  </w:style>
  <w:style w:type="paragraph" w:customStyle="1" w:styleId="050-TextoPadro">
    <w:name w:val="050 - Texto Padrão"/>
    <w:basedOn w:val="Normal"/>
    <w:link w:val="050-TextoPadroChar"/>
    <w:qFormat/>
    <w:rsid w:val="005507F9"/>
    <w:pPr>
      <w:spacing w:before="120" w:after="120"/>
      <w:jc w:val="both"/>
    </w:pPr>
    <w:rPr>
      <w:rFonts w:ascii="Arial" w:eastAsia="Times New Roman" w:hAnsi="Arial" w:cs="Times New Roman"/>
      <w:sz w:val="18"/>
      <w:szCs w:val="18"/>
      <w:lang w:eastAsia="pt-BR"/>
    </w:rPr>
  </w:style>
  <w:style w:type="character" w:customStyle="1" w:styleId="050-TextoPadroChar">
    <w:name w:val="050 - Texto Padrão Char"/>
    <w:basedOn w:val="Fontepargpadro"/>
    <w:link w:val="050-TextoPadro"/>
    <w:rsid w:val="005507F9"/>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C33A54"/>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C33A54"/>
    <w:rPr>
      <w:rFonts w:eastAsia="MS Mincho"/>
      <w:sz w:val="20"/>
      <w:szCs w:val="20"/>
    </w:rPr>
  </w:style>
  <w:style w:type="character" w:styleId="Refdenotadefim">
    <w:name w:val="endnote reference"/>
    <w:basedOn w:val="Fontepargpadro"/>
    <w:uiPriority w:val="99"/>
    <w:semiHidden/>
    <w:unhideWhenUsed/>
    <w:rsid w:val="00C33A5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404858">
      <w:bodyDiv w:val="1"/>
      <w:marLeft w:val="0"/>
      <w:marRight w:val="0"/>
      <w:marTop w:val="0"/>
      <w:marBottom w:val="0"/>
      <w:divBdr>
        <w:top w:val="none" w:sz="0" w:space="0" w:color="auto"/>
        <w:left w:val="none" w:sz="0" w:space="0" w:color="auto"/>
        <w:bottom w:val="none" w:sz="0" w:space="0" w:color="auto"/>
        <w:right w:val="none" w:sz="0" w:space="0" w:color="auto"/>
      </w:divBdr>
    </w:div>
    <w:div w:id="600187603">
      <w:bodyDiv w:val="1"/>
      <w:marLeft w:val="0"/>
      <w:marRight w:val="0"/>
      <w:marTop w:val="0"/>
      <w:marBottom w:val="0"/>
      <w:divBdr>
        <w:top w:val="none" w:sz="0" w:space="0" w:color="auto"/>
        <w:left w:val="none" w:sz="0" w:space="0" w:color="auto"/>
        <w:bottom w:val="none" w:sz="0" w:space="0" w:color="auto"/>
        <w:right w:val="none" w:sz="0" w:space="0" w:color="auto"/>
      </w:divBdr>
    </w:div>
    <w:div w:id="645015005">
      <w:bodyDiv w:val="1"/>
      <w:marLeft w:val="0"/>
      <w:marRight w:val="0"/>
      <w:marTop w:val="0"/>
      <w:marBottom w:val="0"/>
      <w:divBdr>
        <w:top w:val="none" w:sz="0" w:space="0" w:color="auto"/>
        <w:left w:val="none" w:sz="0" w:space="0" w:color="auto"/>
        <w:bottom w:val="none" w:sz="0" w:space="0" w:color="auto"/>
        <w:right w:val="none" w:sz="0" w:space="0" w:color="auto"/>
      </w:divBdr>
    </w:div>
    <w:div w:id="1446580648">
      <w:bodyDiv w:val="1"/>
      <w:marLeft w:val="0"/>
      <w:marRight w:val="0"/>
      <w:marTop w:val="0"/>
      <w:marBottom w:val="0"/>
      <w:divBdr>
        <w:top w:val="none" w:sz="0" w:space="0" w:color="auto"/>
        <w:left w:val="none" w:sz="0" w:space="0" w:color="auto"/>
        <w:bottom w:val="none" w:sz="0" w:space="0" w:color="auto"/>
        <w:right w:val="none" w:sz="0" w:space="0" w:color="auto"/>
      </w:divBdr>
    </w:div>
    <w:div w:id="153619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bbseguros.com.br/seguradora/seguros/quem-somos/sustentabilidade/sustentabilidade-2019.jsp"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bseguridaderi.com.br/pt/informacoes-financeiras/relatorios-de-administracao-anual-e-de-sustentabilidade"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microsoft.com/office/2007/relationships/hdphoto" Target="media/hdphoto1.wdp"/><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1.brasilprev.com.br/quem-somos.html"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D3CB9-9969-4AFE-92E1-8676BA7BB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19</Pages>
  <Words>11498</Words>
  <Characters>62095</Characters>
  <Application>Microsoft Office Word</Application>
  <DocSecurity>0</DocSecurity>
  <Lines>517</Lines>
  <Paragraphs>146</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73447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Rummenigue Farias Lima</dc:creator>
  <cp:keywords/>
  <dc:description/>
  <cp:lastModifiedBy>Suzi Hayashi Arakawa</cp:lastModifiedBy>
  <cp:revision>55</cp:revision>
  <cp:lastPrinted>2021-01-27T10:01:00Z</cp:lastPrinted>
  <dcterms:created xsi:type="dcterms:W3CDTF">2021-01-21T13:24:00Z</dcterms:created>
  <dcterms:modified xsi:type="dcterms:W3CDTF">2021-02-03T18:16:00Z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62061e6-eff5-4786-b206-c521e3982c10_Enabled">
    <vt:lpwstr>True</vt:lpwstr>
  </property>
  <property fmtid="{D5CDD505-2E9C-101B-9397-08002B2CF9AE}" pid="3" name="MSIP_Label_862061e6-eff5-4786-b206-c521e3982c10_SiteId">
    <vt:lpwstr>ea0c2907-38d2-4181-8750-b0b190b60443</vt:lpwstr>
  </property>
  <property fmtid="{D5CDD505-2E9C-101B-9397-08002B2CF9AE}" pid="4" name="MSIP_Label_862061e6-eff5-4786-b206-c521e3982c10_Owner">
    <vt:lpwstr>rummenigue@bbseg.com.br</vt:lpwstr>
  </property>
  <property fmtid="{D5CDD505-2E9C-101B-9397-08002B2CF9AE}" pid="5" name="MSIP_Label_862061e6-eff5-4786-b206-c521e3982c10_SetDate">
    <vt:lpwstr>2020-01-02T15:55:37.3698807Z</vt:lpwstr>
  </property>
  <property fmtid="{D5CDD505-2E9C-101B-9397-08002B2CF9AE}" pid="6" name="MSIP_Label_862061e6-eff5-4786-b206-c521e3982c10_Name">
    <vt:lpwstr>#Público</vt:lpwstr>
  </property>
  <property fmtid="{D5CDD505-2E9C-101B-9397-08002B2CF9AE}" pid="7" name="MSIP_Label_862061e6-eff5-4786-b206-c521e3982c10_Application">
    <vt:lpwstr>Microsoft Azure Information Protection</vt:lpwstr>
  </property>
  <property fmtid="{D5CDD505-2E9C-101B-9397-08002B2CF9AE}" pid="8" name="MSIP_Label_862061e6-eff5-4786-b206-c521e3982c10_ActionId">
    <vt:lpwstr>bfffa318-1c29-4604-97aa-d73558895dbf</vt:lpwstr>
  </property>
  <property fmtid="{D5CDD505-2E9C-101B-9397-08002B2CF9AE}" pid="9" name="MSIP_Label_862061e6-eff5-4786-b206-c521e3982c10_Extended_MSFT_Method">
    <vt:lpwstr>Manual</vt:lpwstr>
  </property>
  <property fmtid="{D5CDD505-2E9C-101B-9397-08002B2CF9AE}" pid="10" name="MSIP_Label_1ba22eba-d59e-42ba-acb9-085eb1026b66_Enabled">
    <vt:lpwstr>True</vt:lpwstr>
  </property>
  <property fmtid="{D5CDD505-2E9C-101B-9397-08002B2CF9AE}" pid="11" name="MSIP_Label_1ba22eba-d59e-42ba-acb9-085eb1026b66_SiteId">
    <vt:lpwstr>ea0c2907-38d2-4181-8750-b0b190b60443</vt:lpwstr>
  </property>
  <property fmtid="{D5CDD505-2E9C-101B-9397-08002B2CF9AE}" pid="12" name="MSIP_Label_1ba22eba-d59e-42ba-acb9-085eb1026b66_Owner">
    <vt:lpwstr>rummenigue@bbseg.com.br</vt:lpwstr>
  </property>
  <property fmtid="{D5CDD505-2E9C-101B-9397-08002B2CF9AE}" pid="13" name="MSIP_Label_1ba22eba-d59e-42ba-acb9-085eb1026b66_SetDate">
    <vt:lpwstr>2020-01-02T15:55:37.3698807Z</vt:lpwstr>
  </property>
  <property fmtid="{D5CDD505-2E9C-101B-9397-08002B2CF9AE}" pid="14" name="MSIP_Label_1ba22eba-d59e-42ba-acb9-085eb1026b66_Name">
    <vt:lpwstr>Sem marca d´água</vt:lpwstr>
  </property>
  <property fmtid="{D5CDD505-2E9C-101B-9397-08002B2CF9AE}" pid="15" name="MSIP_Label_1ba22eba-d59e-42ba-acb9-085eb1026b66_Application">
    <vt:lpwstr>Microsoft Azure Information Protection</vt:lpwstr>
  </property>
  <property fmtid="{D5CDD505-2E9C-101B-9397-08002B2CF9AE}" pid="16" name="MSIP_Label_1ba22eba-d59e-42ba-acb9-085eb1026b66_ActionId">
    <vt:lpwstr>bfffa318-1c29-4604-97aa-d73558895dbf</vt:lpwstr>
  </property>
  <property fmtid="{D5CDD505-2E9C-101B-9397-08002B2CF9AE}" pid="17" name="MSIP_Label_1ba22eba-d59e-42ba-acb9-085eb1026b66_Parent">
    <vt:lpwstr>862061e6-eff5-4786-b206-c521e3982c10</vt:lpwstr>
  </property>
  <property fmtid="{D5CDD505-2E9C-101B-9397-08002B2CF9AE}" pid="18" name="MSIP_Label_1ba22eba-d59e-42ba-acb9-085eb1026b66_Extended_MSFT_Method">
    <vt:lpwstr>Manual</vt:lpwstr>
  </property>
  <property fmtid="{D5CDD505-2E9C-101B-9397-08002B2CF9AE}" pid="19" name="Sensitivity">
    <vt:lpwstr>#Público Sem marca d´água</vt:lpwstr>
  </property>
</Properties>
</file>