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1F58C" w14:textId="25CAEB91" w:rsidR="003E76EF" w:rsidRDefault="003E76EF" w:rsidP="003E76EF">
      <w:pPr>
        <w:pStyle w:val="05-Textonormal"/>
        <w:rPr>
          <w:rFonts w:eastAsiaTheme="minorEastAsia"/>
          <w:noProof/>
        </w:rPr>
        <w:sectPr w:rsidR="003E76EF" w:rsidSect="008540AD">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pgNumType w:start="1"/>
          <w:cols w:space="708"/>
          <w:docGrid w:linePitch="360"/>
        </w:sectPr>
      </w:pPr>
      <w:r>
        <w:rPr>
          <w:noProof/>
        </w:rPr>
        <mc:AlternateContent>
          <mc:Choice Requires="wpg">
            <w:drawing>
              <wp:anchor distT="0" distB="0" distL="114300" distR="114300" simplePos="0" relativeHeight="251660288" behindDoc="0" locked="0" layoutInCell="1" allowOverlap="1" wp14:anchorId="74BBD8FD" wp14:editId="064CC639">
                <wp:simplePos x="0" y="0"/>
                <wp:positionH relativeFrom="column">
                  <wp:posOffset>0</wp:posOffset>
                </wp:positionH>
                <wp:positionV relativeFrom="paragraph">
                  <wp:posOffset>0</wp:posOffset>
                </wp:positionV>
                <wp:extent cx="12921931" cy="11407086"/>
                <wp:effectExtent l="0" t="0" r="13335" b="23495"/>
                <wp:wrapTight wrapText="bothSides">
                  <wp:wrapPolygon edited="0">
                    <wp:start x="0" y="0"/>
                    <wp:lineTo x="0" y="20274"/>
                    <wp:lineTo x="8280" y="20779"/>
                    <wp:lineTo x="8280" y="20815"/>
                    <wp:lineTo x="9840" y="21428"/>
                    <wp:lineTo x="10954" y="21608"/>
                    <wp:lineTo x="11273" y="21608"/>
                    <wp:lineTo x="12865" y="21608"/>
                    <wp:lineTo x="13184" y="21608"/>
                    <wp:lineTo x="14298" y="21392"/>
                    <wp:lineTo x="14425" y="21356"/>
                    <wp:lineTo x="15858" y="20815"/>
                    <wp:lineTo x="16909" y="20202"/>
                    <wp:lineTo x="17705" y="19624"/>
                    <wp:lineTo x="18916" y="18470"/>
                    <wp:lineTo x="20157" y="16738"/>
                    <wp:lineTo x="20731" y="15584"/>
                    <wp:lineTo x="21113" y="14430"/>
                    <wp:lineTo x="21431" y="13275"/>
                    <wp:lineTo x="21590" y="12121"/>
                    <wp:lineTo x="21590" y="9560"/>
                    <wp:lineTo x="21495" y="8658"/>
                    <wp:lineTo x="21049" y="6926"/>
                    <wp:lineTo x="20571" y="5772"/>
                    <wp:lineTo x="19966" y="4617"/>
                    <wp:lineTo x="19138" y="3463"/>
                    <wp:lineTo x="18056" y="2309"/>
                    <wp:lineTo x="17355" y="1732"/>
                    <wp:lineTo x="16495" y="1154"/>
                    <wp:lineTo x="15699" y="758"/>
                    <wp:lineTo x="15285" y="469"/>
                    <wp:lineTo x="13406" y="36"/>
                    <wp:lineTo x="12770" y="0"/>
                    <wp:lineTo x="0" y="0"/>
                  </wp:wrapPolygon>
                </wp:wrapTight>
                <wp:docPr id="2" name="Gráfico 7"/>
                <wp:cNvGraphicFramePr/>
                <a:graphic xmlns:a="http://schemas.openxmlformats.org/drawingml/2006/main">
                  <a:graphicData uri="http://schemas.microsoft.com/office/word/2010/wordprocessingGroup">
                    <wpg:wgp>
                      <wpg:cNvGrpSpPr/>
                      <wpg:grpSpPr>
                        <a:xfrm>
                          <a:off x="0" y="0"/>
                          <a:ext cx="12921931" cy="11407086"/>
                          <a:chOff x="0" y="0"/>
                          <a:chExt cx="12921931" cy="11407086"/>
                        </a:xfrm>
                      </wpg:grpSpPr>
                      <wps:wsp>
                        <wps:cNvPr id="3" name="Forma Livre: Forma 3"/>
                        <wps:cNvSpPr/>
                        <wps:spPr>
                          <a:xfrm>
                            <a:off x="0" y="0"/>
                            <a:ext cx="7553657" cy="10698428"/>
                          </a:xfrm>
                          <a:custGeom>
                            <a:avLst/>
                            <a:gdLst>
                              <a:gd name="connsiteX0" fmla="*/ 0 w 7553657"/>
                              <a:gd name="connsiteY0" fmla="*/ 0 h 10698428"/>
                              <a:gd name="connsiteX1" fmla="*/ 7553657 w 7553657"/>
                              <a:gd name="connsiteY1" fmla="*/ 0 h 10698428"/>
                              <a:gd name="connsiteX2" fmla="*/ 7553657 w 7553657"/>
                              <a:gd name="connsiteY2" fmla="*/ 10698429 h 10698428"/>
                              <a:gd name="connsiteX3" fmla="*/ 0 w 7553657"/>
                              <a:gd name="connsiteY3" fmla="*/ 10698429 h 10698428"/>
                            </a:gdLst>
                            <a:ahLst/>
                            <a:cxnLst>
                              <a:cxn ang="0">
                                <a:pos x="connsiteX0" y="connsiteY0"/>
                              </a:cxn>
                              <a:cxn ang="0">
                                <a:pos x="connsiteX1" y="connsiteY1"/>
                              </a:cxn>
                              <a:cxn ang="0">
                                <a:pos x="connsiteX2" y="connsiteY2"/>
                              </a:cxn>
                              <a:cxn ang="0">
                                <a:pos x="connsiteX3" y="connsiteY3"/>
                              </a:cxn>
                            </a:cxnLst>
                            <a:rect l="l" t="t" r="r" b="b"/>
                            <a:pathLst>
                              <a:path w="7553657" h="10698428">
                                <a:moveTo>
                                  <a:pt x="0" y="0"/>
                                </a:moveTo>
                                <a:lnTo>
                                  <a:pt x="7553657" y="0"/>
                                </a:lnTo>
                                <a:lnTo>
                                  <a:pt x="7553657" y="10698429"/>
                                </a:lnTo>
                                <a:lnTo>
                                  <a:pt x="0" y="10698429"/>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Forma Livre: Forma 4"/>
                        <wps:cNvSpPr/>
                        <wps:spPr>
                          <a:xfrm>
                            <a:off x="1530529" y="7620"/>
                            <a:ext cx="11391402" cy="11399466"/>
                          </a:xfrm>
                          <a:custGeom>
                            <a:avLst/>
                            <a:gdLst>
                              <a:gd name="connsiteX0" fmla="*/ 0 w 11391402"/>
                              <a:gd name="connsiteY0" fmla="*/ 5699731 h 11399466"/>
                              <a:gd name="connsiteX1" fmla="*/ 5695701 w 11391402"/>
                              <a:gd name="connsiteY1" fmla="*/ 0 h 11399466"/>
                              <a:gd name="connsiteX2" fmla="*/ 11391402 w 11391402"/>
                              <a:gd name="connsiteY2" fmla="*/ 5699731 h 11399466"/>
                              <a:gd name="connsiteX3" fmla="*/ 5695701 w 11391402"/>
                              <a:gd name="connsiteY3" fmla="*/ 11399467 h 11399466"/>
                              <a:gd name="connsiteX4" fmla="*/ 0 w 11391402"/>
                              <a:gd name="connsiteY4" fmla="*/ 5699731 h 1139946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91402" h="11399466">
                                <a:moveTo>
                                  <a:pt x="0" y="5699731"/>
                                </a:moveTo>
                                <a:cubicBezTo>
                                  <a:pt x="0" y="2551851"/>
                                  <a:pt x="2550060" y="0"/>
                                  <a:pt x="5695701" y="0"/>
                                </a:cubicBezTo>
                                <a:cubicBezTo>
                                  <a:pt x="8841357" y="0"/>
                                  <a:pt x="11391402" y="2551851"/>
                                  <a:pt x="11391402" y="5699731"/>
                                </a:cubicBezTo>
                                <a:cubicBezTo>
                                  <a:pt x="11391402" y="8847610"/>
                                  <a:pt x="8841357" y="11399467"/>
                                  <a:pt x="5695701" y="11399467"/>
                                </a:cubicBezTo>
                                <a:cubicBezTo>
                                  <a:pt x="2550060" y="11399467"/>
                                  <a:pt x="0" y="8847610"/>
                                  <a:pt x="0" y="5699731"/>
                                </a:cubicBezTo>
                                <a:close/>
                              </a:path>
                            </a:pathLst>
                          </a:custGeom>
                          <a:noFill/>
                          <a:ln w="19034" cap="flat">
                            <a:solidFill>
                              <a:srgbClr val="B4AFD2"/>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 name="Forma Livre: Forma 5"/>
                        <wps:cNvSpPr/>
                        <wps:spPr>
                          <a:xfrm>
                            <a:off x="4759108" y="2430769"/>
                            <a:ext cx="6548533" cy="6568406"/>
                          </a:xfrm>
                          <a:custGeom>
                            <a:avLst/>
                            <a:gdLst>
                              <a:gd name="connsiteX0" fmla="*/ 0 w 6548533"/>
                              <a:gd name="connsiteY0" fmla="*/ 3284196 h 6568406"/>
                              <a:gd name="connsiteX1" fmla="*/ 3274267 w 6548533"/>
                              <a:gd name="connsiteY1" fmla="*/ 0 h 6568406"/>
                              <a:gd name="connsiteX2" fmla="*/ 6548534 w 6548533"/>
                              <a:gd name="connsiteY2" fmla="*/ 3284196 h 6568406"/>
                              <a:gd name="connsiteX3" fmla="*/ 3274267 w 6548533"/>
                              <a:gd name="connsiteY3" fmla="*/ 6568407 h 6568406"/>
                              <a:gd name="connsiteX4" fmla="*/ 0 w 6548533"/>
                              <a:gd name="connsiteY4" fmla="*/ 3284196 h 65684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48533" h="6568406">
                                <a:moveTo>
                                  <a:pt x="0" y="3284196"/>
                                </a:moveTo>
                                <a:cubicBezTo>
                                  <a:pt x="0" y="1470389"/>
                                  <a:pt x="1465943" y="0"/>
                                  <a:pt x="3274267" y="0"/>
                                </a:cubicBezTo>
                                <a:cubicBezTo>
                                  <a:pt x="5082591" y="0"/>
                                  <a:pt x="6548534" y="1470389"/>
                                  <a:pt x="6548534" y="3284196"/>
                                </a:cubicBezTo>
                                <a:cubicBezTo>
                                  <a:pt x="6548534" y="5098018"/>
                                  <a:pt x="5082591" y="6568407"/>
                                  <a:pt x="3274267" y="6568407"/>
                                </a:cubicBezTo>
                                <a:cubicBezTo>
                                  <a:pt x="1465943" y="6568407"/>
                                  <a:pt x="0" y="5098018"/>
                                  <a:pt x="0" y="3284196"/>
                                </a:cubicBezTo>
                                <a:close/>
                              </a:path>
                            </a:pathLst>
                          </a:custGeom>
                          <a:noFill/>
                          <a:ln w="19034" cap="flat">
                            <a:solidFill>
                              <a:srgbClr val="B4AFD2"/>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vre: Forma 6"/>
                        <wps:cNvSpPr/>
                        <wps:spPr>
                          <a:xfrm>
                            <a:off x="3190506" y="876295"/>
                            <a:ext cx="9700966" cy="9707823"/>
                          </a:xfrm>
                          <a:custGeom>
                            <a:avLst/>
                            <a:gdLst>
                              <a:gd name="connsiteX0" fmla="*/ 0 w 9700966"/>
                              <a:gd name="connsiteY0" fmla="*/ 4853914 h 9707823"/>
                              <a:gd name="connsiteX1" fmla="*/ 4850484 w 9700966"/>
                              <a:gd name="connsiteY1" fmla="*/ 0 h 9707823"/>
                              <a:gd name="connsiteX2" fmla="*/ 9700967 w 9700966"/>
                              <a:gd name="connsiteY2" fmla="*/ 4853914 h 9707823"/>
                              <a:gd name="connsiteX3" fmla="*/ 4850484 w 9700966"/>
                              <a:gd name="connsiteY3" fmla="*/ 9707824 h 9707823"/>
                              <a:gd name="connsiteX4" fmla="*/ 0 w 9700966"/>
                              <a:gd name="connsiteY4" fmla="*/ 4853914 h 970782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700966" h="9707823">
                                <a:moveTo>
                                  <a:pt x="0" y="4853914"/>
                                </a:moveTo>
                                <a:cubicBezTo>
                                  <a:pt x="0" y="2173173"/>
                                  <a:pt x="2171631" y="0"/>
                                  <a:pt x="4850484" y="0"/>
                                </a:cubicBezTo>
                                <a:cubicBezTo>
                                  <a:pt x="7529337" y="0"/>
                                  <a:pt x="9700967" y="2173173"/>
                                  <a:pt x="9700967" y="4853914"/>
                                </a:cubicBezTo>
                                <a:cubicBezTo>
                                  <a:pt x="9700967" y="7534655"/>
                                  <a:pt x="7529337" y="9707824"/>
                                  <a:pt x="4850484" y="9707824"/>
                                </a:cubicBezTo>
                                <a:cubicBezTo>
                                  <a:pt x="2171631" y="9707824"/>
                                  <a:pt x="0" y="7534655"/>
                                  <a:pt x="0" y="4853914"/>
                                </a:cubicBezTo>
                                <a:close/>
                              </a:path>
                            </a:pathLst>
                          </a:custGeom>
                          <a:noFill/>
                          <a:ln w="19034" cap="flat">
                            <a:solidFill>
                              <a:srgbClr val="FFFFFF"/>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vre: Forma 9"/>
                        <wps:cNvSpPr/>
                        <wps:spPr>
                          <a:xfrm>
                            <a:off x="228437" y="5928325"/>
                            <a:ext cx="3746370" cy="929635"/>
                          </a:xfrm>
                          <a:custGeom>
                            <a:avLst/>
                            <a:gdLst>
                              <a:gd name="connsiteX0" fmla="*/ 0 w 3746370"/>
                              <a:gd name="connsiteY0" fmla="*/ 0 h 929635"/>
                              <a:gd name="connsiteX1" fmla="*/ 3746370 w 3746370"/>
                              <a:gd name="connsiteY1" fmla="*/ 0 h 929635"/>
                              <a:gd name="connsiteX2" fmla="*/ 3746370 w 3746370"/>
                              <a:gd name="connsiteY2" fmla="*/ 929636 h 929635"/>
                              <a:gd name="connsiteX3" fmla="*/ 0 w 3746370"/>
                              <a:gd name="connsiteY3" fmla="*/ 929636 h 929635"/>
                            </a:gdLst>
                            <a:ahLst/>
                            <a:cxnLst>
                              <a:cxn ang="0">
                                <a:pos x="connsiteX0" y="connsiteY0"/>
                              </a:cxn>
                              <a:cxn ang="0">
                                <a:pos x="connsiteX1" y="connsiteY1"/>
                              </a:cxn>
                              <a:cxn ang="0">
                                <a:pos x="connsiteX2" y="connsiteY2"/>
                              </a:cxn>
                              <a:cxn ang="0">
                                <a:pos x="connsiteX3" y="connsiteY3"/>
                              </a:cxn>
                            </a:cxnLst>
                            <a:rect l="l" t="t" r="r" b="b"/>
                            <a:pathLst>
                              <a:path w="3746370" h="929635">
                                <a:moveTo>
                                  <a:pt x="0" y="0"/>
                                </a:moveTo>
                                <a:lnTo>
                                  <a:pt x="3746370" y="0"/>
                                </a:lnTo>
                                <a:lnTo>
                                  <a:pt x="3746370" y="929636"/>
                                </a:lnTo>
                                <a:lnTo>
                                  <a:pt x="0" y="929636"/>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Caixa de Texto 8"/>
                        <wps:cNvSpPr txBox="1"/>
                        <wps:spPr>
                          <a:xfrm>
                            <a:off x="300039" y="5938879"/>
                            <a:ext cx="488315" cy="476885"/>
                          </a:xfrm>
                          <a:prstGeom prst="rect">
                            <a:avLst/>
                          </a:prstGeom>
                          <a:noFill/>
                        </wps:spPr>
                        <wps:txbx>
                          <w:txbxContent>
                            <w:p w14:paraId="16073FCC" w14:textId="77777777" w:rsidR="003E76EF" w:rsidRDefault="003E76EF" w:rsidP="00223784">
                              <w:pPr>
                                <w:textAlignment w:val="baseline"/>
                                <w:rPr>
                                  <w:rFonts w:cs="Arial"/>
                                  <w:color w:val="FFFFFF"/>
                                  <w:sz w:val="36"/>
                                  <w:szCs w:val="36"/>
                                </w:rPr>
                              </w:pPr>
                              <w:r>
                                <w:rPr>
                                  <w:rFonts w:cs="Arial"/>
                                  <w:color w:val="FFFFFF"/>
                                  <w:sz w:val="36"/>
                                  <w:szCs w:val="36"/>
                                </w:rPr>
                                <w:t xml:space="preserve">BB </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1" name="Caixa de Texto 9"/>
                        <wps:cNvSpPr txBox="1"/>
                        <wps:spPr>
                          <a:xfrm>
                            <a:off x="639485" y="5938879"/>
                            <a:ext cx="1352550" cy="476885"/>
                          </a:xfrm>
                          <a:prstGeom prst="rect">
                            <a:avLst/>
                          </a:prstGeom>
                          <a:noFill/>
                        </wps:spPr>
                        <wps:txbx>
                          <w:txbxContent>
                            <w:p w14:paraId="0B66DE83" w14:textId="77777777" w:rsidR="003E76EF" w:rsidRDefault="003E76EF" w:rsidP="00223784">
                              <w:pPr>
                                <w:textAlignment w:val="baseline"/>
                                <w:rPr>
                                  <w:rFonts w:cs="Arial"/>
                                  <w:color w:val="FFFFFF"/>
                                  <w:sz w:val="36"/>
                                  <w:szCs w:val="36"/>
                                </w:rPr>
                              </w:pPr>
                              <w:r>
                                <w:rPr>
                                  <w:rFonts w:cs="Arial"/>
                                  <w:color w:val="FFFFFF"/>
                                  <w:sz w:val="36"/>
                                  <w:szCs w:val="36"/>
                                </w:rPr>
                                <w:t>Seguridade</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2" name="Caixa de Texto 10"/>
                        <wps:cNvSpPr txBox="1"/>
                        <wps:spPr>
                          <a:xfrm>
                            <a:off x="1908441" y="5938879"/>
                            <a:ext cx="1555750" cy="476885"/>
                          </a:xfrm>
                          <a:prstGeom prst="rect">
                            <a:avLst/>
                          </a:prstGeom>
                          <a:noFill/>
                        </wps:spPr>
                        <wps:txbx>
                          <w:txbxContent>
                            <w:p w14:paraId="4D6F264F" w14:textId="77777777" w:rsidR="003E76EF" w:rsidRDefault="003E76EF" w:rsidP="00223784">
                              <w:pPr>
                                <w:textAlignment w:val="baseline"/>
                                <w:rPr>
                                  <w:rFonts w:cs="Arial"/>
                                  <w:color w:val="FFFFFF"/>
                                  <w:sz w:val="36"/>
                                  <w:szCs w:val="36"/>
                                </w:rPr>
                              </w:pPr>
                              <w:r>
                                <w:rPr>
                                  <w:rFonts w:cs="Arial"/>
                                  <w:color w:val="FFFFFF"/>
                                  <w:sz w:val="36"/>
                                  <w:szCs w:val="36"/>
                                </w:rPr>
                                <w:t>Participações</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3" name="Caixa de Texto 11"/>
                        <wps:cNvSpPr txBox="1"/>
                        <wps:spPr>
                          <a:xfrm>
                            <a:off x="3385190" y="5938879"/>
                            <a:ext cx="615315" cy="476885"/>
                          </a:xfrm>
                          <a:prstGeom prst="rect">
                            <a:avLst/>
                          </a:prstGeom>
                          <a:noFill/>
                        </wps:spPr>
                        <wps:txbx>
                          <w:txbxContent>
                            <w:p w14:paraId="5269C75B" w14:textId="77777777" w:rsidR="003E76EF" w:rsidRDefault="003E76EF" w:rsidP="00223784">
                              <w:pPr>
                                <w:textAlignment w:val="baseline"/>
                                <w:rPr>
                                  <w:rFonts w:cs="Arial"/>
                                  <w:color w:val="FFFFFF"/>
                                  <w:sz w:val="36"/>
                                  <w:szCs w:val="36"/>
                                </w:rPr>
                              </w:pPr>
                              <w:r>
                                <w:rPr>
                                  <w:rFonts w:cs="Arial"/>
                                  <w:color w:val="FFFFFF"/>
                                  <w:sz w:val="36"/>
                                  <w:szCs w:val="36"/>
                                </w:rPr>
                                <w:t>S.A.</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4" name="Caixa de Texto 12"/>
                        <wps:cNvSpPr txBox="1"/>
                        <wps:spPr>
                          <a:xfrm>
                            <a:off x="2262160" y="6365275"/>
                            <a:ext cx="1123315" cy="476885"/>
                          </a:xfrm>
                          <a:prstGeom prst="rect">
                            <a:avLst/>
                          </a:prstGeom>
                          <a:noFill/>
                        </wps:spPr>
                        <wps:txbx>
                          <w:txbxContent>
                            <w:p w14:paraId="29C6C1DD" w14:textId="77777777" w:rsidR="003E76EF" w:rsidRDefault="003E76EF" w:rsidP="00223784">
                              <w:pPr>
                                <w:textAlignment w:val="baseline"/>
                                <w:rPr>
                                  <w:rFonts w:cs="Arial"/>
                                  <w:color w:val="FFFFFF"/>
                                  <w:sz w:val="36"/>
                                  <w:szCs w:val="36"/>
                                </w:rPr>
                              </w:pPr>
                              <w:r>
                                <w:rPr>
                                  <w:rFonts w:cs="Arial"/>
                                  <w:color w:val="FFFFFF"/>
                                  <w:sz w:val="36"/>
                                  <w:szCs w:val="36"/>
                                </w:rPr>
                                <w:t>Exercício</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5" name="Caixa de Texto 13"/>
                        <wps:cNvSpPr txBox="1"/>
                        <wps:spPr>
                          <a:xfrm>
                            <a:off x="3272574" y="6365275"/>
                            <a:ext cx="691515" cy="476885"/>
                          </a:xfrm>
                          <a:prstGeom prst="rect">
                            <a:avLst/>
                          </a:prstGeom>
                          <a:noFill/>
                        </wps:spPr>
                        <wps:txbx>
                          <w:txbxContent>
                            <w:p w14:paraId="54984FE2" w14:textId="77777777" w:rsidR="003E76EF" w:rsidRDefault="003E76EF" w:rsidP="00223784">
                              <w:pPr>
                                <w:textAlignment w:val="baseline"/>
                                <w:rPr>
                                  <w:rFonts w:cs="Arial"/>
                                  <w:color w:val="FFFFFF"/>
                                  <w:sz w:val="36"/>
                                  <w:szCs w:val="36"/>
                                </w:rPr>
                              </w:pPr>
                              <w:r>
                                <w:rPr>
                                  <w:rFonts w:cs="Arial"/>
                                  <w:color w:val="FFFFFF"/>
                                  <w:sz w:val="36"/>
                                  <w:szCs w:val="36"/>
                                </w:rPr>
                                <w:t>2021</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6" name="Forma Livre: Forma 16"/>
                        <wps:cNvSpPr/>
                        <wps:spPr>
                          <a:xfrm>
                            <a:off x="228437" y="3291825"/>
                            <a:ext cx="4401223" cy="1661149"/>
                          </a:xfrm>
                          <a:custGeom>
                            <a:avLst/>
                            <a:gdLst>
                              <a:gd name="connsiteX0" fmla="*/ 0 w 4401223"/>
                              <a:gd name="connsiteY0" fmla="*/ 0 h 1661149"/>
                              <a:gd name="connsiteX1" fmla="*/ 4401224 w 4401223"/>
                              <a:gd name="connsiteY1" fmla="*/ 0 h 1661149"/>
                              <a:gd name="connsiteX2" fmla="*/ 4401224 w 4401223"/>
                              <a:gd name="connsiteY2" fmla="*/ 1661150 h 1661149"/>
                              <a:gd name="connsiteX3" fmla="*/ 0 w 4401223"/>
                              <a:gd name="connsiteY3" fmla="*/ 1661150 h 1661149"/>
                            </a:gdLst>
                            <a:ahLst/>
                            <a:cxnLst>
                              <a:cxn ang="0">
                                <a:pos x="connsiteX0" y="connsiteY0"/>
                              </a:cxn>
                              <a:cxn ang="0">
                                <a:pos x="connsiteX1" y="connsiteY1"/>
                              </a:cxn>
                              <a:cxn ang="0">
                                <a:pos x="connsiteX2" y="connsiteY2"/>
                              </a:cxn>
                              <a:cxn ang="0">
                                <a:pos x="connsiteX3" y="connsiteY3"/>
                              </a:cxn>
                            </a:cxnLst>
                            <a:rect l="l" t="t" r="r" b="b"/>
                            <a:pathLst>
                              <a:path w="4401223" h="1661149">
                                <a:moveTo>
                                  <a:pt x="0" y="0"/>
                                </a:moveTo>
                                <a:lnTo>
                                  <a:pt x="4401224" y="0"/>
                                </a:lnTo>
                                <a:lnTo>
                                  <a:pt x="4401224" y="1661150"/>
                                </a:lnTo>
                                <a:lnTo>
                                  <a:pt x="0" y="1661150"/>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Caixa de Texto 15"/>
                        <wps:cNvSpPr txBox="1"/>
                        <wps:spPr>
                          <a:xfrm>
                            <a:off x="225415" y="3302129"/>
                            <a:ext cx="3449320" cy="894080"/>
                          </a:xfrm>
                          <a:prstGeom prst="rect">
                            <a:avLst/>
                          </a:prstGeom>
                          <a:noFill/>
                        </wps:spPr>
                        <wps:txbx>
                          <w:txbxContent>
                            <w:p w14:paraId="3CAC09A6" w14:textId="61D0A2B8" w:rsidR="003E76EF" w:rsidRDefault="003E76EF" w:rsidP="00223784">
                              <w:pPr>
                                <w:textAlignment w:val="baseline"/>
                                <w:rPr>
                                  <w:rFonts w:cs="Arial"/>
                                  <w:b/>
                                  <w:bCs/>
                                  <w:color w:val="FCFC30"/>
                                  <w:position w:val="1"/>
                                  <w:sz w:val="89"/>
                                  <w:szCs w:val="89"/>
                                </w:rPr>
                              </w:pPr>
                              <w:r>
                                <w:rPr>
                                  <w:rFonts w:cs="Arial"/>
                                  <w:b/>
                                  <w:bCs/>
                                  <w:color w:val="FCFC30"/>
                                  <w:position w:val="1"/>
                                  <w:sz w:val="89"/>
                                  <w:szCs w:val="89"/>
                                </w:rPr>
                                <w:t>Relatório da</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8" name="Caixa de Texto 16"/>
                        <wps:cNvSpPr txBox="1"/>
                        <wps:spPr>
                          <a:xfrm>
                            <a:off x="225409" y="3971569"/>
                            <a:ext cx="4109085" cy="894080"/>
                          </a:xfrm>
                          <a:prstGeom prst="rect">
                            <a:avLst/>
                          </a:prstGeom>
                          <a:noFill/>
                        </wps:spPr>
                        <wps:txbx>
                          <w:txbxContent>
                            <w:p w14:paraId="6EC7785A" w14:textId="665DCC72" w:rsidR="003E76EF" w:rsidRDefault="003E76EF" w:rsidP="00223784">
                              <w:pPr>
                                <w:textAlignment w:val="baseline"/>
                                <w:rPr>
                                  <w:rFonts w:cs="Arial"/>
                                  <w:b/>
                                  <w:bCs/>
                                  <w:color w:val="FCFC30"/>
                                  <w:position w:val="1"/>
                                  <w:sz w:val="89"/>
                                  <w:szCs w:val="89"/>
                                </w:rPr>
                              </w:pPr>
                              <w:r>
                                <w:rPr>
                                  <w:rFonts w:cs="Arial"/>
                                  <w:b/>
                                  <w:bCs/>
                                  <w:color w:val="FCFC30"/>
                                  <w:position w:val="1"/>
                                  <w:sz w:val="89"/>
                                  <w:szCs w:val="89"/>
                                </w:rPr>
                                <w:t>Administração</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9" name="Forma Livre: Forma 19"/>
                        <wps:cNvSpPr/>
                        <wps:spPr>
                          <a:xfrm>
                            <a:off x="6144960" y="3512800"/>
                            <a:ext cx="4081411" cy="4084304"/>
                          </a:xfrm>
                          <a:custGeom>
                            <a:avLst/>
                            <a:gdLst>
                              <a:gd name="connsiteX0" fmla="*/ 0 w 4081411"/>
                              <a:gd name="connsiteY0" fmla="*/ 2042152 h 4084304"/>
                              <a:gd name="connsiteX1" fmla="*/ 2040706 w 4081411"/>
                              <a:gd name="connsiteY1" fmla="*/ 0 h 4084304"/>
                              <a:gd name="connsiteX2" fmla="*/ 4081412 w 4081411"/>
                              <a:gd name="connsiteY2" fmla="*/ 2042152 h 4084304"/>
                              <a:gd name="connsiteX3" fmla="*/ 2040706 w 4081411"/>
                              <a:gd name="connsiteY3" fmla="*/ 4084305 h 4084304"/>
                              <a:gd name="connsiteX4" fmla="*/ 0 w 4081411"/>
                              <a:gd name="connsiteY4" fmla="*/ 2042152 h 4084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81411" h="4084304">
                                <a:moveTo>
                                  <a:pt x="0" y="2042152"/>
                                </a:moveTo>
                                <a:cubicBezTo>
                                  <a:pt x="0" y="914297"/>
                                  <a:pt x="913657" y="0"/>
                                  <a:pt x="2040706" y="0"/>
                                </a:cubicBezTo>
                                <a:cubicBezTo>
                                  <a:pt x="3167754" y="0"/>
                                  <a:pt x="4081412" y="914297"/>
                                  <a:pt x="4081412" y="2042152"/>
                                </a:cubicBezTo>
                                <a:cubicBezTo>
                                  <a:pt x="4081412" y="3169993"/>
                                  <a:pt x="3167754" y="4084305"/>
                                  <a:pt x="2040706" y="4084305"/>
                                </a:cubicBezTo>
                                <a:cubicBezTo>
                                  <a:pt x="913657" y="4084305"/>
                                  <a:pt x="0" y="3169993"/>
                                  <a:pt x="0" y="2042152"/>
                                </a:cubicBezTo>
                                <a:close/>
                              </a:path>
                            </a:pathLst>
                          </a:custGeom>
                          <a:noFill/>
                          <a:ln w="19034" cap="flat">
                            <a:solidFill>
                              <a:srgbClr val="FCFC30"/>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vre: Forma 20"/>
                        <wps:cNvSpPr/>
                        <wps:spPr>
                          <a:xfrm>
                            <a:off x="4111869" y="1432552"/>
                            <a:ext cx="1492456" cy="1112514"/>
                          </a:xfrm>
                          <a:custGeom>
                            <a:avLst/>
                            <a:gdLst>
                              <a:gd name="connsiteX0" fmla="*/ 0 w 1492456"/>
                              <a:gd name="connsiteY0" fmla="*/ 0 h 1112514"/>
                              <a:gd name="connsiteX1" fmla="*/ 1492456 w 1492456"/>
                              <a:gd name="connsiteY1" fmla="*/ 0 h 1112514"/>
                              <a:gd name="connsiteX2" fmla="*/ 1492456 w 1492456"/>
                              <a:gd name="connsiteY2" fmla="*/ 1112515 h 1112514"/>
                              <a:gd name="connsiteX3" fmla="*/ 0 w 1492456"/>
                              <a:gd name="connsiteY3" fmla="*/ 1112515 h 1112514"/>
                            </a:gdLst>
                            <a:ahLst/>
                            <a:cxnLst>
                              <a:cxn ang="0">
                                <a:pos x="connsiteX0" y="connsiteY0"/>
                              </a:cxn>
                              <a:cxn ang="0">
                                <a:pos x="connsiteX1" y="connsiteY1"/>
                              </a:cxn>
                              <a:cxn ang="0">
                                <a:pos x="connsiteX2" y="connsiteY2"/>
                              </a:cxn>
                              <a:cxn ang="0">
                                <a:pos x="connsiteX3" y="connsiteY3"/>
                              </a:cxn>
                            </a:cxnLst>
                            <a:rect l="l" t="t" r="r" b="b"/>
                            <a:pathLst>
                              <a:path w="1492456" h="1112514">
                                <a:moveTo>
                                  <a:pt x="0" y="0"/>
                                </a:moveTo>
                                <a:lnTo>
                                  <a:pt x="1492456" y="0"/>
                                </a:lnTo>
                                <a:lnTo>
                                  <a:pt x="1492456" y="1112515"/>
                                </a:lnTo>
                                <a:lnTo>
                                  <a:pt x="0" y="1112515"/>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vre: Forma 21"/>
                        <wps:cNvSpPr/>
                        <wps:spPr>
                          <a:xfrm>
                            <a:off x="5497722" y="2423154"/>
                            <a:ext cx="1675206" cy="1173472"/>
                          </a:xfrm>
                          <a:custGeom>
                            <a:avLst/>
                            <a:gdLst>
                              <a:gd name="connsiteX0" fmla="*/ 0 w 1675206"/>
                              <a:gd name="connsiteY0" fmla="*/ 0 h 1173472"/>
                              <a:gd name="connsiteX1" fmla="*/ 1675206 w 1675206"/>
                              <a:gd name="connsiteY1" fmla="*/ 0 h 1173472"/>
                              <a:gd name="connsiteX2" fmla="*/ 1675206 w 1675206"/>
                              <a:gd name="connsiteY2" fmla="*/ 1173473 h 1173472"/>
                              <a:gd name="connsiteX3" fmla="*/ 0 w 1675206"/>
                              <a:gd name="connsiteY3" fmla="*/ 1173473 h 1173472"/>
                            </a:gdLst>
                            <a:ahLst/>
                            <a:cxnLst>
                              <a:cxn ang="0">
                                <a:pos x="connsiteX0" y="connsiteY0"/>
                              </a:cxn>
                              <a:cxn ang="0">
                                <a:pos x="connsiteX1" y="connsiteY1"/>
                              </a:cxn>
                              <a:cxn ang="0">
                                <a:pos x="connsiteX2" y="connsiteY2"/>
                              </a:cxn>
                              <a:cxn ang="0">
                                <a:pos x="connsiteX3" y="connsiteY3"/>
                              </a:cxn>
                            </a:cxnLst>
                            <a:rect l="l" t="t" r="r" b="b"/>
                            <a:pathLst>
                              <a:path w="1675206" h="1173472">
                                <a:moveTo>
                                  <a:pt x="0" y="0"/>
                                </a:moveTo>
                                <a:lnTo>
                                  <a:pt x="1675206" y="0"/>
                                </a:lnTo>
                                <a:lnTo>
                                  <a:pt x="1675206" y="1173473"/>
                                </a:lnTo>
                                <a:lnTo>
                                  <a:pt x="0" y="1173473"/>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vre: Forma 22"/>
                        <wps:cNvSpPr/>
                        <wps:spPr>
                          <a:xfrm>
                            <a:off x="5870836" y="2202164"/>
                            <a:ext cx="913748" cy="1173481"/>
                          </a:xfrm>
                          <a:custGeom>
                            <a:avLst/>
                            <a:gdLst>
                              <a:gd name="connsiteX0" fmla="*/ 791916 w 913748"/>
                              <a:gd name="connsiteY0" fmla="*/ 535365 h 1173481"/>
                              <a:gd name="connsiteX1" fmla="*/ 793180 w 913748"/>
                              <a:gd name="connsiteY1" fmla="*/ 262611 h 1173481"/>
                              <a:gd name="connsiteX2" fmla="*/ 793180 w 913748"/>
                              <a:gd name="connsiteY2" fmla="*/ 260068 h 1173481"/>
                              <a:gd name="connsiteX3" fmla="*/ 793180 w 913748"/>
                              <a:gd name="connsiteY3" fmla="*/ 258804 h 1173481"/>
                              <a:gd name="connsiteX4" fmla="*/ 793180 w 913748"/>
                              <a:gd name="connsiteY4" fmla="*/ 239767 h 1173481"/>
                              <a:gd name="connsiteX5" fmla="*/ 793180 w 913748"/>
                              <a:gd name="connsiteY5" fmla="*/ 239767 h 1173481"/>
                              <a:gd name="connsiteX6" fmla="*/ 456874 w 913748"/>
                              <a:gd name="connsiteY6" fmla="*/ 0 h 1173481"/>
                              <a:gd name="connsiteX7" fmla="*/ 120569 w 913748"/>
                              <a:gd name="connsiteY7" fmla="*/ 239767 h 1173481"/>
                              <a:gd name="connsiteX8" fmla="*/ 119290 w 913748"/>
                              <a:gd name="connsiteY8" fmla="*/ 239767 h 1173481"/>
                              <a:gd name="connsiteX9" fmla="*/ 119290 w 913748"/>
                              <a:gd name="connsiteY9" fmla="*/ 536629 h 1173481"/>
                              <a:gd name="connsiteX10" fmla="*/ 0 w 913748"/>
                              <a:gd name="connsiteY10" fmla="*/ 536629 h 1173481"/>
                              <a:gd name="connsiteX11" fmla="*/ 0 w 913748"/>
                              <a:gd name="connsiteY11" fmla="*/ 1173482 h 1173481"/>
                              <a:gd name="connsiteX12" fmla="*/ 913749 w 913748"/>
                              <a:gd name="connsiteY12" fmla="*/ 1173482 h 1173481"/>
                              <a:gd name="connsiteX13" fmla="*/ 913749 w 913748"/>
                              <a:gd name="connsiteY13" fmla="*/ 535365 h 1173481"/>
                              <a:gd name="connsiteX14" fmla="*/ 791916 w 913748"/>
                              <a:gd name="connsiteY14" fmla="*/ 535365 h 11734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913748" h="1173481">
                                <a:moveTo>
                                  <a:pt x="791916" y="535365"/>
                                </a:moveTo>
                                <a:lnTo>
                                  <a:pt x="793180" y="262611"/>
                                </a:lnTo>
                                <a:cubicBezTo>
                                  <a:pt x="793180" y="261347"/>
                                  <a:pt x="793180" y="261347"/>
                                  <a:pt x="793180" y="260068"/>
                                </a:cubicBezTo>
                                <a:cubicBezTo>
                                  <a:pt x="793180" y="260068"/>
                                  <a:pt x="793180" y="258804"/>
                                  <a:pt x="793180" y="258804"/>
                                </a:cubicBezTo>
                                <a:lnTo>
                                  <a:pt x="793180" y="239767"/>
                                </a:lnTo>
                                <a:lnTo>
                                  <a:pt x="793180" y="239767"/>
                                </a:lnTo>
                                <a:cubicBezTo>
                                  <a:pt x="779230" y="105294"/>
                                  <a:pt x="634553" y="0"/>
                                  <a:pt x="456874" y="0"/>
                                </a:cubicBezTo>
                                <a:cubicBezTo>
                                  <a:pt x="279196" y="0"/>
                                  <a:pt x="134519" y="105294"/>
                                  <a:pt x="120569" y="239767"/>
                                </a:cubicBezTo>
                                <a:lnTo>
                                  <a:pt x="119290" y="239767"/>
                                </a:lnTo>
                                <a:lnTo>
                                  <a:pt x="119290" y="536629"/>
                                </a:lnTo>
                                <a:lnTo>
                                  <a:pt x="0" y="536629"/>
                                </a:lnTo>
                                <a:lnTo>
                                  <a:pt x="0" y="1173482"/>
                                </a:lnTo>
                                <a:lnTo>
                                  <a:pt x="913749" y="1173482"/>
                                </a:lnTo>
                                <a:lnTo>
                                  <a:pt x="913749" y="535365"/>
                                </a:lnTo>
                                <a:lnTo>
                                  <a:pt x="791916" y="535365"/>
                                </a:ln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vre: Forma 23"/>
                        <wps:cNvSpPr/>
                        <wps:spPr>
                          <a:xfrm>
                            <a:off x="6099273" y="2293615"/>
                            <a:ext cx="472103" cy="441949"/>
                          </a:xfrm>
                          <a:custGeom>
                            <a:avLst/>
                            <a:gdLst>
                              <a:gd name="connsiteX0" fmla="*/ 472104 w 472103"/>
                              <a:gd name="connsiteY0" fmla="*/ 170841 h 441949"/>
                              <a:gd name="connsiteX1" fmla="*/ 236052 w 472103"/>
                              <a:gd name="connsiteY1" fmla="*/ 0 h 441949"/>
                              <a:gd name="connsiteX2" fmla="*/ 0 w 472103"/>
                              <a:gd name="connsiteY2" fmla="*/ 170841 h 441949"/>
                              <a:gd name="connsiteX3" fmla="*/ 0 w 472103"/>
                              <a:gd name="connsiteY3" fmla="*/ 172074 h 441949"/>
                              <a:gd name="connsiteX4" fmla="*/ 0 w 472103"/>
                              <a:gd name="connsiteY4" fmla="*/ 172074 h 441949"/>
                              <a:gd name="connsiteX5" fmla="*/ 0 w 472103"/>
                              <a:gd name="connsiteY5" fmla="*/ 441950 h 441949"/>
                              <a:gd name="connsiteX6" fmla="*/ 469621 w 472103"/>
                              <a:gd name="connsiteY6" fmla="*/ 441950 h 441949"/>
                              <a:gd name="connsiteX7" fmla="*/ 469621 w 472103"/>
                              <a:gd name="connsiteY7" fmla="*/ 190639 h 441949"/>
                              <a:gd name="connsiteX8" fmla="*/ 472104 w 472103"/>
                              <a:gd name="connsiteY8" fmla="*/ 170841 h 44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72103" h="441949">
                                <a:moveTo>
                                  <a:pt x="472104" y="170841"/>
                                </a:moveTo>
                                <a:cubicBezTo>
                                  <a:pt x="472104" y="76740"/>
                                  <a:pt x="366505" y="0"/>
                                  <a:pt x="236052" y="0"/>
                                </a:cubicBezTo>
                                <a:cubicBezTo>
                                  <a:pt x="105599" y="0"/>
                                  <a:pt x="0" y="76740"/>
                                  <a:pt x="0" y="170841"/>
                                </a:cubicBezTo>
                                <a:cubicBezTo>
                                  <a:pt x="0" y="170841"/>
                                  <a:pt x="0" y="172074"/>
                                  <a:pt x="0" y="172074"/>
                                </a:cubicBezTo>
                                <a:lnTo>
                                  <a:pt x="0" y="172074"/>
                                </a:lnTo>
                                <a:lnTo>
                                  <a:pt x="0" y="441950"/>
                                </a:lnTo>
                                <a:lnTo>
                                  <a:pt x="469621" y="441950"/>
                                </a:lnTo>
                                <a:lnTo>
                                  <a:pt x="469621" y="190639"/>
                                </a:lnTo>
                                <a:cubicBezTo>
                                  <a:pt x="470870" y="183207"/>
                                  <a:pt x="472104" y="177024"/>
                                  <a:pt x="472104" y="170841"/>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vre: Forma 24"/>
                        <wps:cNvSpPr/>
                        <wps:spPr>
                          <a:xfrm>
                            <a:off x="6251564" y="2964170"/>
                            <a:ext cx="182749" cy="274307"/>
                          </a:xfrm>
                          <a:custGeom>
                            <a:avLst/>
                            <a:gdLst>
                              <a:gd name="connsiteX0" fmla="*/ 182750 w 182749"/>
                              <a:gd name="connsiteY0" fmla="*/ 90598 h 274307"/>
                              <a:gd name="connsiteX1" fmla="*/ 91375 w 182749"/>
                              <a:gd name="connsiteY1" fmla="*/ 0 h 274307"/>
                              <a:gd name="connsiteX2" fmla="*/ 0 w 182749"/>
                              <a:gd name="connsiteY2" fmla="*/ 90598 h 274307"/>
                              <a:gd name="connsiteX3" fmla="*/ 57109 w 182749"/>
                              <a:gd name="connsiteY3" fmla="*/ 174907 h 274307"/>
                              <a:gd name="connsiteX4" fmla="*/ 59652 w 182749"/>
                              <a:gd name="connsiteY4" fmla="*/ 176171 h 274307"/>
                              <a:gd name="connsiteX5" fmla="*/ 59652 w 182749"/>
                              <a:gd name="connsiteY5" fmla="*/ 274307 h 274307"/>
                              <a:gd name="connsiteX6" fmla="*/ 131991 w 182749"/>
                              <a:gd name="connsiteY6" fmla="*/ 274307 h 274307"/>
                              <a:gd name="connsiteX7" fmla="*/ 131991 w 182749"/>
                              <a:gd name="connsiteY7" fmla="*/ 173643 h 274307"/>
                              <a:gd name="connsiteX8" fmla="*/ 182750 w 182749"/>
                              <a:gd name="connsiteY8" fmla="*/ 90598 h 2743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2749" h="274307">
                                <a:moveTo>
                                  <a:pt x="182750" y="90598"/>
                                </a:moveTo>
                                <a:cubicBezTo>
                                  <a:pt x="182750" y="40266"/>
                                  <a:pt x="142134" y="0"/>
                                  <a:pt x="91375" y="0"/>
                                </a:cubicBezTo>
                                <a:cubicBezTo>
                                  <a:pt x="40616" y="0"/>
                                  <a:pt x="0" y="40266"/>
                                  <a:pt x="0" y="90598"/>
                                </a:cubicBezTo>
                                <a:cubicBezTo>
                                  <a:pt x="0" y="128351"/>
                                  <a:pt x="22844" y="161064"/>
                                  <a:pt x="57109" y="174907"/>
                                </a:cubicBezTo>
                                <a:cubicBezTo>
                                  <a:pt x="58373" y="174907"/>
                                  <a:pt x="58373" y="174907"/>
                                  <a:pt x="59652" y="176171"/>
                                </a:cubicBezTo>
                                <a:lnTo>
                                  <a:pt x="59652" y="274307"/>
                                </a:lnTo>
                                <a:lnTo>
                                  <a:pt x="131991" y="274307"/>
                                </a:lnTo>
                                <a:lnTo>
                                  <a:pt x="131991" y="173643"/>
                                </a:lnTo>
                                <a:cubicBezTo>
                                  <a:pt x="161170" y="158551"/>
                                  <a:pt x="182750" y="127087"/>
                                  <a:pt x="182750" y="90598"/>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vre: Forma 25"/>
                        <wps:cNvSpPr/>
                        <wps:spPr>
                          <a:xfrm>
                            <a:off x="4309848" y="4434818"/>
                            <a:ext cx="1264020" cy="1996434"/>
                          </a:xfrm>
                          <a:custGeom>
                            <a:avLst/>
                            <a:gdLst>
                              <a:gd name="connsiteX0" fmla="*/ 0 w 1264020"/>
                              <a:gd name="connsiteY0" fmla="*/ 0 h 1996434"/>
                              <a:gd name="connsiteX1" fmla="*/ 1264021 w 1264020"/>
                              <a:gd name="connsiteY1" fmla="*/ 0 h 1996434"/>
                              <a:gd name="connsiteX2" fmla="*/ 1264021 w 1264020"/>
                              <a:gd name="connsiteY2" fmla="*/ 1996434 h 1996434"/>
                              <a:gd name="connsiteX3" fmla="*/ 0 w 1264020"/>
                              <a:gd name="connsiteY3" fmla="*/ 1996434 h 1996434"/>
                            </a:gdLst>
                            <a:ahLst/>
                            <a:cxnLst>
                              <a:cxn ang="0">
                                <a:pos x="connsiteX0" y="connsiteY0"/>
                              </a:cxn>
                              <a:cxn ang="0">
                                <a:pos x="connsiteX1" y="connsiteY1"/>
                              </a:cxn>
                              <a:cxn ang="0">
                                <a:pos x="connsiteX2" y="connsiteY2"/>
                              </a:cxn>
                              <a:cxn ang="0">
                                <a:pos x="connsiteX3" y="connsiteY3"/>
                              </a:cxn>
                            </a:cxnLst>
                            <a:rect l="l" t="t" r="r" b="b"/>
                            <a:pathLst>
                              <a:path w="1264020" h="1996434">
                                <a:moveTo>
                                  <a:pt x="0" y="0"/>
                                </a:moveTo>
                                <a:lnTo>
                                  <a:pt x="1264021" y="0"/>
                                </a:lnTo>
                                <a:lnTo>
                                  <a:pt x="1264021" y="1996434"/>
                                </a:lnTo>
                                <a:lnTo>
                                  <a:pt x="0" y="1996434"/>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vre: Forma 26"/>
                        <wps:cNvSpPr/>
                        <wps:spPr>
                          <a:xfrm>
                            <a:off x="4317466" y="4869157"/>
                            <a:ext cx="1233554" cy="1097271"/>
                          </a:xfrm>
                          <a:custGeom>
                            <a:avLst/>
                            <a:gdLst>
                              <a:gd name="connsiteX0" fmla="*/ 657271 w 1233554"/>
                              <a:gd name="connsiteY0" fmla="*/ 32313 h 1097271"/>
                              <a:gd name="connsiteX1" fmla="*/ 1219227 w 1233554"/>
                              <a:gd name="connsiteY1" fmla="*/ 1019192 h 1097271"/>
                              <a:gd name="connsiteX2" fmla="*/ 1189576 w 1233554"/>
                              <a:gd name="connsiteY2" fmla="*/ 1097272 h 1097271"/>
                              <a:gd name="connsiteX3" fmla="*/ 34689 w 1233554"/>
                              <a:gd name="connsiteY3" fmla="*/ 1091881 h 1097271"/>
                              <a:gd name="connsiteX4" fmla="*/ 13124 w 1233554"/>
                              <a:gd name="connsiteY4" fmla="*/ 1028604 h 1097271"/>
                              <a:gd name="connsiteX5" fmla="*/ 583166 w 1233554"/>
                              <a:gd name="connsiteY5" fmla="*/ 32313 h 1097271"/>
                              <a:gd name="connsiteX6" fmla="*/ 657271 w 1233554"/>
                              <a:gd name="connsiteY6" fmla="*/ 32313 h 10972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33554" h="1097271">
                                <a:moveTo>
                                  <a:pt x="657271" y="32313"/>
                                </a:moveTo>
                                <a:lnTo>
                                  <a:pt x="1219227" y="1019192"/>
                                </a:lnTo>
                                <a:cubicBezTo>
                                  <a:pt x="1219227" y="1019192"/>
                                  <a:pt x="1266391" y="1097272"/>
                                  <a:pt x="1189576" y="1097272"/>
                                </a:cubicBezTo>
                                <a:cubicBezTo>
                                  <a:pt x="1112775" y="1097272"/>
                                  <a:pt x="34689" y="1091881"/>
                                  <a:pt x="34689" y="1091881"/>
                                </a:cubicBezTo>
                                <a:cubicBezTo>
                                  <a:pt x="34689" y="1091881"/>
                                  <a:pt x="-25954" y="1097272"/>
                                  <a:pt x="13124" y="1028604"/>
                                </a:cubicBezTo>
                                <a:cubicBezTo>
                                  <a:pt x="52202" y="959951"/>
                                  <a:pt x="583166" y="32313"/>
                                  <a:pt x="583166" y="32313"/>
                                </a:cubicBezTo>
                                <a:cubicBezTo>
                                  <a:pt x="583166" y="32313"/>
                                  <a:pt x="615497" y="-40391"/>
                                  <a:pt x="657271" y="32313"/>
                                </a:cubicBez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orma Livre: Forma 27"/>
                        <wps:cNvSpPr/>
                        <wps:spPr>
                          <a:xfrm>
                            <a:off x="4896170" y="5143476"/>
                            <a:ext cx="91374" cy="502911"/>
                          </a:xfrm>
                          <a:custGeom>
                            <a:avLst/>
                            <a:gdLst>
                              <a:gd name="connsiteX0" fmla="*/ 0 w 91374"/>
                              <a:gd name="connsiteY0" fmla="*/ 0 h 502911"/>
                              <a:gd name="connsiteX1" fmla="*/ 91375 w 91374"/>
                              <a:gd name="connsiteY1" fmla="*/ 0 h 502911"/>
                              <a:gd name="connsiteX2" fmla="*/ 91375 w 91374"/>
                              <a:gd name="connsiteY2" fmla="*/ 502912 h 502911"/>
                              <a:gd name="connsiteX3" fmla="*/ 0 w 91374"/>
                              <a:gd name="connsiteY3" fmla="*/ 502912 h 502911"/>
                            </a:gdLst>
                            <a:ahLst/>
                            <a:cxnLst>
                              <a:cxn ang="0">
                                <a:pos x="connsiteX0" y="connsiteY0"/>
                              </a:cxn>
                              <a:cxn ang="0">
                                <a:pos x="connsiteX1" y="connsiteY1"/>
                              </a:cxn>
                              <a:cxn ang="0">
                                <a:pos x="connsiteX2" y="connsiteY2"/>
                              </a:cxn>
                              <a:cxn ang="0">
                                <a:pos x="connsiteX3" y="connsiteY3"/>
                              </a:cxn>
                            </a:cxnLst>
                            <a:rect l="l" t="t" r="r" b="b"/>
                            <a:pathLst>
                              <a:path w="91374" h="502911">
                                <a:moveTo>
                                  <a:pt x="0" y="0"/>
                                </a:moveTo>
                                <a:lnTo>
                                  <a:pt x="91375" y="0"/>
                                </a:lnTo>
                                <a:lnTo>
                                  <a:pt x="91375" y="502912"/>
                                </a:lnTo>
                                <a:lnTo>
                                  <a:pt x="0" y="502912"/>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orma Livre: Forma 28"/>
                        <wps:cNvSpPr/>
                        <wps:spPr>
                          <a:xfrm>
                            <a:off x="4865712" y="5707350"/>
                            <a:ext cx="137062" cy="152397"/>
                          </a:xfrm>
                          <a:custGeom>
                            <a:avLst/>
                            <a:gdLst>
                              <a:gd name="connsiteX0" fmla="*/ 137062 w 137062"/>
                              <a:gd name="connsiteY0" fmla="*/ 76207 h 152397"/>
                              <a:gd name="connsiteX1" fmla="*/ 68531 w 137062"/>
                              <a:gd name="connsiteY1" fmla="*/ 152398 h 152397"/>
                              <a:gd name="connsiteX2" fmla="*/ 0 w 137062"/>
                              <a:gd name="connsiteY2" fmla="*/ 76207 h 152397"/>
                              <a:gd name="connsiteX3" fmla="*/ 68531 w 137062"/>
                              <a:gd name="connsiteY3" fmla="*/ 0 h 152397"/>
                              <a:gd name="connsiteX4" fmla="*/ 137062 w 137062"/>
                              <a:gd name="connsiteY4" fmla="*/ 76207 h 15239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7062" h="152397">
                                <a:moveTo>
                                  <a:pt x="137062" y="76207"/>
                                </a:moveTo>
                                <a:cubicBezTo>
                                  <a:pt x="137062" y="118285"/>
                                  <a:pt x="106375" y="152398"/>
                                  <a:pt x="68531" y="152398"/>
                                </a:cubicBezTo>
                                <a:cubicBezTo>
                                  <a:pt x="30687" y="152398"/>
                                  <a:pt x="0" y="118285"/>
                                  <a:pt x="0" y="76207"/>
                                </a:cubicBezTo>
                                <a:cubicBezTo>
                                  <a:pt x="0" y="34113"/>
                                  <a:pt x="30687" y="0"/>
                                  <a:pt x="68531" y="0"/>
                                </a:cubicBezTo>
                                <a:cubicBezTo>
                                  <a:pt x="106375" y="0"/>
                                  <a:pt x="137062" y="34113"/>
                                  <a:pt x="137062" y="76207"/>
                                </a:cubicBez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orma Livre: Forma 29"/>
                        <wps:cNvSpPr/>
                        <wps:spPr>
                          <a:xfrm>
                            <a:off x="5269284" y="7269449"/>
                            <a:ext cx="1324935" cy="1371593"/>
                          </a:xfrm>
                          <a:custGeom>
                            <a:avLst/>
                            <a:gdLst>
                              <a:gd name="connsiteX0" fmla="*/ 0 w 1324935"/>
                              <a:gd name="connsiteY0" fmla="*/ 0 h 1371593"/>
                              <a:gd name="connsiteX1" fmla="*/ 1324936 w 1324935"/>
                              <a:gd name="connsiteY1" fmla="*/ 0 h 1371593"/>
                              <a:gd name="connsiteX2" fmla="*/ 1324936 w 1324935"/>
                              <a:gd name="connsiteY2" fmla="*/ 1371594 h 1371593"/>
                              <a:gd name="connsiteX3" fmla="*/ 0 w 1324935"/>
                              <a:gd name="connsiteY3" fmla="*/ 1371594 h 1371593"/>
                            </a:gdLst>
                            <a:ahLst/>
                            <a:cxnLst>
                              <a:cxn ang="0">
                                <a:pos x="connsiteX0" y="connsiteY0"/>
                              </a:cxn>
                              <a:cxn ang="0">
                                <a:pos x="connsiteX1" y="connsiteY1"/>
                              </a:cxn>
                              <a:cxn ang="0">
                                <a:pos x="connsiteX2" y="connsiteY2"/>
                              </a:cxn>
                              <a:cxn ang="0">
                                <a:pos x="connsiteX3" y="connsiteY3"/>
                              </a:cxn>
                            </a:cxnLst>
                            <a:rect l="l" t="t" r="r" b="b"/>
                            <a:pathLst>
                              <a:path w="1324935" h="1371593">
                                <a:moveTo>
                                  <a:pt x="0" y="0"/>
                                </a:moveTo>
                                <a:lnTo>
                                  <a:pt x="1324936" y="0"/>
                                </a:lnTo>
                                <a:lnTo>
                                  <a:pt x="1324936" y="1371594"/>
                                </a:lnTo>
                                <a:lnTo>
                                  <a:pt x="0" y="1371594"/>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orma Livre: Forma 30"/>
                        <wps:cNvSpPr/>
                        <wps:spPr>
                          <a:xfrm>
                            <a:off x="6266788" y="7688540"/>
                            <a:ext cx="304588" cy="670561"/>
                          </a:xfrm>
                          <a:custGeom>
                            <a:avLst/>
                            <a:gdLst>
                              <a:gd name="connsiteX0" fmla="*/ 304588 w 304588"/>
                              <a:gd name="connsiteY0" fmla="*/ 0 h 670561"/>
                              <a:gd name="connsiteX1" fmla="*/ 304588 w 304588"/>
                              <a:gd name="connsiteY1" fmla="*/ 670372 h 670561"/>
                              <a:gd name="connsiteX2" fmla="*/ 32459 w 304588"/>
                              <a:gd name="connsiteY2" fmla="*/ 670372 h 670561"/>
                              <a:gd name="connsiteX3" fmla="*/ 97 w 304588"/>
                              <a:gd name="connsiteY3" fmla="*/ 640705 h 670561"/>
                              <a:gd name="connsiteX4" fmla="*/ 97 w 304588"/>
                              <a:gd name="connsiteY4" fmla="*/ 31144 h 670561"/>
                              <a:gd name="connsiteX5" fmla="*/ 23641 w 304588"/>
                              <a:gd name="connsiteY5" fmla="*/ 0 h 670561"/>
                              <a:gd name="connsiteX6" fmla="*/ 304588 w 304588"/>
                              <a:gd name="connsiteY6" fmla="*/ 0 h 6705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4588" h="670561">
                                <a:moveTo>
                                  <a:pt x="304588" y="0"/>
                                </a:moveTo>
                                <a:lnTo>
                                  <a:pt x="304588" y="670372"/>
                                </a:lnTo>
                                <a:lnTo>
                                  <a:pt x="32459" y="670372"/>
                                </a:lnTo>
                                <a:cubicBezTo>
                                  <a:pt x="32459" y="670372"/>
                                  <a:pt x="7453" y="674819"/>
                                  <a:pt x="97" y="640705"/>
                                </a:cubicBezTo>
                                <a:lnTo>
                                  <a:pt x="97" y="31144"/>
                                </a:lnTo>
                                <a:cubicBezTo>
                                  <a:pt x="97" y="31144"/>
                                  <a:pt x="-2843" y="0"/>
                                  <a:pt x="23641" y="0"/>
                                </a:cubicBezTo>
                                <a:cubicBezTo>
                                  <a:pt x="50109" y="0"/>
                                  <a:pt x="304588" y="0"/>
                                  <a:pt x="304588" y="0"/>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orma Livre: Forma 31"/>
                        <wps:cNvSpPr/>
                        <wps:spPr>
                          <a:xfrm>
                            <a:off x="5307357" y="7292310"/>
                            <a:ext cx="868061" cy="1112502"/>
                          </a:xfrm>
                          <a:custGeom>
                            <a:avLst/>
                            <a:gdLst>
                              <a:gd name="connsiteX0" fmla="*/ 868062 w 868061"/>
                              <a:gd name="connsiteY0" fmla="*/ 479488 h 1112502"/>
                              <a:gd name="connsiteX1" fmla="*/ 868062 w 868061"/>
                              <a:gd name="connsiteY1" fmla="*/ 995391 h 1112502"/>
                              <a:gd name="connsiteX2" fmla="*/ 648259 w 868061"/>
                              <a:gd name="connsiteY2" fmla="*/ 1112503 h 1112502"/>
                              <a:gd name="connsiteX3" fmla="*/ 199654 w 868061"/>
                              <a:gd name="connsiteY3" fmla="*/ 1112503 h 1112502"/>
                              <a:gd name="connsiteX4" fmla="*/ 183207 w 868061"/>
                              <a:gd name="connsiteY4" fmla="*/ 953876 h 1112502"/>
                              <a:gd name="connsiteX5" fmla="*/ 93492 w 868061"/>
                              <a:gd name="connsiteY5" fmla="*/ 796742 h 1112502"/>
                              <a:gd name="connsiteX6" fmla="*/ 57612 w 868061"/>
                              <a:gd name="connsiteY6" fmla="*/ 632191 h 1112502"/>
                              <a:gd name="connsiteX7" fmla="*/ 60597 w 868061"/>
                              <a:gd name="connsiteY7" fmla="*/ 436496 h 1112502"/>
                              <a:gd name="connsiteX8" fmla="*/ 434427 w 868061"/>
                              <a:gd name="connsiteY8" fmla="*/ 436496 h 1112502"/>
                              <a:gd name="connsiteX9" fmla="*/ 458352 w 868061"/>
                              <a:gd name="connsiteY9" fmla="*/ 392027 h 1112502"/>
                              <a:gd name="connsiteX10" fmla="*/ 407502 w 868061"/>
                              <a:gd name="connsiteY10" fmla="*/ 245264 h 1112502"/>
                              <a:gd name="connsiteX11" fmla="*/ 403024 w 868061"/>
                              <a:gd name="connsiteY11" fmla="*/ 42168 h 1112502"/>
                              <a:gd name="connsiteX12" fmla="*/ 582454 w 868061"/>
                              <a:gd name="connsiteY12" fmla="*/ 42168 h 1112502"/>
                              <a:gd name="connsiteX13" fmla="*/ 588440 w 868061"/>
                              <a:gd name="connsiteY13" fmla="*/ 162235 h 1112502"/>
                              <a:gd name="connsiteX14" fmla="*/ 868062 w 868061"/>
                              <a:gd name="connsiteY14" fmla="*/ 479488 h 11125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868061" h="1112502">
                                <a:moveTo>
                                  <a:pt x="868062" y="479488"/>
                                </a:moveTo>
                                <a:lnTo>
                                  <a:pt x="868062" y="995391"/>
                                </a:lnTo>
                                <a:lnTo>
                                  <a:pt x="648259" y="1112503"/>
                                </a:lnTo>
                                <a:lnTo>
                                  <a:pt x="199654" y="1112503"/>
                                </a:lnTo>
                                <a:cubicBezTo>
                                  <a:pt x="199654" y="1112503"/>
                                  <a:pt x="105462" y="1041352"/>
                                  <a:pt x="183207" y="953876"/>
                                </a:cubicBezTo>
                                <a:cubicBezTo>
                                  <a:pt x="183207" y="953876"/>
                                  <a:pt x="56120" y="946474"/>
                                  <a:pt x="93492" y="796742"/>
                                </a:cubicBezTo>
                                <a:cubicBezTo>
                                  <a:pt x="93492" y="796742"/>
                                  <a:pt x="-21640" y="768568"/>
                                  <a:pt x="57612" y="632191"/>
                                </a:cubicBezTo>
                                <a:cubicBezTo>
                                  <a:pt x="57612" y="632191"/>
                                  <a:pt x="-73983" y="543237"/>
                                  <a:pt x="60597" y="436496"/>
                                </a:cubicBezTo>
                                <a:lnTo>
                                  <a:pt x="434427" y="436496"/>
                                </a:lnTo>
                                <a:cubicBezTo>
                                  <a:pt x="434427" y="436496"/>
                                  <a:pt x="458352" y="427602"/>
                                  <a:pt x="458352" y="392027"/>
                                </a:cubicBezTo>
                                <a:cubicBezTo>
                                  <a:pt x="458352" y="392027"/>
                                  <a:pt x="417980" y="323831"/>
                                  <a:pt x="407502" y="245264"/>
                                </a:cubicBezTo>
                                <a:cubicBezTo>
                                  <a:pt x="397040" y="166681"/>
                                  <a:pt x="403024" y="42168"/>
                                  <a:pt x="403024" y="42168"/>
                                </a:cubicBezTo>
                                <a:cubicBezTo>
                                  <a:pt x="403024" y="42168"/>
                                  <a:pt x="497232" y="-52710"/>
                                  <a:pt x="582454" y="42168"/>
                                </a:cubicBezTo>
                                <a:lnTo>
                                  <a:pt x="588440" y="162235"/>
                                </a:lnTo>
                                <a:cubicBezTo>
                                  <a:pt x="588440" y="162235"/>
                                  <a:pt x="637782" y="350513"/>
                                  <a:pt x="868062" y="479488"/>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orma Livre: Forma 32"/>
                        <wps:cNvSpPr/>
                        <wps:spPr>
                          <a:xfrm>
                            <a:off x="4005265" y="8244800"/>
                            <a:ext cx="1385852" cy="1737356"/>
                          </a:xfrm>
                          <a:custGeom>
                            <a:avLst/>
                            <a:gdLst>
                              <a:gd name="connsiteX0" fmla="*/ 0 w 1385852"/>
                              <a:gd name="connsiteY0" fmla="*/ 0 h 1737356"/>
                              <a:gd name="connsiteX1" fmla="*/ 1385852 w 1385852"/>
                              <a:gd name="connsiteY1" fmla="*/ 0 h 1737356"/>
                              <a:gd name="connsiteX2" fmla="*/ 1385852 w 1385852"/>
                              <a:gd name="connsiteY2" fmla="*/ 1737356 h 1737356"/>
                              <a:gd name="connsiteX3" fmla="*/ 0 w 1385852"/>
                              <a:gd name="connsiteY3" fmla="*/ 1737356 h 1737356"/>
                            </a:gdLst>
                            <a:ahLst/>
                            <a:cxnLst>
                              <a:cxn ang="0">
                                <a:pos x="connsiteX0" y="connsiteY0"/>
                              </a:cxn>
                              <a:cxn ang="0">
                                <a:pos x="connsiteX1" y="connsiteY1"/>
                              </a:cxn>
                              <a:cxn ang="0">
                                <a:pos x="connsiteX2" y="connsiteY2"/>
                              </a:cxn>
                              <a:cxn ang="0">
                                <a:pos x="connsiteX3" y="connsiteY3"/>
                              </a:cxn>
                            </a:cxnLst>
                            <a:rect l="l" t="t" r="r" b="b"/>
                            <a:pathLst>
                              <a:path w="1385852" h="1737356">
                                <a:moveTo>
                                  <a:pt x="0" y="0"/>
                                </a:moveTo>
                                <a:lnTo>
                                  <a:pt x="1385852" y="0"/>
                                </a:lnTo>
                                <a:lnTo>
                                  <a:pt x="1385852" y="1737356"/>
                                </a:lnTo>
                                <a:lnTo>
                                  <a:pt x="0" y="1737356"/>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3" name="Gráfico 7"/>
                        <wpg:cNvGrpSpPr/>
                        <wpg:grpSpPr>
                          <a:xfrm>
                            <a:off x="4270140" y="8499077"/>
                            <a:ext cx="734269" cy="1183061"/>
                            <a:chOff x="4270140" y="8499077"/>
                            <a:chExt cx="734269" cy="1183061"/>
                          </a:xfrm>
                          <a:solidFill>
                            <a:srgbClr val="002D4B"/>
                          </a:solidFill>
                        </wpg:grpSpPr>
                        <wps:wsp>
                          <wps:cNvPr id="38" name="Forma Livre: Forma 38"/>
                          <wps:cNvSpPr/>
                          <wps:spPr>
                            <a:xfrm>
                              <a:off x="4320487" y="9611211"/>
                              <a:ext cx="625923" cy="70927"/>
                            </a:xfrm>
                            <a:custGeom>
                              <a:avLst/>
                              <a:gdLst>
                                <a:gd name="connsiteX0" fmla="*/ 280 w 625923"/>
                                <a:gd name="connsiteY0" fmla="*/ 558 h 70927"/>
                                <a:gd name="connsiteX1" fmla="*/ 626203 w 625923"/>
                                <a:gd name="connsiteY1" fmla="*/ 558 h 70927"/>
                                <a:gd name="connsiteX2" fmla="*/ 626203 w 625923"/>
                                <a:gd name="connsiteY2" fmla="*/ 71486 h 70927"/>
                                <a:gd name="connsiteX3" fmla="*/ 280 w 625923"/>
                                <a:gd name="connsiteY3" fmla="*/ 71486 h 70927"/>
                              </a:gdLst>
                              <a:ahLst/>
                              <a:cxnLst>
                                <a:cxn ang="0">
                                  <a:pos x="connsiteX0" y="connsiteY0"/>
                                </a:cxn>
                                <a:cxn ang="0">
                                  <a:pos x="connsiteX1" y="connsiteY1"/>
                                </a:cxn>
                                <a:cxn ang="0">
                                  <a:pos x="connsiteX2" y="connsiteY2"/>
                                </a:cxn>
                                <a:cxn ang="0">
                                  <a:pos x="connsiteX3" y="connsiteY3"/>
                                </a:cxn>
                              </a:cxnLst>
                              <a:rect l="l" t="t" r="r" b="b"/>
                              <a:pathLst>
                                <a:path w="625923" h="70927">
                                  <a:moveTo>
                                    <a:pt x="280" y="558"/>
                                  </a:moveTo>
                                  <a:lnTo>
                                    <a:pt x="626203" y="558"/>
                                  </a:lnTo>
                                  <a:lnTo>
                                    <a:pt x="626203" y="71486"/>
                                  </a:lnTo>
                                  <a:lnTo>
                                    <a:pt x="280" y="71486"/>
                                  </a:ln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orma Livre: Forma 39"/>
                          <wps:cNvSpPr/>
                          <wps:spPr>
                            <a:xfrm>
                              <a:off x="4270140" y="8499077"/>
                              <a:ext cx="734269" cy="1053531"/>
                            </a:xfrm>
                            <a:custGeom>
                              <a:avLst/>
                              <a:gdLst>
                                <a:gd name="connsiteX0" fmla="*/ 50627 w 734269"/>
                                <a:gd name="connsiteY0" fmla="*/ 1054089 h 1053531"/>
                                <a:gd name="connsiteX1" fmla="*/ 668895 w 734269"/>
                                <a:gd name="connsiteY1" fmla="*/ 1054089 h 1053531"/>
                                <a:gd name="connsiteX2" fmla="*/ 676550 w 734269"/>
                                <a:gd name="connsiteY2" fmla="*/ 922986 h 1053531"/>
                                <a:gd name="connsiteX3" fmla="*/ 610895 w 734269"/>
                                <a:gd name="connsiteY3" fmla="*/ 847467 h 1053531"/>
                                <a:gd name="connsiteX4" fmla="*/ 519292 w 734269"/>
                                <a:gd name="connsiteY4" fmla="*/ 847467 h 1053531"/>
                                <a:gd name="connsiteX5" fmla="*/ 517856 w 734269"/>
                                <a:gd name="connsiteY5" fmla="*/ 671174 h 1053531"/>
                                <a:gd name="connsiteX6" fmla="*/ 592240 w 734269"/>
                                <a:gd name="connsiteY6" fmla="*/ 671174 h 1053531"/>
                                <a:gd name="connsiteX7" fmla="*/ 675951 w 734269"/>
                                <a:gd name="connsiteY7" fmla="*/ 581154 h 1053531"/>
                                <a:gd name="connsiteX8" fmla="*/ 675951 w 734269"/>
                                <a:gd name="connsiteY8" fmla="*/ 185431 h 1053531"/>
                                <a:gd name="connsiteX9" fmla="*/ 734550 w 734269"/>
                                <a:gd name="connsiteY9" fmla="*/ 185431 h 1053531"/>
                                <a:gd name="connsiteX10" fmla="*/ 734550 w 734269"/>
                                <a:gd name="connsiteY10" fmla="*/ 117765 h 1053531"/>
                                <a:gd name="connsiteX11" fmla="*/ 676550 w 734269"/>
                                <a:gd name="connsiteY11" fmla="*/ 56141 h 1053531"/>
                                <a:gd name="connsiteX12" fmla="*/ 589610 w 734269"/>
                                <a:gd name="connsiteY12" fmla="*/ 56141 h 1053531"/>
                                <a:gd name="connsiteX13" fmla="*/ 568322 w 734269"/>
                                <a:gd name="connsiteY13" fmla="*/ 558 h 1053531"/>
                                <a:gd name="connsiteX14" fmla="*/ 157539 w 734269"/>
                                <a:gd name="connsiteY14" fmla="*/ 558 h 1053531"/>
                                <a:gd name="connsiteX15" fmla="*/ 131588 w 734269"/>
                                <a:gd name="connsiteY15" fmla="*/ 60974 h 1053531"/>
                                <a:gd name="connsiteX16" fmla="*/ 50627 w 734269"/>
                                <a:gd name="connsiteY16" fmla="*/ 63995 h 1053531"/>
                                <a:gd name="connsiteX17" fmla="*/ 280 w 734269"/>
                                <a:gd name="connsiteY17" fmla="*/ 117765 h 1053531"/>
                                <a:gd name="connsiteX18" fmla="*/ 280 w 734269"/>
                                <a:gd name="connsiteY18" fmla="*/ 185431 h 1053531"/>
                                <a:gd name="connsiteX19" fmla="*/ 50627 w 734269"/>
                                <a:gd name="connsiteY19" fmla="*/ 185431 h 1053531"/>
                                <a:gd name="connsiteX20" fmla="*/ 50627 w 734269"/>
                                <a:gd name="connsiteY20" fmla="*/ 552759 h 1053531"/>
                                <a:gd name="connsiteX21" fmla="*/ 142231 w 734269"/>
                                <a:gd name="connsiteY21" fmla="*/ 668515 h 1053531"/>
                                <a:gd name="connsiteX22" fmla="*/ 209559 w 734269"/>
                                <a:gd name="connsiteY22" fmla="*/ 668515 h 1053531"/>
                                <a:gd name="connsiteX23" fmla="*/ 209559 w 734269"/>
                                <a:gd name="connsiteY23" fmla="*/ 844325 h 1053531"/>
                                <a:gd name="connsiteX24" fmla="*/ 119390 w 734269"/>
                                <a:gd name="connsiteY24" fmla="*/ 844325 h 1053531"/>
                                <a:gd name="connsiteX25" fmla="*/ 50627 w 734269"/>
                                <a:gd name="connsiteY25" fmla="*/ 918394 h 10535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734269" h="1053531">
                                  <a:moveTo>
                                    <a:pt x="50627" y="1054089"/>
                                  </a:moveTo>
                                  <a:lnTo>
                                    <a:pt x="668895" y="1054089"/>
                                  </a:lnTo>
                                  <a:lnTo>
                                    <a:pt x="676550" y="922986"/>
                                  </a:lnTo>
                                  <a:cubicBezTo>
                                    <a:pt x="668183" y="888492"/>
                                    <a:pt x="643673" y="860297"/>
                                    <a:pt x="610895" y="847467"/>
                                  </a:cubicBezTo>
                                  <a:lnTo>
                                    <a:pt x="519292" y="847467"/>
                                  </a:lnTo>
                                  <a:lnTo>
                                    <a:pt x="517856" y="671174"/>
                                  </a:lnTo>
                                  <a:lnTo>
                                    <a:pt x="592240" y="671174"/>
                                  </a:lnTo>
                                  <a:cubicBezTo>
                                    <a:pt x="592240" y="671174"/>
                                    <a:pt x="663993" y="642416"/>
                                    <a:pt x="675951" y="581154"/>
                                  </a:cubicBezTo>
                                  <a:lnTo>
                                    <a:pt x="675951" y="185431"/>
                                  </a:lnTo>
                                  <a:lnTo>
                                    <a:pt x="734550" y="185431"/>
                                  </a:lnTo>
                                  <a:lnTo>
                                    <a:pt x="734550" y="117765"/>
                                  </a:lnTo>
                                  <a:cubicBezTo>
                                    <a:pt x="731784" y="86079"/>
                                    <a:pt x="707731" y="60521"/>
                                    <a:pt x="676550" y="56141"/>
                                  </a:cubicBezTo>
                                  <a:cubicBezTo>
                                    <a:pt x="647872" y="50166"/>
                                    <a:pt x="618288" y="50166"/>
                                    <a:pt x="589610" y="56141"/>
                                  </a:cubicBezTo>
                                  <a:lnTo>
                                    <a:pt x="568322" y="558"/>
                                  </a:lnTo>
                                  <a:lnTo>
                                    <a:pt x="157539" y="558"/>
                                  </a:lnTo>
                                  <a:lnTo>
                                    <a:pt x="131588" y="60974"/>
                                  </a:lnTo>
                                  <a:lnTo>
                                    <a:pt x="50627" y="63995"/>
                                  </a:lnTo>
                                  <a:cubicBezTo>
                                    <a:pt x="50627" y="63995"/>
                                    <a:pt x="15587" y="69915"/>
                                    <a:pt x="280" y="117765"/>
                                  </a:cubicBezTo>
                                  <a:lnTo>
                                    <a:pt x="280" y="185431"/>
                                  </a:lnTo>
                                  <a:lnTo>
                                    <a:pt x="50627" y="185431"/>
                                  </a:lnTo>
                                  <a:lnTo>
                                    <a:pt x="50627" y="552759"/>
                                  </a:lnTo>
                                  <a:cubicBezTo>
                                    <a:pt x="50627" y="552759"/>
                                    <a:pt x="64379" y="660783"/>
                                    <a:pt x="142231" y="668515"/>
                                  </a:cubicBezTo>
                                  <a:lnTo>
                                    <a:pt x="209559" y="668515"/>
                                  </a:lnTo>
                                  <a:lnTo>
                                    <a:pt x="209559" y="844325"/>
                                  </a:lnTo>
                                  <a:lnTo>
                                    <a:pt x="119390" y="844325"/>
                                  </a:lnTo>
                                  <a:cubicBezTo>
                                    <a:pt x="119390" y="844325"/>
                                    <a:pt x="73587" y="855079"/>
                                    <a:pt x="50627" y="918394"/>
                                  </a:cubicBez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orma Livre: Forma 40"/>
                          <wps:cNvSpPr/>
                          <wps:spPr>
                            <a:xfrm>
                              <a:off x="4375324" y="8683950"/>
                              <a:ext cx="517053" cy="430213"/>
                            </a:xfrm>
                            <a:custGeom>
                              <a:avLst/>
                              <a:gdLst>
                                <a:gd name="connsiteX0" fmla="*/ 195979 w 517053"/>
                                <a:gd name="connsiteY0" fmla="*/ 339248 h 430213"/>
                                <a:gd name="connsiteX1" fmla="*/ 195979 w 517053"/>
                                <a:gd name="connsiteY1" fmla="*/ 430113 h 430213"/>
                                <a:gd name="connsiteX2" fmla="*/ 65269 w 517053"/>
                                <a:gd name="connsiteY2" fmla="*/ 430113 h 430213"/>
                                <a:gd name="connsiteX3" fmla="*/ 812 w 517053"/>
                                <a:gd name="connsiteY3" fmla="*/ 370665 h 430213"/>
                                <a:gd name="connsiteX4" fmla="*/ 812 w 517053"/>
                                <a:gd name="connsiteY4" fmla="*/ 558 h 430213"/>
                                <a:gd name="connsiteX5" fmla="*/ 517192 w 517053"/>
                                <a:gd name="connsiteY5" fmla="*/ 558 h 430213"/>
                                <a:gd name="connsiteX6" fmla="*/ 517192 w 517053"/>
                                <a:gd name="connsiteY6" fmla="*/ 354956 h 430213"/>
                                <a:gd name="connsiteX7" fmla="*/ 464932 w 517053"/>
                                <a:gd name="connsiteY7" fmla="*/ 430235 h 430213"/>
                                <a:gd name="connsiteX8" fmla="*/ 333386 w 517053"/>
                                <a:gd name="connsiteY8" fmla="*/ 430235 h 430213"/>
                                <a:gd name="connsiteX9" fmla="*/ 333386 w 517053"/>
                                <a:gd name="connsiteY9" fmla="*/ 339248 h 4302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17053" h="430213">
                                  <a:moveTo>
                                    <a:pt x="195979" y="339248"/>
                                  </a:moveTo>
                                  <a:lnTo>
                                    <a:pt x="195979" y="430113"/>
                                  </a:lnTo>
                                  <a:lnTo>
                                    <a:pt x="65269" y="430113"/>
                                  </a:lnTo>
                                  <a:cubicBezTo>
                                    <a:pt x="65269" y="430113"/>
                                    <a:pt x="2007" y="431323"/>
                                    <a:pt x="812" y="370665"/>
                                  </a:cubicBezTo>
                                  <a:cubicBezTo>
                                    <a:pt x="-384" y="310007"/>
                                    <a:pt x="812" y="558"/>
                                    <a:pt x="812" y="558"/>
                                  </a:cubicBezTo>
                                  <a:lnTo>
                                    <a:pt x="517192" y="558"/>
                                  </a:lnTo>
                                  <a:lnTo>
                                    <a:pt x="517192" y="354956"/>
                                  </a:lnTo>
                                  <a:cubicBezTo>
                                    <a:pt x="517192" y="354956"/>
                                    <a:pt x="522693" y="429027"/>
                                    <a:pt x="464932" y="430235"/>
                                  </a:cubicBezTo>
                                  <a:cubicBezTo>
                                    <a:pt x="407171" y="431443"/>
                                    <a:pt x="333386" y="430235"/>
                                    <a:pt x="333386" y="430235"/>
                                  </a:cubicBezTo>
                                  <a:lnTo>
                                    <a:pt x="333386" y="339248"/>
                                  </a:ln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orma Livre: Forma 41"/>
                          <wps:cNvSpPr/>
                          <wps:spPr>
                            <a:xfrm>
                              <a:off x="4591234" y="9207150"/>
                              <a:ext cx="88255" cy="89173"/>
                            </a:xfrm>
                            <a:custGeom>
                              <a:avLst/>
                              <a:gdLst>
                                <a:gd name="connsiteX0" fmla="*/ 88536 w 88255"/>
                                <a:gd name="connsiteY0" fmla="*/ 45145 h 89173"/>
                                <a:gd name="connsiteX1" fmla="*/ 44408 w 88255"/>
                                <a:gd name="connsiteY1" fmla="*/ 89732 h 89173"/>
                                <a:gd name="connsiteX2" fmla="*/ 280 w 88255"/>
                                <a:gd name="connsiteY2" fmla="*/ 45145 h 89173"/>
                                <a:gd name="connsiteX3" fmla="*/ 44408 w 88255"/>
                                <a:gd name="connsiteY3" fmla="*/ 558 h 89173"/>
                                <a:gd name="connsiteX4" fmla="*/ 88536 w 88255"/>
                                <a:gd name="connsiteY4" fmla="*/ 45145 h 8917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8255" h="89173">
                                  <a:moveTo>
                                    <a:pt x="88536" y="45145"/>
                                  </a:moveTo>
                                  <a:cubicBezTo>
                                    <a:pt x="88536" y="69770"/>
                                    <a:pt x="68779" y="89732"/>
                                    <a:pt x="44408" y="89732"/>
                                  </a:cubicBezTo>
                                  <a:cubicBezTo>
                                    <a:pt x="20037" y="89732"/>
                                    <a:pt x="280" y="69770"/>
                                    <a:pt x="280" y="45145"/>
                                  </a:cubicBezTo>
                                  <a:cubicBezTo>
                                    <a:pt x="280" y="20520"/>
                                    <a:pt x="20037" y="558"/>
                                    <a:pt x="44408" y="558"/>
                                  </a:cubicBezTo>
                                  <a:cubicBezTo>
                                    <a:pt x="68779" y="558"/>
                                    <a:pt x="88536" y="20520"/>
                                    <a:pt x="88536" y="45145"/>
                                  </a:cubicBez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orma Livre: Forma 42"/>
                          <wps:cNvSpPr/>
                          <wps:spPr>
                            <a:xfrm>
                              <a:off x="4563490" y="8730990"/>
                              <a:ext cx="144341" cy="237826"/>
                            </a:xfrm>
                            <a:custGeom>
                              <a:avLst/>
                              <a:gdLst>
                                <a:gd name="connsiteX0" fmla="*/ 45843 w 144341"/>
                                <a:gd name="connsiteY0" fmla="*/ 642 h 237826"/>
                                <a:gd name="connsiteX1" fmla="*/ 45843 w 144341"/>
                                <a:gd name="connsiteY1" fmla="*/ 75800 h 237826"/>
                                <a:gd name="connsiteX2" fmla="*/ 280 w 144341"/>
                                <a:gd name="connsiteY2" fmla="*/ 134040 h 237826"/>
                                <a:gd name="connsiteX3" fmla="*/ 280 w 144341"/>
                                <a:gd name="connsiteY3" fmla="*/ 193490 h 237826"/>
                                <a:gd name="connsiteX4" fmla="*/ 144622 w 144341"/>
                                <a:gd name="connsiteY4" fmla="*/ 193490 h 237826"/>
                                <a:gd name="connsiteX5" fmla="*/ 144622 w 144341"/>
                                <a:gd name="connsiteY5" fmla="*/ 96824 h 237826"/>
                                <a:gd name="connsiteX6" fmla="*/ 45843 w 144341"/>
                                <a:gd name="connsiteY6" fmla="*/ 642 h 2378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4341" h="237826">
                                  <a:moveTo>
                                    <a:pt x="45843" y="642"/>
                                  </a:moveTo>
                                  <a:lnTo>
                                    <a:pt x="45843" y="75800"/>
                                  </a:lnTo>
                                  <a:cubicBezTo>
                                    <a:pt x="45843" y="75800"/>
                                    <a:pt x="30297" y="117244"/>
                                    <a:pt x="280" y="134040"/>
                                  </a:cubicBezTo>
                                  <a:lnTo>
                                    <a:pt x="280" y="193490"/>
                                  </a:lnTo>
                                  <a:cubicBezTo>
                                    <a:pt x="280" y="193490"/>
                                    <a:pt x="61388" y="294504"/>
                                    <a:pt x="144622" y="193490"/>
                                  </a:cubicBezTo>
                                  <a:lnTo>
                                    <a:pt x="144622" y="96824"/>
                                  </a:lnTo>
                                  <a:cubicBezTo>
                                    <a:pt x="144622" y="96824"/>
                                    <a:pt x="141274" y="-2741"/>
                                    <a:pt x="45843" y="642"/>
                                  </a:cubicBez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43" name="Forma Livre: Forma 43"/>
                        <wps:cNvSpPr/>
                        <wps:spPr>
                          <a:xfrm>
                            <a:off x="4759108" y="1013455"/>
                            <a:ext cx="91374" cy="167639"/>
                          </a:xfrm>
                          <a:custGeom>
                            <a:avLst/>
                            <a:gdLst>
                              <a:gd name="connsiteX0" fmla="*/ 47332 w 91374"/>
                              <a:gd name="connsiteY0" fmla="*/ 0 h 167639"/>
                              <a:gd name="connsiteX1" fmla="*/ 91375 w 91374"/>
                              <a:gd name="connsiteY1" fmla="*/ 84450 h 167639"/>
                              <a:gd name="connsiteX2" fmla="*/ 47332 w 91374"/>
                              <a:gd name="connsiteY2" fmla="*/ 167639 h 167639"/>
                              <a:gd name="connsiteX3" fmla="*/ 0 w 91374"/>
                              <a:gd name="connsiteY3" fmla="*/ 84450 h 167639"/>
                            </a:gdLst>
                            <a:ahLst/>
                            <a:cxnLst>
                              <a:cxn ang="0">
                                <a:pos x="connsiteX0" y="connsiteY0"/>
                              </a:cxn>
                              <a:cxn ang="0">
                                <a:pos x="connsiteX1" y="connsiteY1"/>
                              </a:cxn>
                              <a:cxn ang="0">
                                <a:pos x="connsiteX2" y="connsiteY2"/>
                              </a:cxn>
                              <a:cxn ang="0">
                                <a:pos x="connsiteX3" y="connsiteY3"/>
                              </a:cxn>
                            </a:cxnLst>
                            <a:rect l="l" t="t" r="r" b="b"/>
                            <a:pathLst>
                              <a:path w="91374" h="167639">
                                <a:moveTo>
                                  <a:pt x="47332" y="0"/>
                                </a:moveTo>
                                <a:lnTo>
                                  <a:pt x="91375" y="84450"/>
                                </a:lnTo>
                                <a:lnTo>
                                  <a:pt x="47332" y="167639"/>
                                </a:lnTo>
                                <a:lnTo>
                                  <a:pt x="0" y="84450"/>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orma Livre: Forma 44"/>
                        <wps:cNvSpPr/>
                        <wps:spPr>
                          <a:xfrm>
                            <a:off x="5292128" y="1333492"/>
                            <a:ext cx="106604" cy="121919"/>
                          </a:xfrm>
                          <a:custGeom>
                            <a:avLst/>
                            <a:gdLst>
                              <a:gd name="connsiteX0" fmla="*/ 106604 w 106604"/>
                              <a:gd name="connsiteY0" fmla="*/ 0 h 121919"/>
                              <a:gd name="connsiteX1" fmla="*/ 87659 w 106604"/>
                              <a:gd name="connsiteY1" fmla="*/ 94268 h 121919"/>
                              <a:gd name="connsiteX2" fmla="*/ 0 w 106604"/>
                              <a:gd name="connsiteY2" fmla="*/ 121920 h 121919"/>
                              <a:gd name="connsiteX3" fmla="*/ 15396 w 106604"/>
                              <a:gd name="connsiteY3" fmla="*/ 23882 h 121919"/>
                            </a:gdLst>
                            <a:ahLst/>
                            <a:cxnLst>
                              <a:cxn ang="0">
                                <a:pos x="connsiteX0" y="connsiteY0"/>
                              </a:cxn>
                              <a:cxn ang="0">
                                <a:pos x="connsiteX1" y="connsiteY1"/>
                              </a:cxn>
                              <a:cxn ang="0">
                                <a:pos x="connsiteX2" y="connsiteY2"/>
                              </a:cxn>
                              <a:cxn ang="0">
                                <a:pos x="connsiteX3" y="connsiteY3"/>
                              </a:cxn>
                            </a:cxnLst>
                            <a:rect l="l" t="t" r="r" b="b"/>
                            <a:pathLst>
                              <a:path w="106604" h="121919">
                                <a:moveTo>
                                  <a:pt x="106604" y="0"/>
                                </a:moveTo>
                                <a:lnTo>
                                  <a:pt x="87659" y="94268"/>
                                </a:lnTo>
                                <a:lnTo>
                                  <a:pt x="0" y="121920"/>
                                </a:lnTo>
                                <a:lnTo>
                                  <a:pt x="15396" y="23882"/>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orma Livre: Forma 45"/>
                        <wps:cNvSpPr/>
                        <wps:spPr>
                          <a:xfrm>
                            <a:off x="4195630" y="1318253"/>
                            <a:ext cx="106604" cy="121919"/>
                          </a:xfrm>
                          <a:custGeom>
                            <a:avLst/>
                            <a:gdLst>
                              <a:gd name="connsiteX0" fmla="*/ 106604 w 106604"/>
                              <a:gd name="connsiteY0" fmla="*/ 121920 h 121919"/>
                              <a:gd name="connsiteX1" fmla="*/ 17148 w 106604"/>
                              <a:gd name="connsiteY1" fmla="*/ 92659 h 121919"/>
                              <a:gd name="connsiteX2" fmla="*/ 0 w 106604"/>
                              <a:gd name="connsiteY2" fmla="*/ 0 h 121919"/>
                              <a:gd name="connsiteX3" fmla="*/ 93126 w 106604"/>
                              <a:gd name="connsiteY3" fmla="*/ 26823 h 121919"/>
                            </a:gdLst>
                            <a:ahLst/>
                            <a:cxnLst>
                              <a:cxn ang="0">
                                <a:pos x="connsiteX0" y="connsiteY0"/>
                              </a:cxn>
                              <a:cxn ang="0">
                                <a:pos x="connsiteX1" y="connsiteY1"/>
                              </a:cxn>
                              <a:cxn ang="0">
                                <a:pos x="connsiteX2" y="connsiteY2"/>
                              </a:cxn>
                              <a:cxn ang="0">
                                <a:pos x="connsiteX3" y="connsiteY3"/>
                              </a:cxn>
                            </a:cxnLst>
                            <a:rect l="l" t="t" r="r" b="b"/>
                            <a:pathLst>
                              <a:path w="106604" h="121919">
                                <a:moveTo>
                                  <a:pt x="106604" y="121920"/>
                                </a:moveTo>
                                <a:lnTo>
                                  <a:pt x="17148" y="92659"/>
                                </a:lnTo>
                                <a:lnTo>
                                  <a:pt x="0" y="0"/>
                                </a:lnTo>
                                <a:lnTo>
                                  <a:pt x="93126" y="26823"/>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 name="Forma Livre: Forma 46"/>
                        <wps:cNvSpPr/>
                        <wps:spPr>
                          <a:xfrm>
                            <a:off x="4347921" y="1242054"/>
                            <a:ext cx="898519" cy="731521"/>
                          </a:xfrm>
                          <a:custGeom>
                            <a:avLst/>
                            <a:gdLst>
                              <a:gd name="connsiteX0" fmla="*/ 76374 w 898519"/>
                              <a:gd name="connsiteY0" fmla="*/ 731521 h 731521"/>
                              <a:gd name="connsiteX1" fmla="*/ 822145 w 898519"/>
                              <a:gd name="connsiteY1" fmla="*/ 731521 h 731521"/>
                              <a:gd name="connsiteX2" fmla="*/ 822145 w 898519"/>
                              <a:gd name="connsiteY2" fmla="*/ 592175 h 731521"/>
                              <a:gd name="connsiteX3" fmla="*/ 898520 w 898519"/>
                              <a:gd name="connsiteY3" fmla="*/ 246327 h 731521"/>
                              <a:gd name="connsiteX4" fmla="*/ 657488 w 898519"/>
                              <a:gd name="connsiteY4" fmla="*/ 355803 h 731521"/>
                              <a:gd name="connsiteX5" fmla="*/ 446275 w 898519"/>
                              <a:gd name="connsiteY5" fmla="*/ 0 h 731521"/>
                              <a:gd name="connsiteX6" fmla="*/ 233874 w 898519"/>
                              <a:gd name="connsiteY6" fmla="*/ 355803 h 731521"/>
                              <a:gd name="connsiteX7" fmla="*/ 0 w 898519"/>
                              <a:gd name="connsiteY7" fmla="*/ 246327 h 731521"/>
                              <a:gd name="connsiteX8" fmla="*/ 78750 w 898519"/>
                              <a:gd name="connsiteY8" fmla="*/ 602135 h 7315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98519" h="731521">
                                <a:moveTo>
                                  <a:pt x="76374" y="731521"/>
                                </a:moveTo>
                                <a:lnTo>
                                  <a:pt x="822145" y="731521"/>
                                </a:lnTo>
                                <a:lnTo>
                                  <a:pt x="822145" y="592175"/>
                                </a:lnTo>
                                <a:lnTo>
                                  <a:pt x="898520" y="246327"/>
                                </a:lnTo>
                                <a:lnTo>
                                  <a:pt x="657488" y="355803"/>
                                </a:lnTo>
                                <a:lnTo>
                                  <a:pt x="446275" y="0"/>
                                </a:lnTo>
                                <a:lnTo>
                                  <a:pt x="233874" y="355803"/>
                                </a:lnTo>
                                <a:lnTo>
                                  <a:pt x="0" y="246327"/>
                                </a:lnTo>
                                <a:lnTo>
                                  <a:pt x="78750" y="602135"/>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 name="Forma Livre: Forma 47"/>
                        <wps:cNvSpPr/>
                        <wps:spPr>
                          <a:xfrm>
                            <a:off x="4424067" y="2049766"/>
                            <a:ext cx="746228" cy="137168"/>
                          </a:xfrm>
                          <a:custGeom>
                            <a:avLst/>
                            <a:gdLst>
                              <a:gd name="connsiteX0" fmla="*/ 0 w 746228"/>
                              <a:gd name="connsiteY0" fmla="*/ 0 h 137168"/>
                              <a:gd name="connsiteX1" fmla="*/ 746228 w 746228"/>
                              <a:gd name="connsiteY1" fmla="*/ 0 h 137168"/>
                              <a:gd name="connsiteX2" fmla="*/ 746228 w 746228"/>
                              <a:gd name="connsiteY2" fmla="*/ 137169 h 137168"/>
                              <a:gd name="connsiteX3" fmla="*/ 0 w 746228"/>
                              <a:gd name="connsiteY3" fmla="*/ 137169 h 137168"/>
                            </a:gdLst>
                            <a:ahLst/>
                            <a:cxnLst>
                              <a:cxn ang="0">
                                <a:pos x="connsiteX0" y="connsiteY0"/>
                              </a:cxn>
                              <a:cxn ang="0">
                                <a:pos x="connsiteX1" y="connsiteY1"/>
                              </a:cxn>
                              <a:cxn ang="0">
                                <a:pos x="connsiteX2" y="connsiteY2"/>
                              </a:cxn>
                              <a:cxn ang="0">
                                <a:pos x="connsiteX3" y="connsiteY3"/>
                              </a:cxn>
                            </a:cxnLst>
                            <a:rect l="l" t="t" r="r" b="b"/>
                            <a:pathLst>
                              <a:path w="746228" h="137168">
                                <a:moveTo>
                                  <a:pt x="0" y="0"/>
                                </a:moveTo>
                                <a:lnTo>
                                  <a:pt x="746228" y="0"/>
                                </a:lnTo>
                                <a:lnTo>
                                  <a:pt x="746228" y="137169"/>
                                </a:lnTo>
                                <a:lnTo>
                                  <a:pt x="0" y="137169"/>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4BBD8FD" id="Gráfico 7" o:spid="_x0000_s1026" style="position:absolute;left:0;text-align:left;margin-left:0;margin-top:0;width:1017.45pt;height:898.2pt;z-index:251660288" coordsize="129219,1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">
                <v:shape id="Forma Livre: Forma 3" o:spid="_x0000_s1027" style="position:absolute;width:75536;height:106984;visibility:visible;mso-wrap-style:square;v-text-anchor:middle" coordsize="7553657,1069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" path="m,l7553657,r,10698429l,10698429,,xe" fillcolor="#002d4b" stroked="f" strokeweight=".423mm">
                  <v:stroke joinstyle="miter"/>
                  <v:path arrowok="t" o:connecttype="custom" o:connectlocs="0,0;7553657,0;7553657,10698429;0,10698429" o:connectangles="0,0,0,0"/>
                </v:shape>
                <v:shape id="Forma Livre: Forma 4" o:spid="_x0000_s1028" style="position:absolute;left:15305;top:76;width:113914;height:113994;visibility:visible;mso-wrap-style:square;v-text-anchor:middle" coordsize="11391402,1139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" path="m,5699731c,2551851,2550060,,5695701,v3145656,,5695701,2551851,5695701,5699731c11391402,8847610,8841357,11399467,5695701,11399467,2550060,11399467,,8847610,,5699731xe" filled="f" strokecolor="#b4afd2" strokeweight=".52872mm">
                  <v:path arrowok="t" o:connecttype="custom" o:connectlocs="0,5699731;5695701,0;11391402,5699731;5695701,11399467;0,5699731" o:connectangles="0,0,0,0,0"/>
                </v:shape>
                <v:shape id="Forma Livre: Forma 5" o:spid="_x0000_s1029" style="position:absolute;left:47591;top:24307;width:65485;height:65684;visibility:visible;mso-wrap-style:square;v-text-anchor:middle" coordsize="6548533,6568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" path="m,3284196c,1470389,1465943,,3274267,,5082591,,6548534,1470389,6548534,3284196v,1813822,-1465943,3284211,-3274267,3284211c1465943,6568407,,5098018,,3284196xe" filled="f" strokecolor="#b4afd2" strokeweight=".52872mm">
                  <v:path arrowok="t" o:connecttype="custom" o:connectlocs="0,3284196;3274267,0;6548534,3284196;3274267,6568407;0,3284196" o:connectangles="0,0,0,0,0"/>
                </v:shape>
                <v:shape id="Forma Livre: Forma 6" o:spid="_x0000_s1030" style="position:absolute;left:31905;top:8762;width:97009;height:97079;visibility:visible;mso-wrap-style:square;v-text-anchor:middle" coordsize="9700966,970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" path="m,4853914c,2173173,2171631,,4850484,,7529337,,9700967,2173173,9700967,4853914v,2680741,-2171630,4853910,-4850483,4853910c2171631,9707824,,7534655,,4853914xe" filled="f" strokecolor="white" strokeweight=".52872mm">
                  <v:path arrowok="t" o:connecttype="custom" o:connectlocs="0,4853914;4850484,0;9700967,4853914;4850484,9707824;0,4853914" o:connectangles="0,0,0,0,0"/>
                </v:shape>
                <v:shape id="Forma Livre: Forma 9" o:spid="_x0000_s1031" style="position:absolute;left:2284;top:59283;width:37464;height:9296;visibility:visible;mso-wrap-style:square;v-text-anchor:middle" coordsize="3746370,92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" path="m,l3746370,r,929636l,929636,,xe" fillcolor="#002d4b" stroked="f" strokeweight=".423mm">
                  <v:stroke joinstyle="miter"/>
                  <v:path arrowok="t" o:connecttype="custom" o:connectlocs="0,0;3746370,0;3746370,929636;0,929636" o:connectangles="0,0,0,0"/>
                </v:shape>
                <v:shapetype id="_x0000_t202" coordsize="21600,21600" o:spt="202" path="m,l,21600r21600,l21600,xe">
                  <v:stroke joinstyle="miter"/>
                  <v:path gradientshapeok="t" o:connecttype="rect"/>
                </v:shapetype>
                <v:shape id="Caixa de Texto 8" o:spid="_x0000_s1032" type="#_x0000_t202" style="position:absolute;left:3000;top:59388;width:4883;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14:paraId="16073FCC" w14:textId="77777777" w:rsidR="003E76EF" w:rsidRDefault="003E76EF" w:rsidP="00223784">
                        <w:pPr>
                          <w:textAlignment w:val="baseline"/>
                          <w:rPr>
                            <w:rFonts w:cs="Arial"/>
                            <w:color w:val="FFFFFF"/>
                            <w:sz w:val="36"/>
                            <w:szCs w:val="36"/>
                          </w:rPr>
                        </w:pPr>
                        <w:r>
                          <w:rPr>
                            <w:rFonts w:cs="Arial"/>
                            <w:color w:val="FFFFFF"/>
                            <w:sz w:val="36"/>
                            <w:szCs w:val="36"/>
                          </w:rPr>
                          <w:t xml:space="preserve">BB </w:t>
                        </w:r>
                      </w:p>
                    </w:txbxContent>
                  </v:textbox>
                </v:shape>
                <v:shape id="Caixa de Texto 9" o:spid="_x0000_s1033" type="#_x0000_t202" style="position:absolute;left:6394;top:59388;width:13526;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" filled="f" stroked="f">
                  <v:textbox style="mso-fit-shape-to-text:t">
                    <w:txbxContent>
                      <w:p w14:paraId="0B66DE83" w14:textId="77777777" w:rsidR="003E76EF" w:rsidRDefault="003E76EF" w:rsidP="00223784">
                        <w:pPr>
                          <w:textAlignment w:val="baseline"/>
                          <w:rPr>
                            <w:rFonts w:cs="Arial"/>
                            <w:color w:val="FFFFFF"/>
                            <w:sz w:val="36"/>
                            <w:szCs w:val="36"/>
                          </w:rPr>
                        </w:pPr>
                        <w:r>
                          <w:rPr>
                            <w:rFonts w:cs="Arial"/>
                            <w:color w:val="FFFFFF"/>
                            <w:sz w:val="36"/>
                            <w:szCs w:val="36"/>
                          </w:rPr>
                          <w:t>Seguridade</w:t>
                        </w:r>
                      </w:p>
                    </w:txbxContent>
                  </v:textbox>
                </v:shape>
                <v:shape id="Caixa de Texto 10" o:spid="_x0000_s1034" type="#_x0000_t202" style="position:absolute;left:19084;top:59388;width:15557;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" filled="f" stroked="f">
                  <v:textbox style="mso-fit-shape-to-text:t">
                    <w:txbxContent>
                      <w:p w14:paraId="4D6F264F" w14:textId="77777777" w:rsidR="003E76EF" w:rsidRDefault="003E76EF" w:rsidP="00223784">
                        <w:pPr>
                          <w:textAlignment w:val="baseline"/>
                          <w:rPr>
                            <w:rFonts w:cs="Arial"/>
                            <w:color w:val="FFFFFF"/>
                            <w:sz w:val="36"/>
                            <w:szCs w:val="36"/>
                          </w:rPr>
                        </w:pPr>
                        <w:r>
                          <w:rPr>
                            <w:rFonts w:cs="Arial"/>
                            <w:color w:val="FFFFFF"/>
                            <w:sz w:val="36"/>
                            <w:szCs w:val="36"/>
                          </w:rPr>
                          <w:t>Participações</w:t>
                        </w:r>
                      </w:p>
                    </w:txbxContent>
                  </v:textbox>
                </v:shape>
                <v:shape id="Caixa de Texto 11" o:spid="_x0000_s1035" type="#_x0000_t202" style="position:absolute;left:33851;top:59388;width:6154;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" filled="f" stroked="f">
                  <v:textbox style="mso-fit-shape-to-text:t">
                    <w:txbxContent>
                      <w:p w14:paraId="5269C75B" w14:textId="77777777" w:rsidR="003E76EF" w:rsidRDefault="003E76EF" w:rsidP="00223784">
                        <w:pPr>
                          <w:textAlignment w:val="baseline"/>
                          <w:rPr>
                            <w:rFonts w:cs="Arial"/>
                            <w:color w:val="FFFFFF"/>
                            <w:sz w:val="36"/>
                            <w:szCs w:val="36"/>
                          </w:rPr>
                        </w:pPr>
                        <w:r>
                          <w:rPr>
                            <w:rFonts w:cs="Arial"/>
                            <w:color w:val="FFFFFF"/>
                            <w:sz w:val="36"/>
                            <w:szCs w:val="36"/>
                          </w:rPr>
                          <w:t>S.A.</w:t>
                        </w:r>
                      </w:p>
                    </w:txbxContent>
                  </v:textbox>
                </v:shape>
                <v:shape id="Caixa de Texto 12" o:spid="_x0000_s1036" type="#_x0000_t202" style="position:absolute;left:22621;top:63652;width:11233;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" filled="f" stroked="f">
                  <v:textbox style="mso-fit-shape-to-text:t">
                    <w:txbxContent>
                      <w:p w14:paraId="29C6C1DD" w14:textId="77777777" w:rsidR="003E76EF" w:rsidRDefault="003E76EF" w:rsidP="00223784">
                        <w:pPr>
                          <w:textAlignment w:val="baseline"/>
                          <w:rPr>
                            <w:rFonts w:cs="Arial"/>
                            <w:color w:val="FFFFFF"/>
                            <w:sz w:val="36"/>
                            <w:szCs w:val="36"/>
                          </w:rPr>
                        </w:pPr>
                        <w:r>
                          <w:rPr>
                            <w:rFonts w:cs="Arial"/>
                            <w:color w:val="FFFFFF"/>
                            <w:sz w:val="36"/>
                            <w:szCs w:val="36"/>
                          </w:rPr>
                          <w:t>Exercício</w:t>
                        </w:r>
                      </w:p>
                    </w:txbxContent>
                  </v:textbox>
                </v:shape>
                <v:shape id="Caixa de Texto 13" o:spid="_x0000_s1037" type="#_x0000_t202" style="position:absolute;left:32725;top:63652;width:6915;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54984FE2" w14:textId="77777777" w:rsidR="003E76EF" w:rsidRDefault="003E76EF" w:rsidP="00223784">
                        <w:pPr>
                          <w:textAlignment w:val="baseline"/>
                          <w:rPr>
                            <w:rFonts w:cs="Arial"/>
                            <w:color w:val="FFFFFF"/>
                            <w:sz w:val="36"/>
                            <w:szCs w:val="36"/>
                          </w:rPr>
                        </w:pPr>
                        <w:r>
                          <w:rPr>
                            <w:rFonts w:cs="Arial"/>
                            <w:color w:val="FFFFFF"/>
                            <w:sz w:val="36"/>
                            <w:szCs w:val="36"/>
                          </w:rPr>
                          <w:t>2021</w:t>
                        </w:r>
                      </w:p>
                    </w:txbxContent>
                  </v:textbox>
                </v:shape>
                <v:shape id="Forma Livre: Forma 16" o:spid="_x0000_s1038" style="position:absolute;left:2284;top:32918;width:44012;height:16611;visibility:visible;mso-wrap-style:square;v-text-anchor:middle" coordsize="4401223,166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" path="m,l4401224,r,1661150l,1661150,,xe" fillcolor="#002d4b" stroked="f" strokeweight=".423mm">
                  <v:stroke joinstyle="miter"/>
                  <v:path arrowok="t" o:connecttype="custom" o:connectlocs="0,0;4401224,0;4401224,1661150;0,1661150" o:connectangles="0,0,0,0"/>
                </v:shape>
                <v:shape id="Caixa de Texto 15" o:spid="_x0000_s1039" type="#_x0000_t202" style="position:absolute;left:2254;top:33021;width:34493;height:8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" filled="f" stroked="f">
                  <v:textbox style="mso-fit-shape-to-text:t">
                    <w:txbxContent>
                      <w:p w14:paraId="3CAC09A6" w14:textId="61D0A2B8" w:rsidR="003E76EF" w:rsidRDefault="003E76EF" w:rsidP="00223784">
                        <w:pPr>
                          <w:textAlignment w:val="baseline"/>
                          <w:rPr>
                            <w:rFonts w:cs="Arial"/>
                            <w:b/>
                            <w:bCs/>
                            <w:color w:val="FCFC30"/>
                            <w:position w:val="1"/>
                            <w:sz w:val="89"/>
                            <w:szCs w:val="89"/>
                          </w:rPr>
                        </w:pPr>
                        <w:r>
                          <w:rPr>
                            <w:rFonts w:cs="Arial"/>
                            <w:b/>
                            <w:bCs/>
                            <w:color w:val="FCFC30"/>
                            <w:position w:val="1"/>
                            <w:sz w:val="89"/>
                            <w:szCs w:val="89"/>
                          </w:rPr>
                          <w:t>Relatório da</w:t>
                        </w:r>
                      </w:p>
                    </w:txbxContent>
                  </v:textbox>
                </v:shape>
                <v:shape id="Caixa de Texto 16" o:spid="_x0000_s1040" type="#_x0000_t202" style="position:absolute;left:2254;top:39715;width:41090;height:8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" filled="f" stroked="f">
                  <v:textbox style="mso-fit-shape-to-text:t">
                    <w:txbxContent>
                      <w:p w14:paraId="6EC7785A" w14:textId="665DCC72" w:rsidR="003E76EF" w:rsidRDefault="003E76EF" w:rsidP="00223784">
                        <w:pPr>
                          <w:textAlignment w:val="baseline"/>
                          <w:rPr>
                            <w:rFonts w:cs="Arial"/>
                            <w:b/>
                            <w:bCs/>
                            <w:color w:val="FCFC30"/>
                            <w:position w:val="1"/>
                            <w:sz w:val="89"/>
                            <w:szCs w:val="89"/>
                          </w:rPr>
                        </w:pPr>
                        <w:r>
                          <w:rPr>
                            <w:rFonts w:cs="Arial"/>
                            <w:b/>
                            <w:bCs/>
                            <w:color w:val="FCFC30"/>
                            <w:position w:val="1"/>
                            <w:sz w:val="89"/>
                            <w:szCs w:val="89"/>
                          </w:rPr>
                          <w:t>Administração</w:t>
                        </w:r>
                      </w:p>
                    </w:txbxContent>
                  </v:textbox>
                </v:shape>
                <v:shape id="Forma Livre: Forma 19" o:spid="_x0000_s1041" style="position:absolute;left:61449;top:35128;width:40814;height:40843;visibility:visible;mso-wrap-style:square;v-text-anchor:middle" coordsize="4081411,4084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" path="m,2042152c,914297,913657,,2040706,,3167754,,4081412,914297,4081412,2042152v,1127841,-913658,2042153,-2040706,2042153c913657,4084305,,3169993,,2042152xe" filled="f" strokecolor="#fcfc30" strokeweight=".52872mm">
                  <v:path arrowok="t" o:connecttype="custom" o:connectlocs="0,2042152;2040706,0;4081412,2042152;2040706,4084305;0,2042152" o:connectangles="0,0,0,0,0"/>
                </v:shape>
                <v:shape id="Forma Livre: Forma 20" o:spid="_x0000_s1042" style="position:absolute;left:41118;top:14325;width:14925;height:11125;visibility:visible;mso-wrap-style:square;v-text-anchor:middle" coordsize="1492456,111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" path="m,l1492456,r,1112515l,1112515,,xe" fillcolor="#002d4b" stroked="f" strokeweight=".423mm">
                  <v:stroke joinstyle="miter"/>
                  <v:path arrowok="t" o:connecttype="custom" o:connectlocs="0,0;1492456,0;1492456,1112515;0,1112515" o:connectangles="0,0,0,0"/>
                </v:shape>
                <v:shape id="Forma Livre: Forma 21" o:spid="_x0000_s1043" style="position:absolute;left:54977;top:24231;width:16752;height:11735;visibility:visible;mso-wrap-style:square;v-text-anchor:middle" coordsize="1675206,1173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" path="m,l1675206,r,1173473l,1173473,,xe" fillcolor="#002d4b" stroked="f" strokeweight=".423mm">
                  <v:stroke joinstyle="miter"/>
                  <v:path arrowok="t" o:connecttype="custom" o:connectlocs="0,0;1675206,0;1675206,1173473;0,1173473" o:connectangles="0,0,0,0"/>
                </v:shape>
                <v:shape id="Forma Livre: Forma 22" o:spid="_x0000_s1044" style="position:absolute;left:58708;top:22021;width:9137;height:11735;visibility:visible;mso-wrap-style:square;v-text-anchor:middle" coordsize="913748,1173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" path="m791916,535365r1264,-272754c793180,261347,793180,261347,793180,260068v,,,-1264,,-1264l793180,239767r,c779230,105294,634553,,456874,,279196,,134519,105294,120569,239767r-1279,l119290,536629,,536629r,636853l913749,1173482r,-638117l791916,535365xe" fillcolor="#002d4b" strokecolor="white" strokeweight=".52872mm">
                  <v:stroke joinstyle="miter"/>
                  <v:path arrowok="t" o:connecttype="custom" o:connectlocs="791916,535365;793180,262611;793180,260068;793180,258804;793180,239767;793180,239767;456874,0;120569,239767;119290,239767;119290,536629;0,536629;0,1173482;913749,1173482;913749,535365;791916,535365" o:connectangles="0,0,0,0,0,0,0,0,0,0,0,0,0,0,0"/>
                </v:shape>
                <v:shape id="Forma Livre: Forma 23" o:spid="_x0000_s1045" style="position:absolute;left:60992;top:22936;width:4721;height:4419;visibility:visible;mso-wrap-style:square;v-text-anchor:middle" coordsize="472103,44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" path="m472104,170841c472104,76740,366505,,236052,,105599,,,76740,,170841v,,,1233,,1233l,172074,,441950r469621,l469621,190639v1249,-7432,2483,-13615,2483,-19798xe" fillcolor="#002d4b" strokecolor="white" strokeweight=".52872mm">
                  <v:stroke joinstyle="miter"/>
                  <v:path arrowok="t" o:connecttype="custom" o:connectlocs="472104,170841;236052,0;0,170841;0,172074;0,172074;0,441950;469621,441950;469621,190639;472104,170841" o:connectangles="0,0,0,0,0,0,0,0,0"/>
                </v:shape>
                <v:shape id="Forma Livre: Forma 24" o:spid="_x0000_s1046" style="position:absolute;left:62515;top:29641;width:1828;height:2743;visibility:visible;mso-wrap-style:square;v-text-anchor:middle" coordsize="182749,27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" path="m182750,90598c182750,40266,142134,,91375,,40616,,,40266,,90598v,37753,22844,70466,57109,84309c58373,174907,58373,174907,59652,176171r,98136l131991,274307r,-100664c161170,158551,182750,127087,182750,90598xe" fillcolor="#002d4b" strokecolor="white" strokeweight=".52872mm">
                  <v:stroke joinstyle="miter"/>
                  <v:path arrowok="t" o:connecttype="custom" o:connectlocs="182750,90598;91375,0;0,90598;57109,174907;59652,176171;59652,274307;131991,274307;131991,173643;182750,90598" o:connectangles="0,0,0,0,0,0,0,0,0"/>
                </v:shape>
                <v:shape id="Forma Livre: Forma 25" o:spid="_x0000_s1047" style="position:absolute;left:43098;top:44348;width:12640;height:19964;visibility:visible;mso-wrap-style:square;v-text-anchor:middle" coordsize="1264020,199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" path="m,l1264021,r,1996434l,1996434,,xe" fillcolor="#002d4b" stroked="f" strokeweight=".423mm">
                  <v:stroke joinstyle="miter"/>
                  <v:path arrowok="t" o:connecttype="custom" o:connectlocs="0,0;1264021,0;1264021,1996434;0,1996434" o:connectangles="0,0,0,0"/>
                </v:shape>
                <v:shape id="Forma Livre: Forma 26" o:spid="_x0000_s1048" style="position:absolute;left:43174;top:48691;width:12336;height:10973;visibility:visible;mso-wrap-style:square;v-text-anchor:middle" coordsize="1233554,1097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" path="m657271,32313r561956,986879c1219227,1019192,1266391,1097272,1189576,1097272v-76801,,-1154887,-5391,-1154887,-5391c34689,1091881,-25954,1097272,13124,1028604,52202,959951,583166,32313,583166,32313v,,32331,-72704,74105,xe" fillcolor="#002d4b" strokecolor="#fcfc30" strokeweight=".52872mm">
                  <v:stroke joinstyle="miter"/>
                  <v:path arrowok="t" o:connecttype="custom" o:connectlocs="657271,32313;1219227,1019192;1189576,1097272;34689,1091881;13124,1028604;583166,32313;657271,32313" o:connectangles="0,0,0,0,0,0,0"/>
                </v:shape>
                <v:shape id="Forma Livre: Forma 27" o:spid="_x0000_s1049" style="position:absolute;left:48961;top:51434;width:914;height:5029;visibility:visible;mso-wrap-style:square;v-text-anchor:middle" coordsize="91374,50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" path="m,l91375,r,502912l,502912,,xe" fillcolor="#002d4b" strokecolor="#fcfc30" strokeweight=".52872mm">
                  <v:stroke joinstyle="miter"/>
                  <v:path arrowok="t" o:connecttype="custom" o:connectlocs="0,0;91375,0;91375,502912;0,502912" o:connectangles="0,0,0,0"/>
                </v:shape>
                <v:shape id="Forma Livre: Forma 28" o:spid="_x0000_s1050" style="position:absolute;left:48657;top:57073;width:1370;height:1524;visibility:visible;mso-wrap-style:square;v-text-anchor:middle" coordsize="137062,15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" path="m137062,76207v,42078,-30687,76191,-68531,76191c30687,152398,,118285,,76207,,34113,30687,,68531,v37844,,68531,34113,68531,76207xe" fillcolor="#002d4b" strokecolor="#fcfc30" strokeweight=".52872mm">
                  <v:stroke joinstyle="miter"/>
                  <v:path arrowok="t" o:connecttype="custom" o:connectlocs="137062,76207;68531,152398;0,76207;68531,0;137062,76207" o:connectangles="0,0,0,0,0"/>
                </v:shape>
                <v:shape id="Forma Livre: Forma 29" o:spid="_x0000_s1051" style="position:absolute;left:52692;top:72694;width:13250;height:13716;visibility:visible;mso-wrap-style:square;v-text-anchor:middle" coordsize="1324935,137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" path="m,l1324936,r,1371594l,1371594,,xe" fillcolor="#002d4b" stroked="f" strokeweight=".423mm">
                  <v:stroke joinstyle="miter"/>
                  <v:path arrowok="t" o:connecttype="custom" o:connectlocs="0,0;1324936,0;1324936,1371594;0,1371594" o:connectangles="0,0,0,0"/>
                </v:shape>
                <v:shape id="Forma Livre: Forma 30" o:spid="_x0000_s1052" style="position:absolute;left:62667;top:76885;width:3046;height:6706;visibility:visible;mso-wrap-style:square;v-text-anchor:middle" coordsize="304588,670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" path="m304588,r,670372l32459,670372v,,-25006,4447,-32362,-29667l97,31144c97,31144,-2843,,23641,,50109,,304588,,304588,xe" fillcolor="#002d4b" strokecolor="white" strokeweight=".52872mm">
                  <v:stroke joinstyle="miter"/>
                  <v:path arrowok="t" o:connecttype="custom" o:connectlocs="304588,0;304588,670372;32459,670372;97,640705;97,31144;23641,0;304588,0" o:connectangles="0,0,0,0,0,0,0"/>
                </v:shape>
                <v:shape id="Forma Livre: Forma 31" o:spid="_x0000_s1053" style="position:absolute;left:53073;top:72923;width:8681;height:11125;visibility:visible;mso-wrap-style:square;v-text-anchor:middle" coordsize="868061,111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" path="m868062,479488r,515903l648259,1112503r-448605,c199654,1112503,105462,1041352,183207,953876v,,-127087,-7402,-89715,-157134c93492,796742,-21640,768568,57612,632191v,,-131595,-88954,2985,-195695l434427,436496v,,23925,-8894,23925,-44469c458352,392027,417980,323831,407502,245264,397040,166681,403024,42168,403024,42168v,,94208,-94878,179430,l588440,162235v,,49342,188278,279622,317253xe" fillcolor="#002d4b" strokecolor="white" strokeweight=".52872mm">
                  <v:stroke joinstyle="miter"/>
                  <v:path arrowok="t" o:connecttype="custom" o:connectlocs="868062,479488;868062,995391;648259,1112503;199654,1112503;183207,953876;93492,796742;57612,632191;60597,436496;434427,436496;458352,392027;407502,245264;403024,42168;582454,42168;588440,162235;868062,479488" o:connectangles="0,0,0,0,0,0,0,0,0,0,0,0,0,0,0"/>
                </v:shape>
                <v:shape id="Forma Livre: Forma 32" o:spid="_x0000_s1054" style="position:absolute;left:40052;top:82448;width:13859;height:17373;visibility:visible;mso-wrap-style:square;v-text-anchor:middle" coordsize="1385852,173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" path="m,l1385852,r,1737356l,1737356,,xe" fillcolor="#002d4b" stroked="f" strokeweight=".423mm">
                  <v:stroke joinstyle="miter"/>
                  <v:path arrowok="t" o:connecttype="custom" o:connectlocs="0,0;1385852,0;1385852,1737356;0,1737356" o:connectangles="0,0,0,0"/>
                </v:shape>
                <v:group id="_x0000_s1055" style="position:absolute;left:42701;top:84990;width:7343;height:11831" coordorigin="42701,84990" coordsize="7342,1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orma Livre: Forma 38" o:spid="_x0000_s1056" style="position:absolute;left:43204;top:96112;width:6260;height:709;visibility:visible;mso-wrap-style:square;v-text-anchor:middle" coordsize="625923,7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" path="m280,558r625923,l626203,71486r-625923,l280,558xe" fillcolor="#002d4b" strokecolor="#fcfc30" strokeweight=".50492mm">
                    <v:stroke joinstyle="miter"/>
                    <v:path arrowok="t" o:connecttype="custom" o:connectlocs="280,558;626203,558;626203,71486;280,71486" o:connectangles="0,0,0,0"/>
                  </v:shape>
                  <v:shape id="Forma Livre: Forma 39" o:spid="_x0000_s1057" style="position:absolute;left:42701;top:84990;width:7343;height:10536;visibility:visible;mso-wrap-style:square;v-text-anchor:middle" coordsize="734269,105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" path="m50627,1054089r618268,l676550,922986v-8367,-34494,-32877,-62689,-65655,-75519l519292,847467,517856,671174r74384,c592240,671174,663993,642416,675951,581154r,-395723l734550,185431r,-67666c731784,86079,707731,60521,676550,56141v-28678,-5975,-58262,-5975,-86940,l568322,558r-410783,l131588,60974,50627,63995v,,-35040,5920,-50347,53770l280,185431r50347,l50627,552759v,,13752,108024,91604,115756l209559,668515r,175810l119390,844325v,,-45803,10754,-68763,74069l50627,1054089xe" fillcolor="#002d4b" strokecolor="#fcfc30" strokeweight=".50492mm">
                    <v:stroke joinstyle="miter"/>
                    <v:path arrowok="t" o:connecttype="custom" o:connectlocs="50627,1054089;668895,1054089;676550,922986;610895,847467;519292,847467;517856,671174;592240,671174;675951,581154;675951,185431;734550,185431;734550,117765;676550,56141;589610,56141;568322,558;157539,558;131588,60974;50627,63995;280,117765;280,185431;50627,185431;50627,552759;142231,668515;209559,668515;209559,844325;119390,844325;50627,918394" o:connectangles="0,0,0,0,0,0,0,0,0,0,0,0,0,0,0,0,0,0,0,0,0,0,0,0,0,0"/>
                  </v:shape>
                  <v:shape id="Forma Livre: Forma 40" o:spid="_x0000_s1058" style="position:absolute;left:43753;top:86839;width:5170;height:4302;visibility:visible;mso-wrap-style:square;v-text-anchor:middle" coordsize="517053,430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" path="m195979,339248r,90865l65269,430113v,,-63262,1210,-64457,-59448c-384,310007,812,558,812,558r516380,l517192,354956v,,5501,74071,-52260,75279c407171,431443,333386,430235,333386,430235r,-90987l195979,339248xe" fillcolor="#002d4b" strokecolor="#fcfc30" strokeweight=".50492mm">
                    <v:stroke joinstyle="miter"/>
                    <v:path arrowok="t" o:connecttype="custom" o:connectlocs="195979,339248;195979,430113;65269,430113;812,370665;812,558;517192,558;517192,354956;464932,430235;333386,430235;333386,339248" o:connectangles="0,0,0,0,0,0,0,0,0,0"/>
                  </v:shape>
                  <v:shape id="Forma Livre: Forma 41" o:spid="_x0000_s1059" style="position:absolute;left:45912;top:92071;width:882;height:892;visibility:visible;mso-wrap-style:square;v-text-anchor:middle" coordsize="88255,89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" path="m88536,45145v,24625,-19757,44587,-44128,44587c20037,89732,280,69770,280,45145,280,20520,20037,558,44408,558v24371,,44128,19962,44128,44587xe" fillcolor="#002d4b" strokecolor="#fcfc30" strokeweight=".50492mm">
                    <v:stroke joinstyle="miter"/>
                    <v:path arrowok="t" o:connecttype="custom" o:connectlocs="88536,45145;44408,89732;280,45145;44408,558;88536,45145" o:connectangles="0,0,0,0,0"/>
                  </v:shape>
                  <v:shape id="Forma Livre: Forma 42" o:spid="_x0000_s1060" style="position:absolute;left:45634;top:87309;width:1444;height:2379;visibility:visible;mso-wrap-style:square;v-text-anchor:middle" coordsize="144341,23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" path="m45843,642r,75158c45843,75800,30297,117244,280,134040r,59450c280,193490,61388,294504,144622,193490r,-96666c144622,96824,141274,-2741,45843,642xe" fillcolor="#002d4b" strokecolor="#fcfc30" strokeweight=".50492mm">
                    <v:stroke joinstyle="miter"/>
                    <v:path arrowok="t" o:connecttype="custom" o:connectlocs="45843,642;45843,75800;280,134040;280,193490;144622,193490;144622,96824;45843,642" o:connectangles="0,0,0,0,0,0,0"/>
                  </v:shape>
                </v:group>
                <v:shape id="Forma Livre: Forma 43" o:spid="_x0000_s1061" style="position:absolute;left:47591;top:10134;width:913;height:1676;visibility:visible;mso-wrap-style:square;v-text-anchor:middle" coordsize="91374,16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" path="m47332,l91375,84450,47332,167639,,84450,47332,xe" fillcolor="#002d4b" strokecolor="#fcfc30" strokeweight=".52872mm">
                  <v:stroke joinstyle="miter"/>
                  <v:path arrowok="t" o:connecttype="custom" o:connectlocs="47332,0;91375,84450;47332,167639;0,84450" o:connectangles="0,0,0,0"/>
                </v:shape>
                <v:shape id="Forma Livre: Forma 44" o:spid="_x0000_s1062" style="position:absolute;left:52921;top:13334;width:1066;height:1220;visibility:visible;mso-wrap-style:square;v-text-anchor:middle" coordsize="106604,12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" path="m106604,l87659,94268,,121920,15396,23882,106604,xe" fillcolor="#002d4b" strokecolor="#fcfc30" strokeweight=".52872mm">
                  <v:stroke joinstyle="miter"/>
                  <v:path arrowok="t" o:connecttype="custom" o:connectlocs="106604,0;87659,94268;0,121920;15396,23882" o:connectangles="0,0,0,0"/>
                </v:shape>
                <v:shape id="Forma Livre: Forma 45" o:spid="_x0000_s1063" style="position:absolute;left:41956;top:13182;width:1066;height:1219;visibility:visible;mso-wrap-style:square;v-text-anchor:middle" coordsize="106604,12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" path="m106604,121920l17148,92659,,,93126,26823r13478,95097xe" fillcolor="#002d4b" strokecolor="#fcfc30" strokeweight=".52872mm">
                  <v:stroke joinstyle="miter"/>
                  <v:path arrowok="t" o:connecttype="custom" o:connectlocs="106604,121920;17148,92659;0,0;93126,26823" o:connectangles="0,0,0,0"/>
                </v:shape>
                <v:shape id="Forma Livre: Forma 46" o:spid="_x0000_s1064" style="position:absolute;left:43479;top:12420;width:8985;height:7315;visibility:visible;mso-wrap-style:square;v-text-anchor:middle" coordsize="898519,73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" path="m76374,731521r745771,l822145,592175,898520,246327,657488,355803,446275,,233874,355803,,246327,78750,602135,76374,731521xe" fillcolor="#002d4b" strokecolor="#fcfc30" strokeweight=".52872mm">
                  <v:stroke joinstyle="miter"/>
                  <v:path arrowok="t" o:connecttype="custom" o:connectlocs="76374,731521;822145,731521;822145,592175;898520,246327;657488,355803;446275,0;233874,355803;0,246327;78750,602135" o:connectangles="0,0,0,0,0,0,0,0,0"/>
                </v:shape>
                <v:shape id="Forma Livre: Forma 47" o:spid="_x0000_s1065" style="position:absolute;left:44240;top:20497;width:7462;height:1372;visibility:visible;mso-wrap-style:square;v-text-anchor:middle" coordsize="746228,13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" path="m,l746228,r,137169l,137169,,xe" fillcolor="#002d4b" strokecolor="#fcfc30" strokeweight=".52872mm">
                  <v:stroke joinstyle="miter"/>
                  <v:path arrowok="t" o:connecttype="custom" o:connectlocs="0,0;746228,0;746228,137169;0,137169" o:connectangles="0,0,0,0"/>
                </v:shape>
                <w10:wrap type="tight"/>
              </v:group>
            </w:pict>
          </mc:Fallback>
        </mc:AlternateContent>
      </w:r>
    </w:p>
    <w:p w14:paraId="01BC0F4E" w14:textId="072CAD08" w:rsidR="003E76EF" w:rsidRDefault="003E76EF">
      <w:pPr>
        <w:rPr>
          <w:rFonts w:eastAsia="Times New Roman" w:cs="Times New Roman"/>
          <w:b/>
          <w:color w:val="1F4E79" w:themeColor="accent1" w:themeShade="80"/>
          <w:spacing w:val="-2"/>
          <w:sz w:val="20"/>
          <w:szCs w:val="20"/>
          <w:lang w:eastAsia="pt-BR"/>
        </w:rPr>
      </w:pPr>
    </w:p>
    <w:p w14:paraId="040D73D1" w14:textId="1400E774" w:rsidR="00C81A16" w:rsidRDefault="00C81A16" w:rsidP="00C81A16">
      <w:pPr>
        <w:pStyle w:val="03-SubttulodeNota"/>
        <w:spacing w:line="276" w:lineRule="auto"/>
        <w:rPr>
          <w:color w:val="1F4E79" w:themeColor="accent1" w:themeShade="80"/>
        </w:rPr>
      </w:pPr>
      <w:r>
        <w:rPr>
          <w:color w:val="1F4E79" w:themeColor="accent1" w:themeShade="80"/>
        </w:rPr>
        <w:t>Prezados Acionistas, Colaboradores e Parceiros de Negócios.</w:t>
      </w:r>
    </w:p>
    <w:p w14:paraId="1320D805" w14:textId="6C8DC281" w:rsidR="00C81A16" w:rsidRPr="00591873" w:rsidRDefault="00C81A16" w:rsidP="00C81A16">
      <w:pPr>
        <w:pStyle w:val="05-Textonormal"/>
        <w:rPr>
          <w:rFonts w:cs="Arial"/>
        </w:rPr>
      </w:pPr>
      <w:r w:rsidRPr="00591873">
        <w:rPr>
          <w:rFonts w:cs="Arial"/>
        </w:rPr>
        <w:t>Apresentamos o Relatório Anual da Administração da BB Seguridade Participações S.A. (“BB Seguridade” ou “Companhia”) relativo ao ano de 202</w:t>
      </w:r>
      <w:r w:rsidR="005D208E" w:rsidRPr="00591873">
        <w:rPr>
          <w:rFonts w:cs="Arial"/>
        </w:rPr>
        <w:t>1</w:t>
      </w:r>
      <w:r w:rsidRPr="00591873">
        <w:rPr>
          <w:rFonts w:cs="Arial"/>
        </w:rPr>
        <w:t>, de acordo com as exigências da Lei das Sociedades por Ações, da Comissão de Valores Mobiliários (CVM) e do seu Estatuto Social.</w:t>
      </w:r>
    </w:p>
    <w:p w14:paraId="6E0BE90B" w14:textId="77777777" w:rsidR="00C81A16" w:rsidRPr="00591873" w:rsidRDefault="00C81A16" w:rsidP="00C81A16">
      <w:pPr>
        <w:pStyle w:val="05-Textonormal"/>
        <w:rPr>
          <w:rFonts w:cs="Arial"/>
        </w:rPr>
      </w:pPr>
      <w:r w:rsidRPr="00591873">
        <w:rPr>
          <w:rFonts w:cs="Arial"/>
        </w:rPr>
        <w:t>As demonstrações financeiras consolidadas foram preparadas em conformidade com as Normas Internacionais de Contabilidade (IFRS).</w:t>
      </w:r>
    </w:p>
    <w:p w14:paraId="59F831CC" w14:textId="77777777" w:rsidR="00C81A16" w:rsidRPr="00591873" w:rsidRDefault="00C81A16" w:rsidP="00C81A16">
      <w:pPr>
        <w:pStyle w:val="05-Textonormal"/>
        <w:rPr>
          <w:rFonts w:cs="Arial"/>
        </w:rPr>
      </w:pPr>
      <w:r w:rsidRPr="00591873">
        <w:rPr>
          <w:rFonts w:cs="Arial"/>
        </w:rPr>
        <w:t>Cabe ressaltar que este relatório apresenta dados contábeis das companhias investidas da BB Seguridade que podem divergir dos divulgados pelas participadas, tanto por diferenças nos padrões contábeis utilizados como por eventuais amortizações de intangíveis, eliminações de resultados entre as participadas, entre outros motivos. Nesse contexto, o lucro líquido atribuído às investidas reflete o resultado apurado pela Companhia para cada segmento de negócios, na forma da Nota Explicativa de Investimentos em Participações Societárias.</w:t>
      </w:r>
    </w:p>
    <w:p w14:paraId="3943F887" w14:textId="08273D93" w:rsidR="00C81A16" w:rsidRDefault="00C81A16" w:rsidP="00C81A16">
      <w:pPr>
        <w:pStyle w:val="05-Textonormal"/>
        <w:rPr>
          <w:rFonts w:cs="Arial"/>
        </w:rPr>
      </w:pPr>
      <w:r w:rsidRPr="00591873">
        <w:rPr>
          <w:rFonts w:cs="Arial"/>
        </w:rPr>
        <w:t>Ao longo deste relatório abordaremos as ações realizadas</w:t>
      </w:r>
      <w:r w:rsidR="005D208E" w:rsidRPr="00591873">
        <w:rPr>
          <w:rFonts w:cs="Arial"/>
        </w:rPr>
        <w:t xml:space="preserve"> e resultados alcançados no ano</w:t>
      </w:r>
      <w:r w:rsidRPr="00591873">
        <w:rPr>
          <w:rFonts w:cs="Arial"/>
        </w:rPr>
        <w:t xml:space="preserve">, </w:t>
      </w:r>
      <w:r w:rsidR="005D208E" w:rsidRPr="00591873">
        <w:rPr>
          <w:rFonts w:cs="Arial"/>
        </w:rPr>
        <w:t xml:space="preserve">bem como apresentaremos as prioridades estratégicas da </w:t>
      </w:r>
      <w:r w:rsidRPr="00591873">
        <w:rPr>
          <w:rFonts w:cs="Arial"/>
        </w:rPr>
        <w:t>Companhia.</w:t>
      </w:r>
    </w:p>
    <w:p w14:paraId="7FA23412" w14:textId="77777777" w:rsidR="00C81A16" w:rsidRDefault="00C81A16" w:rsidP="00C81A16">
      <w:pPr>
        <w:pStyle w:val="05-Textonormal"/>
        <w:rPr>
          <w:rFonts w:cs="Arial"/>
        </w:rPr>
      </w:pPr>
    </w:p>
    <w:p w14:paraId="0CB49F5D"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DESCRIÇÃO DOS NEGÓCIOS</w:t>
      </w:r>
    </w:p>
    <w:p w14:paraId="085259FA" w14:textId="0E15E9EC" w:rsidR="00C81A16" w:rsidRPr="000A0843" w:rsidRDefault="00C81A16" w:rsidP="00C81A16">
      <w:pPr>
        <w:pStyle w:val="01-Textonormal"/>
        <w:rPr>
          <w:rFonts w:cs="Arial"/>
        </w:rPr>
      </w:pPr>
      <w:r w:rsidRPr="000A0843">
        <w:rPr>
          <w:rFonts w:cs="Arial"/>
        </w:rPr>
        <w:t>A BB Seguridade é uma empresa de participações (“</w:t>
      </w:r>
      <w:r w:rsidRPr="000A0843">
        <w:rPr>
          <w:rFonts w:cs="Arial"/>
          <w:i/>
        </w:rPr>
        <w:t>holding</w:t>
      </w:r>
      <w:r w:rsidRPr="000A0843">
        <w:rPr>
          <w:rFonts w:cs="Arial"/>
        </w:rPr>
        <w:t>”) que concentra seus investimentos nos segmentos de seguros, previdência aberta, capitalização e planos de assistência odontológica por meio de parcerias privadas em sociedades mantidas por sua subsidiária integral, a BB Seguros Participações S.A. (“BB Seguros”)</w:t>
      </w:r>
      <w:r w:rsidR="00FA0867">
        <w:rPr>
          <w:rFonts w:cs="Arial"/>
        </w:rPr>
        <w:t xml:space="preserve">, bem como em negócios que intermediam a venda desses produtos, com destaque para a sua controlada </w:t>
      </w:r>
      <w:r w:rsidRPr="000A0843">
        <w:rPr>
          <w:rFonts w:cs="Arial"/>
        </w:rPr>
        <w:t xml:space="preserve">BB Corretora de Seguros e Administradora de Bens S.A. (“BB Corretora”). </w:t>
      </w:r>
    </w:p>
    <w:p w14:paraId="5A527F38" w14:textId="29261256" w:rsidR="00C81A16" w:rsidRPr="000A0843" w:rsidRDefault="00C81A16" w:rsidP="00C81A16">
      <w:pPr>
        <w:pStyle w:val="01-Textonormal"/>
        <w:rPr>
          <w:rFonts w:cs="Arial"/>
        </w:rPr>
      </w:pPr>
      <w:r w:rsidRPr="000A0843">
        <w:rPr>
          <w:rFonts w:cs="Arial"/>
        </w:rPr>
        <w:t>No segmento de seguros, a atuação se dá por meio</w:t>
      </w:r>
      <w:r w:rsidR="00992E6F">
        <w:rPr>
          <w:rFonts w:cs="Arial"/>
        </w:rPr>
        <w:t xml:space="preserve"> de</w:t>
      </w:r>
      <w:r w:rsidRPr="000A0843">
        <w:rPr>
          <w:rFonts w:cs="Arial"/>
        </w:rPr>
        <w:t xml:space="preserve"> </w:t>
      </w:r>
      <w:r w:rsidR="000A0843" w:rsidRPr="000A0843">
        <w:rPr>
          <w:rFonts w:cs="Arial"/>
          <w:i/>
        </w:rPr>
        <w:t>joint-venture</w:t>
      </w:r>
      <w:r w:rsidR="000A0843" w:rsidRPr="000A0843">
        <w:rPr>
          <w:rFonts w:cs="Arial"/>
        </w:rPr>
        <w:t xml:space="preserve"> com o grupo espanhol MAPFRE</w:t>
      </w:r>
      <w:r w:rsidR="000A0843">
        <w:rPr>
          <w:rFonts w:cs="Arial"/>
        </w:rPr>
        <w:t>,</w:t>
      </w:r>
      <w:r w:rsidRPr="000A0843">
        <w:rPr>
          <w:rFonts w:cs="Arial"/>
        </w:rPr>
        <w:t xml:space="preserve"> por um prazo de 20 anos,</w:t>
      </w:r>
      <w:r w:rsidR="00FA0867">
        <w:rPr>
          <w:rFonts w:cs="Arial"/>
        </w:rPr>
        <w:t xml:space="preserve"> que teve</w:t>
      </w:r>
      <w:r w:rsidRPr="000A0843">
        <w:rPr>
          <w:rFonts w:cs="Arial"/>
        </w:rPr>
        <w:t xml:space="preserve"> início em 2011</w:t>
      </w:r>
      <w:r w:rsidR="000A0843">
        <w:rPr>
          <w:rFonts w:cs="Arial"/>
        </w:rPr>
        <w:t>. Essa parceria é</w:t>
      </w:r>
      <w:r w:rsidR="00FA0867">
        <w:rPr>
          <w:rFonts w:cs="Arial"/>
        </w:rPr>
        <w:t xml:space="preserve"> operada por meio de duas companhias </w:t>
      </w:r>
      <w:r w:rsidR="000A0843">
        <w:rPr>
          <w:rFonts w:cs="Arial"/>
        </w:rPr>
        <w:t>seguradoras</w:t>
      </w:r>
      <w:r w:rsidR="00FA0867">
        <w:rPr>
          <w:rFonts w:cs="Arial"/>
        </w:rPr>
        <w:t>:</w:t>
      </w:r>
      <w:r w:rsidR="000A0843">
        <w:rPr>
          <w:rFonts w:cs="Arial"/>
        </w:rPr>
        <w:t xml:space="preserve"> </w:t>
      </w:r>
      <w:r w:rsidRPr="000A0843">
        <w:rPr>
          <w:rFonts w:cs="Arial"/>
        </w:rPr>
        <w:t xml:space="preserve">Brasilseg Companhia de Seguros S.A. e Aliança do Brasil Seguros S.A. (em conjunto, “Brasilseg”), com foco nos segmentos de pessoas, rural, habitacional, residencial, empresarial e </w:t>
      </w:r>
      <w:r w:rsidR="00FA0867">
        <w:rPr>
          <w:rFonts w:cs="Arial"/>
        </w:rPr>
        <w:t xml:space="preserve">demais segmentos de produtos </w:t>
      </w:r>
      <w:r w:rsidRPr="000A0843">
        <w:rPr>
          <w:rFonts w:cs="Arial"/>
        </w:rPr>
        <w:t>massificados</w:t>
      </w:r>
      <w:r w:rsidR="000A0843">
        <w:rPr>
          <w:rFonts w:cs="Arial"/>
        </w:rPr>
        <w:t>.</w:t>
      </w:r>
    </w:p>
    <w:p w14:paraId="29E7786A" w14:textId="54457A4B" w:rsidR="00C81A16" w:rsidRPr="000A0843" w:rsidRDefault="00C81A16" w:rsidP="00C81A16">
      <w:pPr>
        <w:pStyle w:val="01-Textonormal"/>
        <w:rPr>
          <w:rFonts w:cs="Arial"/>
        </w:rPr>
      </w:pPr>
      <w:r w:rsidRPr="000A0843">
        <w:rPr>
          <w:rFonts w:cs="Arial"/>
        </w:rPr>
        <w:t>Em previdência</w:t>
      </w:r>
      <w:r w:rsidR="009622D5">
        <w:rPr>
          <w:rFonts w:cs="Arial"/>
        </w:rPr>
        <w:t xml:space="preserve"> </w:t>
      </w:r>
      <w:r w:rsidRPr="000A0843">
        <w:rPr>
          <w:rFonts w:cs="Arial"/>
        </w:rPr>
        <w:t xml:space="preserve">aberta, a BB Seguridade </w:t>
      </w:r>
      <w:r w:rsidR="006E5BED">
        <w:rPr>
          <w:rFonts w:cs="Arial"/>
        </w:rPr>
        <w:t>opera</w:t>
      </w:r>
      <w:r w:rsidRPr="000A0843">
        <w:rPr>
          <w:rFonts w:cs="Arial"/>
        </w:rPr>
        <w:t xml:space="preserve"> em conjunto com </w:t>
      </w:r>
      <w:r w:rsidR="003C03F6">
        <w:rPr>
          <w:rFonts w:cs="Arial"/>
        </w:rPr>
        <w:t>o</w:t>
      </w:r>
      <w:r w:rsidRPr="000A0843">
        <w:rPr>
          <w:rFonts w:cs="Arial"/>
        </w:rPr>
        <w:t xml:space="preserve"> Principal Financial Group</w:t>
      </w:r>
      <w:r w:rsidR="006E5BED">
        <w:rPr>
          <w:rFonts w:cs="Arial"/>
        </w:rPr>
        <w:t xml:space="preserve">, </w:t>
      </w:r>
      <w:r w:rsidRPr="000A0843">
        <w:rPr>
          <w:rFonts w:cs="Arial"/>
        </w:rPr>
        <w:t>por meio da Brasilprev Seguros e Previdência S.A. (“Brasilprev”)</w:t>
      </w:r>
      <w:r w:rsidR="006E5BED">
        <w:rPr>
          <w:rFonts w:cs="Arial"/>
        </w:rPr>
        <w:t xml:space="preserve">, </w:t>
      </w:r>
      <w:r w:rsidR="00DE16FC">
        <w:rPr>
          <w:rFonts w:cs="Arial"/>
        </w:rPr>
        <w:t>em uma parceria que se estenderá até 2032, conforme acordo celebrado em 2009.</w:t>
      </w:r>
      <w:r w:rsidRPr="000A0843">
        <w:rPr>
          <w:rFonts w:cs="Arial"/>
        </w:rPr>
        <w:t xml:space="preserve">. A Brasilprev comercializa soluções privadas de previdência, com destaque para </w:t>
      </w:r>
      <w:r w:rsidR="000A0843">
        <w:rPr>
          <w:rFonts w:cs="Arial"/>
        </w:rPr>
        <w:t xml:space="preserve">planos de contribuição definida, nas modalidades </w:t>
      </w:r>
      <w:r w:rsidRPr="000A0843">
        <w:rPr>
          <w:rFonts w:cs="Arial"/>
        </w:rPr>
        <w:t>PGBL e VGBL.</w:t>
      </w:r>
    </w:p>
    <w:p w14:paraId="300331A8" w14:textId="5C3B2202" w:rsidR="00C81A16" w:rsidRPr="000A0843" w:rsidRDefault="00935A45" w:rsidP="00C81A16">
      <w:pPr>
        <w:pStyle w:val="01-Textonormal"/>
        <w:rPr>
          <w:rFonts w:cs="Arial"/>
        </w:rPr>
      </w:pPr>
      <w:r>
        <w:rPr>
          <w:rFonts w:cs="Arial"/>
        </w:rPr>
        <w:t>Os negócios da Companhia em</w:t>
      </w:r>
      <w:r w:rsidR="00C81A16" w:rsidRPr="000A0843">
        <w:rPr>
          <w:rFonts w:cs="Arial"/>
        </w:rPr>
        <w:t xml:space="preserve"> títulos de capitalização</w:t>
      </w:r>
      <w:r>
        <w:rPr>
          <w:rFonts w:cs="Arial"/>
        </w:rPr>
        <w:t xml:space="preserve"> se concentram na</w:t>
      </w:r>
      <w:r w:rsidR="00C81A16" w:rsidRPr="000A0843">
        <w:rPr>
          <w:rFonts w:cs="Arial"/>
        </w:rPr>
        <w:t xml:space="preserve"> Brasilcap Capitalização S.A. (“Brasilcap”), em sociedade com a Icatu Seguros e a Aliança da Bahia. </w:t>
      </w:r>
    </w:p>
    <w:p w14:paraId="0594C7E3" w14:textId="77777777" w:rsidR="00C81A16" w:rsidRPr="000A0843" w:rsidRDefault="00C81A16" w:rsidP="00C81A16">
      <w:pPr>
        <w:pStyle w:val="01-Textonormal"/>
        <w:rPr>
          <w:rFonts w:cs="Arial"/>
        </w:rPr>
      </w:pPr>
      <w:r w:rsidRPr="000A0843">
        <w:rPr>
          <w:rFonts w:cs="Arial"/>
        </w:rPr>
        <w:t xml:space="preserve">Ainda, no segmento de planos de assistência odontológica, a Companhia atua em conjunto com a Odontoprev por meio da Brasildental Operadora de Planos Odontológicos S.A. (“Brasildental”). A operação conjunta, na forma de </w:t>
      </w:r>
      <w:r w:rsidRPr="000A0843">
        <w:rPr>
          <w:rFonts w:cs="Arial"/>
          <w:i/>
        </w:rPr>
        <w:t>joint-venture</w:t>
      </w:r>
      <w:r w:rsidRPr="000A0843">
        <w:rPr>
          <w:rFonts w:cs="Arial"/>
        </w:rPr>
        <w:t>, teve início em 2014 e se estenderá pelo prazo de 20 anos.</w:t>
      </w:r>
    </w:p>
    <w:p w14:paraId="37C4F860" w14:textId="351C502D" w:rsidR="00C81A16" w:rsidRDefault="00C81A16" w:rsidP="00C81A16">
      <w:pPr>
        <w:pStyle w:val="01-Textonormal"/>
        <w:rPr>
          <w:rFonts w:cs="Arial"/>
        </w:rPr>
      </w:pPr>
      <w:r w:rsidRPr="000A0843">
        <w:rPr>
          <w:rFonts w:cs="Arial"/>
        </w:rPr>
        <w:t>N</w:t>
      </w:r>
      <w:r w:rsidR="009622D5">
        <w:rPr>
          <w:rFonts w:cs="Arial"/>
        </w:rPr>
        <w:t xml:space="preserve">a vertical </w:t>
      </w:r>
      <w:r w:rsidRPr="000A0843">
        <w:rPr>
          <w:rFonts w:cs="Arial"/>
        </w:rPr>
        <w:t xml:space="preserve">de distribuição de produtos de </w:t>
      </w:r>
      <w:r w:rsidR="009622D5">
        <w:rPr>
          <w:rFonts w:cs="Arial"/>
        </w:rPr>
        <w:t>seguridade</w:t>
      </w:r>
      <w:r w:rsidRPr="000A0843">
        <w:rPr>
          <w:rFonts w:cs="Arial"/>
        </w:rPr>
        <w:t>, a</w:t>
      </w:r>
      <w:r w:rsidR="009622D5">
        <w:rPr>
          <w:rFonts w:cs="Arial"/>
        </w:rPr>
        <w:t xml:space="preserve"> BB Corretora </w:t>
      </w:r>
      <w:r w:rsidR="00292D9D">
        <w:rPr>
          <w:rFonts w:cs="Arial"/>
        </w:rPr>
        <w:t>tem</w:t>
      </w:r>
      <w:r w:rsidR="009622D5">
        <w:rPr>
          <w:rFonts w:cs="Arial"/>
        </w:rPr>
        <w:t xml:space="preserve"> como principal balcão de vendas o canal bancário do </w:t>
      </w:r>
      <w:r w:rsidRPr="000A0843">
        <w:rPr>
          <w:rFonts w:cs="Arial"/>
        </w:rPr>
        <w:t xml:space="preserve">Banco do Brasil. </w:t>
      </w:r>
      <w:r w:rsidR="00292D9D">
        <w:rPr>
          <w:rFonts w:cs="Arial"/>
        </w:rPr>
        <w:t>De forma complementar, a</w:t>
      </w:r>
      <w:r w:rsidR="009622D5">
        <w:rPr>
          <w:rFonts w:cs="Arial"/>
        </w:rPr>
        <w:t xml:space="preserve"> </w:t>
      </w:r>
      <w:r w:rsidR="00C611CE">
        <w:rPr>
          <w:rFonts w:cs="Arial"/>
        </w:rPr>
        <w:t xml:space="preserve">BB Corretora busca </w:t>
      </w:r>
      <w:r w:rsidR="00370F8A">
        <w:rPr>
          <w:rFonts w:cs="Arial"/>
        </w:rPr>
        <w:t>expandir seus</w:t>
      </w:r>
      <w:r w:rsidR="003C03F6">
        <w:rPr>
          <w:rFonts w:cs="Arial"/>
        </w:rPr>
        <w:t xml:space="preserve"> canais de distribuição, por meio de parcerias comerciais com empresas dos mais diversos segmentos de negócios e mantendo investimento estratégico em uma corretora digital, </w:t>
      </w:r>
      <w:r w:rsidR="005C107F">
        <w:rPr>
          <w:rFonts w:cs="Arial"/>
        </w:rPr>
        <w:t xml:space="preserve">a </w:t>
      </w:r>
      <w:r w:rsidR="005C107F" w:rsidRPr="000A0843">
        <w:rPr>
          <w:rFonts w:cs="Arial"/>
        </w:rPr>
        <w:t>Ciclic Corretora de Seguros S.A. (“Ciclic”)</w:t>
      </w:r>
      <w:r w:rsidR="005C107F">
        <w:rPr>
          <w:rFonts w:cs="Arial"/>
        </w:rPr>
        <w:t>, em</w:t>
      </w:r>
      <w:r w:rsidR="007A2CBB">
        <w:rPr>
          <w:rFonts w:cs="Arial"/>
        </w:rPr>
        <w:t xml:space="preserve"> parceria com o Principal Financial Group que se iniciou em 2018 e se estenderá até 2032</w:t>
      </w:r>
      <w:r w:rsidR="005C107F">
        <w:rPr>
          <w:rFonts w:cs="Arial"/>
        </w:rPr>
        <w:t xml:space="preserve"> e</w:t>
      </w:r>
      <w:r w:rsidR="003C03F6">
        <w:rPr>
          <w:rFonts w:cs="Arial"/>
        </w:rPr>
        <w:t xml:space="preserve"> </w:t>
      </w:r>
      <w:r w:rsidR="00370F8A">
        <w:rPr>
          <w:rFonts w:cs="Arial"/>
        </w:rPr>
        <w:t xml:space="preserve">que tem o </w:t>
      </w:r>
      <w:r w:rsidR="003C03F6">
        <w:rPr>
          <w:rFonts w:cs="Arial"/>
        </w:rPr>
        <w:t xml:space="preserve">objetivo de desenvolver a </w:t>
      </w:r>
      <w:r w:rsidR="00370F8A">
        <w:rPr>
          <w:rFonts w:cs="Arial"/>
        </w:rPr>
        <w:t xml:space="preserve">venda </w:t>
      </w:r>
      <w:r w:rsidR="003C03F6">
        <w:rPr>
          <w:rFonts w:cs="Arial"/>
        </w:rPr>
        <w:t xml:space="preserve">de </w:t>
      </w:r>
      <w:r w:rsidR="00C611CE">
        <w:rPr>
          <w:rFonts w:cs="Arial"/>
        </w:rPr>
        <w:t>produtos de seguridade por meio de canais remotos</w:t>
      </w:r>
      <w:r w:rsidR="00370F8A">
        <w:rPr>
          <w:rFonts w:cs="Arial"/>
        </w:rPr>
        <w:t>.</w:t>
      </w:r>
    </w:p>
    <w:p w14:paraId="7B5095BC" w14:textId="3129BD2C" w:rsidR="00C81A16" w:rsidRDefault="00C81A16">
      <w:r>
        <w:br w:type="page"/>
      </w:r>
    </w:p>
    <w:p w14:paraId="5009D59E" w14:textId="103142E1"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lastRenderedPageBreak/>
        <w:t>AMBIENTE</w:t>
      </w:r>
      <w:r w:rsidR="00D57DBF">
        <w:rPr>
          <w:color w:val="1F4E79" w:themeColor="accent1" w:themeShade="80"/>
        </w:rPr>
        <w:t xml:space="preserve"> DE NEGÓCIOS</w:t>
      </w:r>
    </w:p>
    <w:p w14:paraId="41065F8E" w14:textId="316C8671" w:rsidR="001A2C69" w:rsidRDefault="001A2C69" w:rsidP="00B85BEE">
      <w:pPr>
        <w:jc w:val="both"/>
        <w:rPr>
          <w:rFonts w:eastAsia="Times New Roman" w:cs="Arial"/>
          <w:spacing w:val="-2"/>
          <w:szCs w:val="18"/>
          <w:lang w:eastAsia="pt-BR"/>
        </w:rPr>
      </w:pPr>
      <w:r w:rsidRPr="001A2C69">
        <w:rPr>
          <w:rFonts w:eastAsia="Times New Roman" w:cs="Arial"/>
          <w:spacing w:val="-2"/>
          <w:szCs w:val="18"/>
          <w:lang w:eastAsia="pt-BR"/>
        </w:rPr>
        <w:t xml:space="preserve">O exercício de 2021 foi marcado novamente por desafios impostos pela crise sanitária gerada pela pandemia de Covid-19, que </w:t>
      </w:r>
      <w:r>
        <w:rPr>
          <w:rFonts w:eastAsia="Times New Roman" w:cs="Arial"/>
          <w:spacing w:val="-2"/>
          <w:szCs w:val="18"/>
          <w:lang w:eastAsia="pt-BR"/>
        </w:rPr>
        <w:t>atravessou</w:t>
      </w:r>
      <w:r w:rsidRPr="001A2C69">
        <w:rPr>
          <w:rFonts w:eastAsia="Times New Roman" w:cs="Arial"/>
          <w:spacing w:val="-2"/>
          <w:szCs w:val="18"/>
          <w:lang w:eastAsia="pt-BR"/>
        </w:rPr>
        <w:t xml:space="preserve"> o seu momento mais crítico </w:t>
      </w:r>
      <w:r w:rsidR="002E099E">
        <w:rPr>
          <w:rFonts w:eastAsia="Times New Roman" w:cs="Arial"/>
          <w:spacing w:val="-2"/>
          <w:szCs w:val="18"/>
          <w:lang w:eastAsia="pt-BR"/>
        </w:rPr>
        <w:t xml:space="preserve">no </w:t>
      </w:r>
      <w:r w:rsidRPr="001A2C69">
        <w:rPr>
          <w:rFonts w:eastAsia="Times New Roman" w:cs="Arial"/>
          <w:spacing w:val="-2"/>
          <w:szCs w:val="18"/>
          <w:lang w:eastAsia="pt-BR"/>
        </w:rPr>
        <w:t>primeiro semestre do ano</w:t>
      </w:r>
      <w:r w:rsidR="00735AE5">
        <w:rPr>
          <w:rFonts w:eastAsia="Times New Roman" w:cs="Arial"/>
          <w:spacing w:val="-2"/>
          <w:szCs w:val="18"/>
          <w:lang w:eastAsia="pt-BR"/>
        </w:rPr>
        <w:t>.</w:t>
      </w:r>
    </w:p>
    <w:p w14:paraId="4F8A330F" w14:textId="238C7E8D" w:rsidR="00B85BEE" w:rsidRPr="00B85BEE" w:rsidRDefault="001A2C69" w:rsidP="00B85BEE">
      <w:pPr>
        <w:jc w:val="both"/>
        <w:rPr>
          <w:rFonts w:eastAsia="Times New Roman" w:cs="Arial"/>
          <w:spacing w:val="-2"/>
          <w:szCs w:val="18"/>
          <w:lang w:eastAsia="pt-BR"/>
        </w:rPr>
      </w:pPr>
      <w:r>
        <w:rPr>
          <w:rFonts w:eastAsia="Times New Roman" w:cs="Arial"/>
          <w:spacing w:val="-2"/>
          <w:szCs w:val="18"/>
          <w:lang w:eastAsia="pt-BR"/>
        </w:rPr>
        <w:t>Já a</w:t>
      </w:r>
      <w:r w:rsidR="00B85BEE" w:rsidRPr="00B85BEE">
        <w:rPr>
          <w:rFonts w:eastAsia="Times New Roman" w:cs="Arial"/>
          <w:spacing w:val="-2"/>
          <w:szCs w:val="18"/>
          <w:lang w:eastAsia="pt-BR"/>
        </w:rPr>
        <w:t>o longo d</w:t>
      </w:r>
      <w:r>
        <w:rPr>
          <w:rFonts w:eastAsia="Times New Roman" w:cs="Arial"/>
          <w:spacing w:val="-2"/>
          <w:szCs w:val="18"/>
          <w:lang w:eastAsia="pt-BR"/>
        </w:rPr>
        <w:t>a segunda metade de</w:t>
      </w:r>
      <w:r w:rsidR="00B85BEE" w:rsidRPr="00B85BEE">
        <w:rPr>
          <w:rFonts w:eastAsia="Times New Roman" w:cs="Arial"/>
          <w:spacing w:val="-2"/>
          <w:szCs w:val="18"/>
          <w:lang w:eastAsia="pt-BR"/>
        </w:rPr>
        <w:t xml:space="preserve"> 2021, </w:t>
      </w:r>
      <w:r>
        <w:rPr>
          <w:rFonts w:eastAsia="Times New Roman" w:cs="Arial"/>
          <w:spacing w:val="-2"/>
          <w:szCs w:val="18"/>
          <w:lang w:eastAsia="pt-BR"/>
        </w:rPr>
        <w:t xml:space="preserve">o </w:t>
      </w:r>
      <w:r w:rsidR="00B85BEE" w:rsidRPr="00B85BEE">
        <w:rPr>
          <w:rFonts w:eastAsia="Times New Roman" w:cs="Arial"/>
          <w:spacing w:val="-2"/>
          <w:szCs w:val="18"/>
          <w:lang w:eastAsia="pt-BR"/>
        </w:rPr>
        <w:t>avanço substancial no processo de vacinação da população brasileira</w:t>
      </w:r>
      <w:r w:rsidR="00735AE5">
        <w:rPr>
          <w:rFonts w:eastAsia="Times New Roman" w:cs="Arial"/>
          <w:spacing w:val="-2"/>
          <w:szCs w:val="18"/>
          <w:lang w:eastAsia="pt-BR"/>
        </w:rPr>
        <w:t xml:space="preserve"> levou à</w:t>
      </w:r>
      <w:r w:rsidR="00B85BEE" w:rsidRPr="00B85BEE">
        <w:rPr>
          <w:rFonts w:eastAsia="Times New Roman" w:cs="Arial"/>
          <w:spacing w:val="-2"/>
          <w:szCs w:val="18"/>
          <w:lang w:eastAsia="pt-BR"/>
        </w:rPr>
        <w:t xml:space="preserve"> diminuição do número de internações e óbitos e possibilitou a retomada de setores econômicos até então paralisado</w:t>
      </w:r>
      <w:r w:rsidR="004A7933">
        <w:rPr>
          <w:rFonts w:eastAsia="Times New Roman" w:cs="Arial"/>
          <w:spacing w:val="-2"/>
          <w:szCs w:val="18"/>
          <w:lang w:eastAsia="pt-BR"/>
        </w:rPr>
        <w:t>s</w:t>
      </w:r>
      <w:r w:rsidR="00B85BEE" w:rsidRPr="00B85BEE">
        <w:rPr>
          <w:rFonts w:eastAsia="Times New Roman" w:cs="Arial"/>
          <w:spacing w:val="-2"/>
          <w:szCs w:val="18"/>
          <w:lang w:eastAsia="pt-BR"/>
        </w:rPr>
        <w:t xml:space="preserve">. Entretanto, </w:t>
      </w:r>
      <w:r w:rsidR="004A7933">
        <w:rPr>
          <w:rFonts w:eastAsia="Times New Roman" w:cs="Arial"/>
          <w:spacing w:val="-2"/>
          <w:szCs w:val="18"/>
          <w:lang w:eastAsia="pt-BR"/>
        </w:rPr>
        <w:t>a emersão d</w:t>
      </w:r>
      <w:r w:rsidR="00B85BEE" w:rsidRPr="00B85BEE">
        <w:rPr>
          <w:rFonts w:eastAsia="Times New Roman" w:cs="Arial"/>
          <w:spacing w:val="-2"/>
          <w:szCs w:val="18"/>
          <w:lang w:eastAsia="pt-BR"/>
        </w:rPr>
        <w:t>esse quadro mais promissor foi contraposta pelo cenário conturbado relacionado à inflação mais elevada e aos juros alcançando o campo contracionista. A escalada dos preços se mostrou mais persistente e disseminada e exigiu uma postura mais restritiva do Banco Central, que elevou a Selic em 725 pontos base ao longo do ano, passando de 2,0% em jan</w:t>
      </w:r>
      <w:r>
        <w:rPr>
          <w:rFonts w:eastAsia="Times New Roman" w:cs="Arial"/>
          <w:spacing w:val="-2"/>
          <w:szCs w:val="18"/>
          <w:lang w:eastAsia="pt-BR"/>
        </w:rPr>
        <w:t>eiro de 20</w:t>
      </w:r>
      <w:r w:rsidR="00B85BEE" w:rsidRPr="00B85BEE">
        <w:rPr>
          <w:rFonts w:eastAsia="Times New Roman" w:cs="Arial"/>
          <w:spacing w:val="-2"/>
          <w:szCs w:val="18"/>
          <w:lang w:eastAsia="pt-BR"/>
        </w:rPr>
        <w:t>21 para 9,25% em dez</w:t>
      </w:r>
      <w:r>
        <w:rPr>
          <w:rFonts w:eastAsia="Times New Roman" w:cs="Arial"/>
          <w:spacing w:val="-2"/>
          <w:szCs w:val="18"/>
          <w:lang w:eastAsia="pt-BR"/>
        </w:rPr>
        <w:t>embro</w:t>
      </w:r>
      <w:r w:rsidR="00B85BEE" w:rsidRPr="00B85BEE">
        <w:rPr>
          <w:rFonts w:eastAsia="Times New Roman" w:cs="Arial"/>
          <w:spacing w:val="-2"/>
          <w:szCs w:val="18"/>
          <w:lang w:eastAsia="pt-BR"/>
        </w:rPr>
        <w:t xml:space="preserve">. Essa combinação pressionou a renda disponível das famílias e reduziu o espaço para um crescimento mais intenso do consumo de novos bens e serviços, fato que se refletiu na perda de vigor da atividade econômica no decorrer do ano. </w:t>
      </w:r>
    </w:p>
    <w:p w14:paraId="04E0B5A1" w14:textId="0DFE223A" w:rsidR="00B85BEE" w:rsidRPr="00B85BEE" w:rsidRDefault="00B85BEE" w:rsidP="00B85BEE">
      <w:pPr>
        <w:jc w:val="both"/>
        <w:rPr>
          <w:rFonts w:eastAsia="Times New Roman" w:cs="Arial"/>
          <w:spacing w:val="-2"/>
          <w:szCs w:val="18"/>
          <w:lang w:eastAsia="pt-BR"/>
        </w:rPr>
      </w:pPr>
      <w:r w:rsidRPr="00B85BEE">
        <w:rPr>
          <w:rFonts w:eastAsia="Times New Roman" w:cs="Arial"/>
          <w:spacing w:val="-2"/>
          <w:szCs w:val="18"/>
          <w:lang w:eastAsia="pt-BR"/>
        </w:rPr>
        <w:t xml:space="preserve">Em 2021, </w:t>
      </w:r>
      <w:r w:rsidR="00735AE5">
        <w:rPr>
          <w:rFonts w:eastAsia="Times New Roman" w:cs="Arial"/>
          <w:spacing w:val="-2"/>
          <w:szCs w:val="18"/>
          <w:lang w:eastAsia="pt-BR"/>
        </w:rPr>
        <w:t xml:space="preserve">observou-se </w:t>
      </w:r>
      <w:r w:rsidRPr="00B85BEE">
        <w:rPr>
          <w:rFonts w:eastAsia="Times New Roman" w:cs="Arial"/>
          <w:spacing w:val="-2"/>
          <w:szCs w:val="18"/>
          <w:lang w:eastAsia="pt-BR"/>
        </w:rPr>
        <w:t>também uma forte volatilidade dos ativos financeiros, com destaque para a cotação do Real em relação ao Dólar, impactada por fatores internos notadamente ligados às incertezas de cunho fiscal. Na contramão desse processo, o mercado de crédito do Sistema Financeiro Nacional apresentou desempenho positivo puxado pelo avanço</w:t>
      </w:r>
      <w:r w:rsidR="00735AE5">
        <w:rPr>
          <w:rFonts w:eastAsia="Times New Roman" w:cs="Arial"/>
          <w:spacing w:val="-2"/>
          <w:szCs w:val="18"/>
          <w:lang w:eastAsia="pt-BR"/>
        </w:rPr>
        <w:t xml:space="preserve"> relacionado às medidas emergenciais adotadas.</w:t>
      </w:r>
      <w:r w:rsidRPr="00B85BEE">
        <w:rPr>
          <w:rFonts w:eastAsia="Times New Roman" w:cs="Arial"/>
          <w:spacing w:val="-2"/>
          <w:szCs w:val="18"/>
          <w:lang w:eastAsia="pt-BR"/>
        </w:rPr>
        <w:t xml:space="preserve"> Além disso, observ</w:t>
      </w:r>
      <w:r w:rsidR="004A7933">
        <w:rPr>
          <w:rFonts w:eastAsia="Times New Roman" w:cs="Arial"/>
          <w:spacing w:val="-2"/>
          <w:szCs w:val="18"/>
          <w:lang w:eastAsia="pt-BR"/>
        </w:rPr>
        <w:t xml:space="preserve">ou-se </w:t>
      </w:r>
      <w:r w:rsidRPr="00B85BEE">
        <w:rPr>
          <w:rFonts w:eastAsia="Times New Roman" w:cs="Arial"/>
          <w:spacing w:val="-2"/>
          <w:szCs w:val="18"/>
          <w:lang w:eastAsia="pt-BR"/>
        </w:rPr>
        <w:t xml:space="preserve">uma dinâmica de recuperação da população ocupada, principalmente em postos de trabalhos informais. </w:t>
      </w:r>
    </w:p>
    <w:p w14:paraId="3A68943A" w14:textId="30FA8112" w:rsidR="00B85BEE" w:rsidRDefault="00735AE5" w:rsidP="00C81A16">
      <w:pPr>
        <w:pStyle w:val="01-Textonormal"/>
        <w:rPr>
          <w:rFonts w:cs="Arial"/>
          <w:spacing w:val="0"/>
        </w:rPr>
      </w:pPr>
      <w:r>
        <w:rPr>
          <w:rFonts w:cs="Arial"/>
          <w:spacing w:val="0"/>
        </w:rPr>
        <w:t>No cenário externo, a</w:t>
      </w:r>
      <w:r w:rsidR="00B85BEE" w:rsidRPr="00B85BEE">
        <w:rPr>
          <w:rFonts w:cs="Arial"/>
          <w:spacing w:val="0"/>
        </w:rPr>
        <w:t xml:space="preserve">pós o grande impacto negativo da Covid sobre a atividade econômica mundial em 2020, </w:t>
      </w:r>
      <w:r w:rsidR="004A7933">
        <w:rPr>
          <w:rFonts w:cs="Arial"/>
          <w:spacing w:val="0"/>
        </w:rPr>
        <w:t xml:space="preserve">o ano de 2021 foi marcado por </w:t>
      </w:r>
      <w:r w:rsidR="00B85BEE" w:rsidRPr="00B85BEE">
        <w:rPr>
          <w:rFonts w:cs="Arial"/>
          <w:spacing w:val="0"/>
        </w:rPr>
        <w:t xml:space="preserve">recuperação econômica </w:t>
      </w:r>
      <w:r w:rsidR="004A7933">
        <w:rPr>
          <w:rFonts w:cs="Arial"/>
          <w:spacing w:val="0"/>
        </w:rPr>
        <w:t>generalizada</w:t>
      </w:r>
      <w:r w:rsidR="00B85BEE" w:rsidRPr="00B85BEE">
        <w:rPr>
          <w:rFonts w:cs="Arial"/>
          <w:spacing w:val="0"/>
        </w:rPr>
        <w:t xml:space="preserve">, </w:t>
      </w:r>
      <w:r w:rsidR="00B41419">
        <w:rPr>
          <w:rFonts w:cs="Arial"/>
          <w:spacing w:val="0"/>
        </w:rPr>
        <w:t xml:space="preserve">mas também </w:t>
      </w:r>
      <w:r w:rsidR="00B85BEE" w:rsidRPr="00B85BEE">
        <w:rPr>
          <w:rFonts w:cs="Arial"/>
          <w:spacing w:val="0"/>
        </w:rPr>
        <w:t>por uma série de pontos que pesaram negativamente sobre o dinamismo global. A crise energética na Europa e os problemas relacionados ao setor de construção civil na China deram o tom da incerteza mundial</w:t>
      </w:r>
      <w:r w:rsidR="00A122D4">
        <w:rPr>
          <w:rFonts w:cs="Arial"/>
          <w:spacing w:val="0"/>
        </w:rPr>
        <w:t xml:space="preserve">, aliados </w:t>
      </w:r>
      <w:r w:rsidR="00B85BEE" w:rsidRPr="00B85BEE">
        <w:rPr>
          <w:rFonts w:cs="Arial"/>
          <w:spacing w:val="0"/>
        </w:rPr>
        <w:t xml:space="preserve">a persistência da crise da cadeia de suprimentos, a </w:t>
      </w:r>
      <w:r w:rsidR="00A122D4">
        <w:rPr>
          <w:rFonts w:cs="Arial"/>
          <w:spacing w:val="0"/>
        </w:rPr>
        <w:t xml:space="preserve">alta da </w:t>
      </w:r>
      <w:r w:rsidR="00B85BEE" w:rsidRPr="00B85BEE">
        <w:rPr>
          <w:rFonts w:cs="Arial"/>
          <w:spacing w:val="0"/>
        </w:rPr>
        <w:t xml:space="preserve">inflação </w:t>
      </w:r>
      <w:r w:rsidR="004A7933">
        <w:rPr>
          <w:rFonts w:cs="Arial"/>
          <w:spacing w:val="0"/>
        </w:rPr>
        <w:t>registrada</w:t>
      </w:r>
      <w:r w:rsidR="00B85BEE" w:rsidRPr="00B85BEE">
        <w:rPr>
          <w:rFonts w:cs="Arial"/>
          <w:spacing w:val="0"/>
        </w:rPr>
        <w:t xml:space="preserve"> nas principais economias e </w:t>
      </w:r>
      <w:r w:rsidR="00A122D4">
        <w:rPr>
          <w:rFonts w:cs="Arial"/>
          <w:spacing w:val="0"/>
        </w:rPr>
        <w:t>a</w:t>
      </w:r>
      <w:r w:rsidR="00B85BEE" w:rsidRPr="00B85BEE">
        <w:rPr>
          <w:rFonts w:cs="Arial"/>
          <w:spacing w:val="0"/>
        </w:rPr>
        <w:t>o risco de uma nova onda da pandemia diante do baixo quadro vacinal dos países pobres pesaram negativamente sobre a recuperação da economia global. Inclusive, o surgimento da nova variante Ômicron do Coronav</w:t>
      </w:r>
      <w:r w:rsidR="00942600">
        <w:rPr>
          <w:rFonts w:cs="Arial"/>
          <w:spacing w:val="0"/>
        </w:rPr>
        <w:t>í</w:t>
      </w:r>
      <w:r w:rsidR="00B85BEE" w:rsidRPr="00B85BEE">
        <w:rPr>
          <w:rFonts w:cs="Arial"/>
          <w:spacing w:val="0"/>
        </w:rPr>
        <w:t xml:space="preserve">rus e as dúvidas sobre o seu grau de agressividade contribuíram para ampliar a aversão ao risco global e levaram a novas medidas de distanciamento social em alguns continentes no final de 2021. </w:t>
      </w:r>
    </w:p>
    <w:p w14:paraId="4267FA48" w14:textId="0DDCC3D7" w:rsidR="00712367" w:rsidRDefault="001631A2" w:rsidP="009D1426">
      <w:pPr>
        <w:jc w:val="both"/>
        <w:rPr>
          <w:rFonts w:cs="Arial"/>
        </w:rPr>
      </w:pPr>
      <w:r w:rsidRPr="005271F8">
        <w:t xml:space="preserve">No mercado segurador brasileiro, </w:t>
      </w:r>
      <w:r w:rsidR="00712367" w:rsidRPr="005271F8">
        <w:t>o ponto positivo d</w:t>
      </w:r>
      <w:r w:rsidRPr="005271F8">
        <w:t xml:space="preserve">o ano foi </w:t>
      </w:r>
      <w:r w:rsidR="00712367" w:rsidRPr="005271F8">
        <w:t xml:space="preserve">o </w:t>
      </w:r>
      <w:r w:rsidR="009D1426" w:rsidRPr="005271F8">
        <w:t xml:space="preserve">retorno do crescimento de dois dígitos </w:t>
      </w:r>
      <w:r w:rsidRPr="005271F8">
        <w:t>no volume total de prêmios de seguros, contribuições de previdência e arrecadação com títulos de capitalização</w:t>
      </w:r>
      <w:r w:rsidR="005C107F">
        <w:t>, que aumentou 13,4%</w:t>
      </w:r>
      <w:r w:rsidR="005C107F" w:rsidRPr="00DC29B8">
        <w:rPr>
          <w:rStyle w:val="Refdenotaderodap"/>
          <w:rFonts w:cs="Arial"/>
          <w:sz w:val="16"/>
          <w:szCs w:val="16"/>
        </w:rPr>
        <w:footnoteReference w:id="1"/>
      </w:r>
      <w:r w:rsidR="00457A25" w:rsidRPr="005271F8">
        <w:t xml:space="preserve"> em relação a 2020</w:t>
      </w:r>
      <w:r w:rsidR="009D1426" w:rsidRPr="00DC29B8">
        <w:t xml:space="preserve">, </w:t>
      </w:r>
      <w:r w:rsidR="00457A25" w:rsidRPr="005271F8">
        <w:t xml:space="preserve">conforme dados </w:t>
      </w:r>
      <w:r w:rsidR="005C107F">
        <w:t xml:space="preserve">mais atuais </w:t>
      </w:r>
      <w:r w:rsidR="009D1426" w:rsidRPr="005271F8">
        <w:t>disponibilizados pela Superintendência de Seguros Privados (SUSEP).</w:t>
      </w:r>
      <w:r w:rsidR="00712367" w:rsidRPr="005271F8">
        <w:t xml:space="preserve"> </w:t>
      </w:r>
      <w:r w:rsidR="005C107F">
        <w:t xml:space="preserve">Apenas </w:t>
      </w:r>
      <w:r w:rsidR="005C107F">
        <w:rPr>
          <w:rFonts w:cs="Arial"/>
        </w:rPr>
        <w:t>o</w:t>
      </w:r>
      <w:r w:rsidR="00712367" w:rsidRPr="005271F8">
        <w:rPr>
          <w:rFonts w:cs="Arial"/>
        </w:rPr>
        <w:t>s prêmios emitidos de seguros registraram incremento de 13,</w:t>
      </w:r>
      <w:r w:rsidR="00404148" w:rsidRPr="005271F8">
        <w:rPr>
          <w:rFonts w:cs="Arial"/>
        </w:rPr>
        <w:t>5</w:t>
      </w:r>
      <w:r w:rsidR="00712367" w:rsidRPr="005271F8">
        <w:rPr>
          <w:rFonts w:cs="Arial"/>
        </w:rPr>
        <w:t xml:space="preserve">%, enquanto as contribuições de previdência se recuperaram </w:t>
      </w:r>
      <w:r w:rsidR="00EA49DA" w:rsidRPr="005271F8">
        <w:rPr>
          <w:rFonts w:cs="Arial"/>
        </w:rPr>
        <w:t xml:space="preserve">da queda registrada em </w:t>
      </w:r>
      <w:r w:rsidR="00712367" w:rsidRPr="005271F8">
        <w:rPr>
          <w:rFonts w:cs="Arial"/>
        </w:rPr>
        <w:t>2020</w:t>
      </w:r>
      <w:r w:rsidR="005C107F">
        <w:rPr>
          <w:rFonts w:cs="Arial"/>
        </w:rPr>
        <w:t xml:space="preserve"> e cresceram</w:t>
      </w:r>
      <w:r w:rsidR="00EA49DA" w:rsidRPr="005271F8">
        <w:rPr>
          <w:rFonts w:cs="Arial"/>
        </w:rPr>
        <w:t xml:space="preserve"> </w:t>
      </w:r>
      <w:r w:rsidR="0042606E">
        <w:rPr>
          <w:rFonts w:cs="Arial"/>
        </w:rPr>
        <w:t>14,6</w:t>
      </w:r>
      <w:r w:rsidR="00712367" w:rsidRPr="005271F8">
        <w:rPr>
          <w:rFonts w:cs="Arial"/>
        </w:rPr>
        <w:t>%.</w:t>
      </w:r>
      <w:r w:rsidR="00712367">
        <w:rPr>
          <w:rFonts w:cs="Arial"/>
        </w:rPr>
        <w:t xml:space="preserve"> </w:t>
      </w:r>
    </w:p>
    <w:p w14:paraId="1E86F6A0" w14:textId="116BFE06" w:rsidR="00802626" w:rsidRDefault="00712367" w:rsidP="001F3D77">
      <w:pPr>
        <w:jc w:val="both"/>
        <w:rPr>
          <w:rFonts w:cs="Arial"/>
        </w:rPr>
      </w:pPr>
      <w:r>
        <w:rPr>
          <w:rFonts w:cs="Arial"/>
        </w:rPr>
        <w:t>Por outro lado, o ano foi marcado por um forte aumento da quantidade de avisos de sinistros dos seguros com cobertura por morte</w:t>
      </w:r>
      <w:r w:rsidR="001F3D77">
        <w:rPr>
          <w:rFonts w:cs="Arial"/>
        </w:rPr>
        <w:t>,</w:t>
      </w:r>
      <w:r w:rsidR="001D70A7">
        <w:rPr>
          <w:rFonts w:cs="Arial"/>
        </w:rPr>
        <w:t xml:space="preserve"> especialmente no segundo trimestre</w:t>
      </w:r>
      <w:r>
        <w:rPr>
          <w:rFonts w:cs="Arial"/>
        </w:rPr>
        <w:t xml:space="preserve">, </w:t>
      </w:r>
      <w:r w:rsidR="001F3D77">
        <w:rPr>
          <w:rFonts w:cs="Arial"/>
        </w:rPr>
        <w:t>decorrente da disseminação das novas variantes do coronavírus</w:t>
      </w:r>
      <w:r w:rsidR="001D70A7">
        <w:rPr>
          <w:rFonts w:cs="Arial"/>
        </w:rPr>
        <w:t>.</w:t>
      </w:r>
      <w:r w:rsidR="00802626">
        <w:rPr>
          <w:rFonts w:cs="Arial"/>
        </w:rPr>
        <w:t xml:space="preserve"> </w:t>
      </w:r>
      <w:r w:rsidR="001F3D77">
        <w:rPr>
          <w:rFonts w:cs="Arial"/>
        </w:rPr>
        <w:t>Já</w:t>
      </w:r>
      <w:r w:rsidR="00802626">
        <w:rPr>
          <w:rFonts w:cs="Arial"/>
        </w:rPr>
        <w:t xml:space="preserve"> no segmento de previdência privada aberta, o menor nível de renda disponível da população </w:t>
      </w:r>
      <w:r w:rsidR="00EA49DA">
        <w:rPr>
          <w:rFonts w:cs="Arial"/>
        </w:rPr>
        <w:t xml:space="preserve">e </w:t>
      </w:r>
      <w:r w:rsidR="00603247">
        <w:rPr>
          <w:rFonts w:cs="Arial"/>
        </w:rPr>
        <w:t xml:space="preserve">o </w:t>
      </w:r>
      <w:r w:rsidR="00EA49DA">
        <w:rPr>
          <w:rFonts w:cs="Arial"/>
        </w:rPr>
        <w:t xml:space="preserve">aumento no endividamento </w:t>
      </w:r>
      <w:r w:rsidR="00802626">
        <w:rPr>
          <w:rFonts w:cs="Arial"/>
        </w:rPr>
        <w:t xml:space="preserve">contribuiu para um aumento dos resgates, limitando o crescimento das reservas desse produto. </w:t>
      </w:r>
    </w:p>
    <w:p w14:paraId="45D41DC0" w14:textId="52F57215" w:rsidR="00C81A16" w:rsidRDefault="00404148" w:rsidP="00591873">
      <w:pPr>
        <w:spacing w:line="256" w:lineRule="auto"/>
        <w:jc w:val="both"/>
        <w:rPr>
          <w:rFonts w:eastAsia="Times New Roman" w:cs="Arial"/>
          <w:spacing w:val="-2"/>
          <w:szCs w:val="18"/>
          <w:lang w:eastAsia="pt-BR"/>
        </w:rPr>
      </w:pPr>
      <w:r>
        <w:rPr>
          <w:rFonts w:cs="Arial"/>
        </w:rPr>
        <w:t xml:space="preserve">  </w:t>
      </w:r>
      <w:r w:rsidR="00C81A16">
        <w:rPr>
          <w:rFonts w:cs="Arial"/>
        </w:rPr>
        <w:br w:type="page"/>
      </w:r>
    </w:p>
    <w:p w14:paraId="75861D1F"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lastRenderedPageBreak/>
        <w:t>DESEMPENHO ECONÔMICO-FINANCEIRO</w:t>
      </w:r>
    </w:p>
    <w:p w14:paraId="7174DEC3" w14:textId="77777777" w:rsidR="00402DCE" w:rsidRPr="009B1893" w:rsidRDefault="00402DCE" w:rsidP="00402DCE">
      <w:pPr>
        <w:pStyle w:val="01-Textonormal"/>
        <w:rPr>
          <w:rFonts w:cs="Arial"/>
        </w:rPr>
      </w:pPr>
      <w:r w:rsidRPr="009B1893">
        <w:rPr>
          <w:rFonts w:cs="Arial"/>
        </w:rPr>
        <w:t xml:space="preserve">Enquanto empresa de participações, o lucro líquido da BB Seguridade é composto basicamente pelo resultado de equivalência patrimonial, apurado a partir do resultado de suas empresas investidas, e das demais receitas e despesas operacionais e financeiras da Companhia. </w:t>
      </w:r>
    </w:p>
    <w:p w14:paraId="2B92E078" w14:textId="585CA838" w:rsidR="00402DCE" w:rsidRPr="009B1893" w:rsidRDefault="00402DCE" w:rsidP="00402DCE">
      <w:pPr>
        <w:pStyle w:val="01-Textonormal"/>
        <w:rPr>
          <w:rFonts w:cs="Arial"/>
        </w:rPr>
      </w:pPr>
      <w:r w:rsidRPr="009B1893">
        <w:rPr>
          <w:rFonts w:cs="Arial"/>
        </w:rPr>
        <w:t>Abaixo, apresentamos o resultado da BB Seguridade para os exercícios 2021 e 2020</w:t>
      </w:r>
      <w:r w:rsidR="008B50EE">
        <w:rPr>
          <w:rFonts w:cs="Arial"/>
        </w:rPr>
        <w:t xml:space="preserve"> e os nossos comentários em relação às principais variações ocorridas no exercício</w:t>
      </w:r>
      <w:r w:rsidRPr="009B1893">
        <w:rPr>
          <w:rFonts w:cs="Arial"/>
        </w:rPr>
        <w:t>:</w:t>
      </w:r>
    </w:p>
    <w:p w14:paraId="3CBA185C" w14:textId="77777777" w:rsidR="00402DCE" w:rsidRPr="009B1893" w:rsidRDefault="00402DCE" w:rsidP="00402DCE">
      <w:pPr>
        <w:pStyle w:val="06-Rmil"/>
        <w:jc w:val="left"/>
        <w:rPr>
          <w:rFonts w:cs="Arial"/>
        </w:rPr>
      </w:pPr>
    </w:p>
    <w:p w14:paraId="4A45672D" w14:textId="77777777" w:rsidR="00402DCE" w:rsidRPr="009B1893" w:rsidRDefault="00402DCE" w:rsidP="00402DCE">
      <w:pPr>
        <w:pStyle w:val="01-TtulodeNota"/>
        <w:rPr>
          <w:b w:val="0"/>
          <w:sz w:val="14"/>
        </w:rPr>
      </w:pPr>
      <w:r w:rsidRPr="009B1893">
        <w:rPr>
          <w:rFonts w:cs="Arial"/>
          <w:b w:val="0"/>
          <w:sz w:val="14"/>
          <w:szCs w:val="14"/>
        </w:rPr>
        <w:t xml:space="preserve">Tabela </w:t>
      </w:r>
      <w:r w:rsidRPr="009B1893">
        <w:rPr>
          <w:rFonts w:cs="Arial"/>
          <w:b w:val="0"/>
          <w:sz w:val="14"/>
          <w:szCs w:val="14"/>
        </w:rPr>
        <w:fldChar w:fldCharType="begin"/>
      </w:r>
      <w:r w:rsidRPr="009B1893">
        <w:rPr>
          <w:rFonts w:cs="Arial"/>
          <w:b w:val="0"/>
          <w:sz w:val="14"/>
          <w:szCs w:val="14"/>
        </w:rPr>
        <w:instrText xml:space="preserve"> SEQ Tabela \* ARABIC </w:instrText>
      </w:r>
      <w:r w:rsidRPr="009B1893">
        <w:rPr>
          <w:rFonts w:cs="Arial"/>
          <w:b w:val="0"/>
          <w:sz w:val="14"/>
          <w:szCs w:val="14"/>
        </w:rPr>
        <w:fldChar w:fldCharType="separate"/>
      </w:r>
      <w:r w:rsidRPr="009B1893">
        <w:rPr>
          <w:rFonts w:cs="Arial"/>
          <w:b w:val="0"/>
          <w:noProof/>
          <w:sz w:val="14"/>
          <w:szCs w:val="14"/>
        </w:rPr>
        <w:t>1</w:t>
      </w:r>
      <w:r w:rsidRPr="009B1893">
        <w:rPr>
          <w:rFonts w:cs="Arial"/>
          <w:b w:val="0"/>
          <w:noProof/>
          <w:sz w:val="14"/>
          <w:szCs w:val="14"/>
        </w:rPr>
        <w:fldChar w:fldCharType="end"/>
      </w:r>
      <w:r w:rsidRPr="009B1893">
        <w:rPr>
          <w:b w:val="0"/>
          <w:sz w:val="14"/>
        </w:rPr>
        <w:t xml:space="preserve"> – Desempenho econômico-financeiro | Demonstração de Resultados – Visão Controlador</w:t>
      </w:r>
    </w:p>
    <w:tbl>
      <w:tblPr>
        <w:tblStyle w:val="TabeladeLista6Colorida-nfase5"/>
        <w:tblW w:w="9639" w:type="dxa"/>
        <w:tblLook w:val="04A0" w:firstRow="1" w:lastRow="0" w:firstColumn="1" w:lastColumn="0" w:noHBand="0" w:noVBand="1"/>
      </w:tblPr>
      <w:tblGrid>
        <w:gridCol w:w="4066"/>
        <w:gridCol w:w="1860"/>
        <w:gridCol w:w="1860"/>
        <w:gridCol w:w="1853"/>
      </w:tblGrid>
      <w:tr w:rsidR="00402DCE" w:rsidRPr="00FA31E9" w14:paraId="10A43429" w14:textId="77777777" w:rsidTr="00402DC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6393F672" w14:textId="6631692F" w:rsidR="00402DCE" w:rsidRPr="00AA6D51" w:rsidRDefault="004E0279" w:rsidP="00402DCE">
            <w:pPr>
              <w:pStyle w:val="08-Tabelageral"/>
              <w:jc w:val="left"/>
              <w:rPr>
                <w:rFonts w:cs="Arial"/>
                <w:lang w:eastAsia="en-US"/>
              </w:rPr>
            </w:pPr>
            <w:r>
              <w:rPr>
                <w:rFonts w:cs="Arial"/>
                <w:lang w:eastAsia="en-US"/>
              </w:rPr>
              <w:t>R$ mil</w:t>
            </w:r>
          </w:p>
        </w:tc>
        <w:tc>
          <w:tcPr>
            <w:tcW w:w="186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E627018" w14:textId="77777777" w:rsidR="00402DCE" w:rsidRPr="00AA6D51" w:rsidRDefault="00402DCE"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Exercício/2021</w:t>
            </w:r>
          </w:p>
        </w:tc>
        <w:tc>
          <w:tcPr>
            <w:tcW w:w="186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1732C26" w14:textId="77777777" w:rsidR="00402DCE" w:rsidRPr="00AA6D51" w:rsidRDefault="00402DCE"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Exercício/2020</w:t>
            </w:r>
          </w:p>
        </w:tc>
        <w:tc>
          <w:tcPr>
            <w:tcW w:w="1853" w:type="dxa"/>
            <w:tcBorders>
              <w:top w:val="single" w:sz="2" w:space="0" w:color="8EAADB" w:themeColor="accent5" w:themeTint="99"/>
              <w:left w:val="nil"/>
              <w:bottom w:val="nil"/>
              <w:right w:val="nil"/>
            </w:tcBorders>
            <w:shd w:val="clear" w:color="auto" w:fill="D9E2F3" w:themeFill="accent5" w:themeFillTint="33"/>
            <w:vAlign w:val="center"/>
            <w:hideMark/>
          </w:tcPr>
          <w:p w14:paraId="1A718912" w14:textId="77777777" w:rsidR="00402DCE" w:rsidRPr="00AA6D51" w:rsidRDefault="00402DCE"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Var.%</w:t>
            </w:r>
          </w:p>
        </w:tc>
      </w:tr>
      <w:tr w:rsidR="00402DCE" w:rsidRPr="00FA31E9" w14:paraId="16629A4C" w14:textId="77777777" w:rsidTr="00402DC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0671BA5A" w14:textId="77777777" w:rsidR="00402DCE" w:rsidRPr="00AA6D51" w:rsidRDefault="00402DCE" w:rsidP="00402DCE">
            <w:pPr>
              <w:pStyle w:val="08-Tabelageral"/>
              <w:jc w:val="left"/>
              <w:rPr>
                <w:rFonts w:cs="Arial"/>
                <w:bCs w:val="0"/>
                <w:szCs w:val="14"/>
                <w:lang w:eastAsia="en-US"/>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5406BDAD" w14:textId="77777777" w:rsidR="00402DCE" w:rsidRPr="00AA6D51" w:rsidRDefault="00402DCE"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21A76B6B" w14:textId="77777777" w:rsidR="00402DCE" w:rsidRPr="00AA6D51" w:rsidRDefault="00402DCE"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853" w:type="dxa"/>
            <w:tcBorders>
              <w:top w:val="nil"/>
              <w:left w:val="nil"/>
              <w:bottom w:val="single" w:sz="2" w:space="0" w:color="8EAADB" w:themeColor="accent5" w:themeTint="99"/>
              <w:right w:val="nil"/>
            </w:tcBorders>
            <w:vAlign w:val="center"/>
            <w:hideMark/>
          </w:tcPr>
          <w:p w14:paraId="2ED0ABFB" w14:textId="77777777" w:rsidR="00402DCE" w:rsidRPr="00AA6D51" w:rsidRDefault="00402DCE" w:rsidP="00402DCE">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AA6D51">
              <w:rPr>
                <w:rFonts w:cs="Arial"/>
                <w:b/>
                <w:lang w:eastAsia="en-US"/>
              </w:rPr>
              <w:t>s/ 2020</w:t>
            </w:r>
          </w:p>
        </w:tc>
      </w:tr>
      <w:tr w:rsidR="008B50EE" w:rsidRPr="00FA31E9" w14:paraId="19A6263B" w14:textId="77777777" w:rsidTr="00DC29B8">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hideMark/>
          </w:tcPr>
          <w:p w14:paraId="5FC60E7A" w14:textId="77777777" w:rsidR="008B50EE" w:rsidRPr="00AA6D51" w:rsidRDefault="008B50EE" w:rsidP="008B50EE">
            <w:pPr>
              <w:pStyle w:val="08-Tabelageral"/>
              <w:jc w:val="left"/>
              <w:rPr>
                <w:rFonts w:cs="Arial"/>
                <w:snapToGrid w:val="0"/>
                <w:lang w:eastAsia="en-US"/>
              </w:rPr>
            </w:pPr>
            <w:r w:rsidRPr="00AA6D51">
              <w:rPr>
                <w:rFonts w:cs="Arial"/>
                <w:lang w:eastAsia="en-US"/>
              </w:rPr>
              <w:t>Receitas de investimentos em participações societárias</w:t>
            </w:r>
          </w:p>
        </w:tc>
        <w:tc>
          <w:tcPr>
            <w:tcW w:w="1860" w:type="dxa"/>
            <w:tcBorders>
              <w:top w:val="single" w:sz="2" w:space="0" w:color="8EAADB" w:themeColor="accent5" w:themeTint="99"/>
              <w:left w:val="nil"/>
              <w:bottom w:val="nil"/>
              <w:right w:val="nil"/>
            </w:tcBorders>
            <w:vAlign w:val="center"/>
            <w:hideMark/>
          </w:tcPr>
          <w:p w14:paraId="4C26595A" w14:textId="348A1B87"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b/>
                <w:szCs w:val="14"/>
                <w:lang w:eastAsia="en-US"/>
              </w:rPr>
              <w:t>3.923.593</w:t>
            </w:r>
          </w:p>
        </w:tc>
        <w:tc>
          <w:tcPr>
            <w:tcW w:w="1860" w:type="dxa"/>
            <w:tcBorders>
              <w:top w:val="single" w:sz="2" w:space="0" w:color="8EAADB" w:themeColor="accent5" w:themeTint="99"/>
              <w:left w:val="nil"/>
              <w:bottom w:val="nil"/>
              <w:right w:val="nil"/>
            </w:tcBorders>
            <w:vAlign w:val="center"/>
            <w:hideMark/>
          </w:tcPr>
          <w:p w14:paraId="763EB546" w14:textId="77777777"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b/>
                <w:bCs/>
                <w:szCs w:val="14"/>
                <w:lang w:eastAsia="en-US"/>
              </w:rPr>
              <w:t>3.833.384</w:t>
            </w:r>
          </w:p>
        </w:tc>
        <w:tc>
          <w:tcPr>
            <w:tcW w:w="1853" w:type="dxa"/>
            <w:tcBorders>
              <w:top w:val="single" w:sz="2" w:space="0" w:color="8EAADB" w:themeColor="accent5" w:themeTint="99"/>
              <w:left w:val="nil"/>
              <w:bottom w:val="nil"/>
              <w:right w:val="nil"/>
            </w:tcBorders>
            <w:hideMark/>
          </w:tcPr>
          <w:p w14:paraId="5EBD27A1" w14:textId="42130537" w:rsidR="008B50EE" w:rsidRPr="008B50EE"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8B50EE">
              <w:rPr>
                <w:b/>
                <w:bCs/>
              </w:rPr>
              <w:t>2,4</w:t>
            </w:r>
          </w:p>
        </w:tc>
      </w:tr>
      <w:tr w:rsidR="008B50EE" w:rsidRPr="00FA31E9" w14:paraId="377956B9"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61557A3" w14:textId="7A068BA5" w:rsidR="008B50EE" w:rsidRPr="00AA6D51" w:rsidRDefault="008B50EE" w:rsidP="008B50EE">
            <w:pPr>
              <w:pStyle w:val="08-Tabelageral"/>
              <w:ind w:left="113"/>
              <w:jc w:val="left"/>
              <w:rPr>
                <w:rFonts w:cs="Arial"/>
                <w:b w:val="0"/>
                <w:snapToGrid w:val="0"/>
                <w:lang w:eastAsia="en-US"/>
              </w:rPr>
            </w:pPr>
            <w:r w:rsidRPr="00AA6D51">
              <w:rPr>
                <w:rFonts w:cs="Arial"/>
                <w:b w:val="0"/>
                <w:lang w:eastAsia="en-US"/>
              </w:rPr>
              <w:t>BB MAPFRE Participações S.A. (Brasilseg)</w:t>
            </w:r>
          </w:p>
        </w:tc>
        <w:tc>
          <w:tcPr>
            <w:tcW w:w="1860" w:type="dxa"/>
            <w:tcBorders>
              <w:top w:val="nil"/>
              <w:left w:val="nil"/>
              <w:bottom w:val="nil"/>
              <w:right w:val="nil"/>
            </w:tcBorders>
            <w:vAlign w:val="center"/>
            <w:hideMark/>
          </w:tcPr>
          <w:p w14:paraId="4BCFD684" w14:textId="00161494"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1.067.020</w:t>
            </w:r>
          </w:p>
        </w:tc>
        <w:tc>
          <w:tcPr>
            <w:tcW w:w="1860" w:type="dxa"/>
            <w:tcBorders>
              <w:top w:val="nil"/>
              <w:left w:val="nil"/>
              <w:bottom w:val="nil"/>
              <w:right w:val="nil"/>
            </w:tcBorders>
            <w:vAlign w:val="center"/>
            <w:hideMark/>
          </w:tcPr>
          <w:p w14:paraId="7F6558AC" w14:textId="77777777"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1.086.543</w:t>
            </w:r>
          </w:p>
        </w:tc>
        <w:tc>
          <w:tcPr>
            <w:tcW w:w="1853" w:type="dxa"/>
            <w:tcBorders>
              <w:top w:val="nil"/>
              <w:left w:val="nil"/>
              <w:bottom w:val="nil"/>
              <w:right w:val="nil"/>
            </w:tcBorders>
            <w:hideMark/>
          </w:tcPr>
          <w:p w14:paraId="6E07ACB4" w14:textId="3DD12830"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t>(</w:t>
            </w:r>
            <w:r w:rsidRPr="001A39EB">
              <w:t>1,8</w:t>
            </w:r>
            <w:r>
              <w:t>)</w:t>
            </w:r>
          </w:p>
        </w:tc>
      </w:tr>
      <w:tr w:rsidR="008B50EE" w:rsidRPr="00FA31E9" w14:paraId="72869CA3"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500CF3F" w14:textId="77777777" w:rsidR="008B50EE" w:rsidRPr="00AA6D51" w:rsidRDefault="008B50EE" w:rsidP="008B50EE">
            <w:pPr>
              <w:pStyle w:val="08-Tabelageral"/>
              <w:ind w:left="113"/>
              <w:jc w:val="left"/>
              <w:rPr>
                <w:rFonts w:cs="Arial"/>
                <w:b w:val="0"/>
                <w:snapToGrid w:val="0"/>
                <w:lang w:eastAsia="en-US"/>
              </w:rPr>
            </w:pPr>
            <w:r w:rsidRPr="00AA6D51">
              <w:rPr>
                <w:rFonts w:cs="Arial"/>
                <w:b w:val="0"/>
                <w:lang w:eastAsia="en-US"/>
              </w:rPr>
              <w:t>Brasilprev Seguros e Previdência S.A.</w:t>
            </w:r>
          </w:p>
        </w:tc>
        <w:tc>
          <w:tcPr>
            <w:tcW w:w="1860" w:type="dxa"/>
            <w:tcBorders>
              <w:top w:val="nil"/>
              <w:left w:val="nil"/>
              <w:bottom w:val="nil"/>
              <w:right w:val="nil"/>
            </w:tcBorders>
            <w:vAlign w:val="center"/>
            <w:hideMark/>
          </w:tcPr>
          <w:p w14:paraId="4B1B8E22" w14:textId="6BDB1B97"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756.544</w:t>
            </w:r>
          </w:p>
        </w:tc>
        <w:tc>
          <w:tcPr>
            <w:tcW w:w="1860" w:type="dxa"/>
            <w:tcBorders>
              <w:top w:val="nil"/>
              <w:left w:val="nil"/>
              <w:bottom w:val="nil"/>
              <w:right w:val="nil"/>
            </w:tcBorders>
            <w:vAlign w:val="center"/>
            <w:hideMark/>
          </w:tcPr>
          <w:p w14:paraId="7B289DEB" w14:textId="77777777"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686.379</w:t>
            </w:r>
          </w:p>
        </w:tc>
        <w:tc>
          <w:tcPr>
            <w:tcW w:w="1853" w:type="dxa"/>
            <w:tcBorders>
              <w:top w:val="nil"/>
              <w:left w:val="nil"/>
              <w:bottom w:val="nil"/>
              <w:right w:val="nil"/>
            </w:tcBorders>
            <w:hideMark/>
          </w:tcPr>
          <w:p w14:paraId="603F2BF7" w14:textId="372172B0"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1A39EB">
              <w:t>10,2</w:t>
            </w:r>
          </w:p>
        </w:tc>
      </w:tr>
      <w:tr w:rsidR="008B50EE" w:rsidRPr="00FA31E9" w14:paraId="7624FC87"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134075C" w14:textId="77777777" w:rsidR="008B50EE" w:rsidRPr="00AA6D51" w:rsidRDefault="008B50EE" w:rsidP="008B50EE">
            <w:pPr>
              <w:pStyle w:val="08-Tabelageral"/>
              <w:ind w:left="113"/>
              <w:jc w:val="left"/>
              <w:rPr>
                <w:rFonts w:cs="Arial"/>
                <w:b w:val="0"/>
                <w:snapToGrid w:val="0"/>
                <w:lang w:eastAsia="en-US"/>
              </w:rPr>
            </w:pPr>
            <w:r w:rsidRPr="00AA6D51">
              <w:rPr>
                <w:rFonts w:cs="Arial"/>
                <w:b w:val="0"/>
                <w:lang w:eastAsia="en-US"/>
              </w:rPr>
              <w:t>Brasilcap Capitalização S.A.</w:t>
            </w:r>
          </w:p>
        </w:tc>
        <w:tc>
          <w:tcPr>
            <w:tcW w:w="1860" w:type="dxa"/>
            <w:tcBorders>
              <w:top w:val="nil"/>
              <w:left w:val="nil"/>
              <w:bottom w:val="nil"/>
              <w:right w:val="nil"/>
            </w:tcBorders>
            <w:vAlign w:val="center"/>
            <w:hideMark/>
          </w:tcPr>
          <w:p w14:paraId="340B2EDD" w14:textId="69E24DB9"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2.341</w:t>
            </w:r>
          </w:p>
        </w:tc>
        <w:tc>
          <w:tcPr>
            <w:tcW w:w="1860" w:type="dxa"/>
            <w:tcBorders>
              <w:top w:val="nil"/>
              <w:left w:val="nil"/>
              <w:bottom w:val="nil"/>
              <w:right w:val="nil"/>
            </w:tcBorders>
            <w:vAlign w:val="center"/>
            <w:hideMark/>
          </w:tcPr>
          <w:p w14:paraId="2C1190FB" w14:textId="77777777"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lang w:eastAsia="en-US"/>
              </w:rPr>
              <w:t>105.780</w:t>
            </w:r>
          </w:p>
        </w:tc>
        <w:tc>
          <w:tcPr>
            <w:tcW w:w="1853" w:type="dxa"/>
            <w:tcBorders>
              <w:top w:val="nil"/>
              <w:left w:val="nil"/>
              <w:bottom w:val="nil"/>
              <w:right w:val="nil"/>
            </w:tcBorders>
            <w:hideMark/>
          </w:tcPr>
          <w:p w14:paraId="38F3A59B" w14:textId="7DC3B570"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t>(</w:t>
            </w:r>
            <w:r w:rsidRPr="001A39EB">
              <w:t>97,8</w:t>
            </w:r>
            <w:r>
              <w:t>)</w:t>
            </w:r>
          </w:p>
        </w:tc>
      </w:tr>
      <w:tr w:rsidR="008B50EE" w:rsidRPr="00FA31E9" w14:paraId="109FA2E4"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3F8C35A" w14:textId="702BEBAE" w:rsidR="008B50EE" w:rsidRPr="00AA6D51" w:rsidRDefault="008B50EE" w:rsidP="008B50EE">
            <w:pPr>
              <w:pStyle w:val="08-Tabelageral"/>
              <w:ind w:left="113"/>
              <w:jc w:val="left"/>
              <w:rPr>
                <w:rFonts w:cs="Arial"/>
                <w:b w:val="0"/>
                <w:snapToGrid w:val="0"/>
                <w:vertAlign w:val="superscript"/>
                <w:lang w:eastAsia="en-US"/>
              </w:rPr>
            </w:pPr>
            <w:r w:rsidRPr="00AA6D51">
              <w:rPr>
                <w:rFonts w:cs="Arial"/>
                <w:b w:val="0"/>
                <w:lang w:eastAsia="en-US"/>
              </w:rPr>
              <w:t>Brasildental Operadora de Planos Odontológicos S.A.</w:t>
            </w:r>
          </w:p>
        </w:tc>
        <w:tc>
          <w:tcPr>
            <w:tcW w:w="1860" w:type="dxa"/>
            <w:tcBorders>
              <w:top w:val="nil"/>
              <w:left w:val="nil"/>
              <w:bottom w:val="nil"/>
              <w:right w:val="nil"/>
            </w:tcBorders>
            <w:vAlign w:val="center"/>
            <w:hideMark/>
          </w:tcPr>
          <w:p w14:paraId="796B145B" w14:textId="15F5D9EA"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17.083</w:t>
            </w:r>
          </w:p>
        </w:tc>
        <w:tc>
          <w:tcPr>
            <w:tcW w:w="1860" w:type="dxa"/>
            <w:tcBorders>
              <w:top w:val="nil"/>
              <w:left w:val="nil"/>
              <w:bottom w:val="nil"/>
              <w:right w:val="nil"/>
            </w:tcBorders>
            <w:vAlign w:val="center"/>
            <w:hideMark/>
          </w:tcPr>
          <w:p w14:paraId="1BF8DDE6" w14:textId="05E0A484"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17.702</w:t>
            </w:r>
          </w:p>
        </w:tc>
        <w:tc>
          <w:tcPr>
            <w:tcW w:w="1853" w:type="dxa"/>
            <w:tcBorders>
              <w:top w:val="nil"/>
              <w:left w:val="nil"/>
              <w:bottom w:val="nil"/>
              <w:right w:val="nil"/>
            </w:tcBorders>
            <w:hideMark/>
          </w:tcPr>
          <w:p w14:paraId="35657754" w14:textId="67B6FDD7"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t>(</w:t>
            </w:r>
            <w:r w:rsidRPr="001A39EB">
              <w:t>3,5</w:t>
            </w:r>
            <w:r>
              <w:t>)</w:t>
            </w:r>
          </w:p>
        </w:tc>
      </w:tr>
      <w:tr w:rsidR="008B50EE" w:rsidRPr="00FA31E9" w14:paraId="20BAE3FA"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738C258" w14:textId="2ED9577A" w:rsidR="008B50EE" w:rsidRPr="00AA6D51" w:rsidRDefault="008B50EE" w:rsidP="008B50EE">
            <w:pPr>
              <w:pStyle w:val="08-Tabelageral"/>
              <w:ind w:left="113"/>
              <w:jc w:val="left"/>
              <w:rPr>
                <w:rFonts w:cs="Arial"/>
                <w:b w:val="0"/>
                <w:snapToGrid w:val="0"/>
                <w:lang w:eastAsia="en-US"/>
              </w:rPr>
            </w:pPr>
            <w:r w:rsidRPr="00AA6D51">
              <w:rPr>
                <w:rFonts w:cs="Arial"/>
                <w:b w:val="0"/>
                <w:lang w:eastAsia="en-US"/>
              </w:rPr>
              <w:t>BB Corretora de Seguros e Administradora de Bens S.A.</w:t>
            </w:r>
          </w:p>
        </w:tc>
        <w:tc>
          <w:tcPr>
            <w:tcW w:w="1860" w:type="dxa"/>
            <w:tcBorders>
              <w:top w:val="nil"/>
              <w:left w:val="nil"/>
              <w:bottom w:val="nil"/>
              <w:right w:val="nil"/>
            </w:tcBorders>
            <w:vAlign w:val="center"/>
            <w:hideMark/>
          </w:tcPr>
          <w:p w14:paraId="378488AE" w14:textId="0A84B002"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2.162.039</w:t>
            </w:r>
          </w:p>
        </w:tc>
        <w:tc>
          <w:tcPr>
            <w:tcW w:w="1860" w:type="dxa"/>
            <w:tcBorders>
              <w:top w:val="nil"/>
              <w:left w:val="nil"/>
              <w:bottom w:val="nil"/>
              <w:right w:val="nil"/>
            </w:tcBorders>
            <w:vAlign w:val="center"/>
            <w:hideMark/>
          </w:tcPr>
          <w:p w14:paraId="727C4576" w14:textId="72C38F51"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1.969.105</w:t>
            </w:r>
          </w:p>
        </w:tc>
        <w:tc>
          <w:tcPr>
            <w:tcW w:w="1853" w:type="dxa"/>
            <w:tcBorders>
              <w:top w:val="nil"/>
              <w:left w:val="nil"/>
              <w:bottom w:val="nil"/>
              <w:right w:val="nil"/>
            </w:tcBorders>
            <w:hideMark/>
          </w:tcPr>
          <w:p w14:paraId="2481C04C" w14:textId="210EA0FC"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A39EB">
              <w:t>9,8</w:t>
            </w:r>
          </w:p>
        </w:tc>
      </w:tr>
      <w:tr w:rsidR="008B50EE" w:rsidRPr="00FA31E9" w14:paraId="4BF2305B" w14:textId="77777777" w:rsidTr="00DC29B8">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CC8A26C" w14:textId="0E107EF8" w:rsidR="008B50EE" w:rsidRPr="00AA6D51" w:rsidRDefault="008B50EE" w:rsidP="008B50EE">
            <w:pPr>
              <w:pStyle w:val="08-Tabelageral"/>
              <w:ind w:left="113"/>
              <w:jc w:val="left"/>
              <w:rPr>
                <w:rFonts w:cs="Arial"/>
                <w:b w:val="0"/>
                <w:lang w:eastAsia="en-US"/>
              </w:rPr>
            </w:pPr>
            <w:r w:rsidRPr="00AA6D51">
              <w:rPr>
                <w:rFonts w:cs="Arial"/>
                <w:b w:val="0"/>
                <w:lang w:eastAsia="en-US"/>
              </w:rPr>
              <w:t>Outros</w:t>
            </w:r>
          </w:p>
        </w:tc>
        <w:tc>
          <w:tcPr>
            <w:tcW w:w="1860" w:type="dxa"/>
            <w:tcBorders>
              <w:top w:val="nil"/>
              <w:left w:val="nil"/>
              <w:bottom w:val="nil"/>
              <w:right w:val="nil"/>
            </w:tcBorders>
            <w:vAlign w:val="center"/>
            <w:hideMark/>
          </w:tcPr>
          <w:p w14:paraId="780BD057" w14:textId="52F68A44"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w:t>
            </w:r>
            <w:r w:rsidR="009D6016">
              <w:rPr>
                <w:rFonts w:cs="Arial"/>
                <w:szCs w:val="14"/>
                <w:lang w:eastAsia="en-US"/>
              </w:rPr>
              <w:t>81.434</w:t>
            </w:r>
            <w:r w:rsidRPr="00AA6D51">
              <w:rPr>
                <w:rFonts w:cs="Arial"/>
                <w:szCs w:val="14"/>
                <w:lang w:eastAsia="en-US"/>
              </w:rPr>
              <w:t>)</w:t>
            </w:r>
          </w:p>
        </w:tc>
        <w:tc>
          <w:tcPr>
            <w:tcW w:w="1860" w:type="dxa"/>
            <w:tcBorders>
              <w:top w:val="nil"/>
              <w:left w:val="nil"/>
              <w:bottom w:val="nil"/>
              <w:right w:val="nil"/>
            </w:tcBorders>
            <w:vAlign w:val="center"/>
            <w:hideMark/>
          </w:tcPr>
          <w:p w14:paraId="784481E7" w14:textId="3CFE5DEA"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(32.125)</w:t>
            </w:r>
          </w:p>
        </w:tc>
        <w:tc>
          <w:tcPr>
            <w:tcW w:w="1853" w:type="dxa"/>
            <w:tcBorders>
              <w:top w:val="nil"/>
              <w:left w:val="nil"/>
              <w:bottom w:val="nil"/>
              <w:right w:val="nil"/>
            </w:tcBorders>
            <w:hideMark/>
          </w:tcPr>
          <w:p w14:paraId="7738751F" w14:textId="1F379E59"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1A39EB">
              <w:t>153,5</w:t>
            </w:r>
          </w:p>
        </w:tc>
      </w:tr>
      <w:tr w:rsidR="008B50EE" w:rsidRPr="00FA31E9" w14:paraId="38064C31"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2535E3E8" w14:textId="47B91701" w:rsidR="008B50EE" w:rsidRPr="00AA6D51" w:rsidRDefault="008B50EE" w:rsidP="008B50EE">
            <w:pPr>
              <w:pStyle w:val="08-Tabelageral"/>
              <w:jc w:val="left"/>
              <w:rPr>
                <w:rFonts w:cs="Arial"/>
                <w:b w:val="0"/>
                <w:lang w:eastAsia="en-US"/>
              </w:rPr>
            </w:pPr>
            <w:r w:rsidRPr="00AA6D51">
              <w:rPr>
                <w:rFonts w:cs="Arial"/>
                <w:lang w:eastAsia="en-US"/>
              </w:rPr>
              <w:t>Outras Receitas e Despesas</w:t>
            </w:r>
          </w:p>
        </w:tc>
        <w:tc>
          <w:tcPr>
            <w:tcW w:w="1860" w:type="dxa"/>
            <w:tcBorders>
              <w:top w:val="nil"/>
              <w:left w:val="nil"/>
              <w:bottom w:val="nil"/>
              <w:right w:val="nil"/>
            </w:tcBorders>
            <w:vAlign w:val="center"/>
            <w:hideMark/>
          </w:tcPr>
          <w:p w14:paraId="1F7514BF" w14:textId="2EA9978F"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(8.572)</w:t>
            </w:r>
          </w:p>
        </w:tc>
        <w:tc>
          <w:tcPr>
            <w:tcW w:w="1860" w:type="dxa"/>
            <w:tcBorders>
              <w:top w:val="nil"/>
              <w:left w:val="nil"/>
              <w:bottom w:val="nil"/>
              <w:right w:val="nil"/>
            </w:tcBorders>
            <w:vAlign w:val="center"/>
            <w:hideMark/>
          </w:tcPr>
          <w:p w14:paraId="69A9B894" w14:textId="55F7288E"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(10.882)</w:t>
            </w:r>
          </w:p>
        </w:tc>
        <w:tc>
          <w:tcPr>
            <w:tcW w:w="1853" w:type="dxa"/>
            <w:tcBorders>
              <w:top w:val="nil"/>
              <w:left w:val="nil"/>
              <w:bottom w:val="nil"/>
              <w:right w:val="nil"/>
            </w:tcBorders>
            <w:hideMark/>
          </w:tcPr>
          <w:p w14:paraId="2F1AF3C3" w14:textId="66FA5F7D" w:rsidR="008B50EE" w:rsidRPr="008B50EE"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b/>
                <w:bCs/>
              </w:rPr>
              <w:t>(</w:t>
            </w:r>
            <w:r w:rsidRPr="008B50EE">
              <w:rPr>
                <w:b/>
                <w:bCs/>
              </w:rPr>
              <w:t>21,2</w:t>
            </w:r>
            <w:r>
              <w:rPr>
                <w:b/>
                <w:bCs/>
              </w:rPr>
              <w:t>)</w:t>
            </w:r>
          </w:p>
        </w:tc>
      </w:tr>
      <w:tr w:rsidR="008B50EE" w:rsidRPr="00FA31E9" w14:paraId="1F75B7EF"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4A5D129" w14:textId="58F9C232" w:rsidR="008B50EE" w:rsidRPr="00AA6D51" w:rsidRDefault="008B50EE" w:rsidP="008B50EE">
            <w:pPr>
              <w:pStyle w:val="08-Tabelageral"/>
              <w:ind w:left="113"/>
              <w:jc w:val="left"/>
              <w:rPr>
                <w:rFonts w:cs="Arial"/>
                <w:snapToGrid w:val="0"/>
                <w:lang w:eastAsia="en-US"/>
              </w:rPr>
            </w:pPr>
            <w:r w:rsidRPr="00AA6D51">
              <w:rPr>
                <w:rFonts w:cs="Arial"/>
                <w:b w:val="0"/>
                <w:lang w:eastAsia="en-US"/>
              </w:rPr>
              <w:t>Despesas com pessoal</w:t>
            </w:r>
          </w:p>
        </w:tc>
        <w:tc>
          <w:tcPr>
            <w:tcW w:w="1860" w:type="dxa"/>
            <w:tcBorders>
              <w:top w:val="nil"/>
              <w:left w:val="nil"/>
              <w:bottom w:val="nil"/>
              <w:right w:val="nil"/>
            </w:tcBorders>
            <w:vAlign w:val="center"/>
            <w:hideMark/>
          </w:tcPr>
          <w:p w14:paraId="4855F82C" w14:textId="5269D3A1"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(12.167)</w:t>
            </w:r>
          </w:p>
        </w:tc>
        <w:tc>
          <w:tcPr>
            <w:tcW w:w="1860" w:type="dxa"/>
            <w:tcBorders>
              <w:top w:val="nil"/>
              <w:left w:val="nil"/>
              <w:bottom w:val="nil"/>
              <w:right w:val="nil"/>
            </w:tcBorders>
            <w:vAlign w:val="center"/>
            <w:hideMark/>
          </w:tcPr>
          <w:p w14:paraId="251E8781" w14:textId="13347F19"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(11.602)</w:t>
            </w:r>
          </w:p>
        </w:tc>
        <w:tc>
          <w:tcPr>
            <w:tcW w:w="1853" w:type="dxa"/>
            <w:tcBorders>
              <w:top w:val="nil"/>
              <w:left w:val="nil"/>
              <w:bottom w:val="nil"/>
              <w:right w:val="nil"/>
            </w:tcBorders>
            <w:hideMark/>
          </w:tcPr>
          <w:p w14:paraId="1F411956" w14:textId="152C4994"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1A39EB">
              <w:t>4,9</w:t>
            </w:r>
          </w:p>
        </w:tc>
      </w:tr>
      <w:tr w:rsidR="008B50EE" w:rsidRPr="00FA31E9" w14:paraId="73062064"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21E0E71" w14:textId="005956AE" w:rsidR="008B50EE" w:rsidRPr="00AA6D51" w:rsidRDefault="008B50EE" w:rsidP="008B50EE">
            <w:pPr>
              <w:pStyle w:val="08-Tabelageral"/>
              <w:ind w:left="113"/>
              <w:jc w:val="left"/>
              <w:rPr>
                <w:rFonts w:cs="Arial"/>
                <w:b w:val="0"/>
                <w:snapToGrid w:val="0"/>
                <w:lang w:eastAsia="en-US"/>
              </w:rPr>
            </w:pPr>
            <w:r w:rsidRPr="00AA6D51">
              <w:rPr>
                <w:rFonts w:cs="Arial"/>
                <w:b w:val="0"/>
                <w:lang w:eastAsia="en-US"/>
              </w:rPr>
              <w:t>Despesas administrativas</w:t>
            </w:r>
          </w:p>
        </w:tc>
        <w:tc>
          <w:tcPr>
            <w:tcW w:w="1860" w:type="dxa"/>
            <w:tcBorders>
              <w:top w:val="nil"/>
              <w:left w:val="nil"/>
              <w:bottom w:val="nil"/>
              <w:right w:val="nil"/>
            </w:tcBorders>
            <w:vAlign w:val="center"/>
            <w:hideMark/>
          </w:tcPr>
          <w:p w14:paraId="561CA485" w14:textId="43EEF683"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(3.152)</w:t>
            </w:r>
          </w:p>
        </w:tc>
        <w:tc>
          <w:tcPr>
            <w:tcW w:w="1860" w:type="dxa"/>
            <w:tcBorders>
              <w:top w:val="nil"/>
              <w:left w:val="nil"/>
              <w:bottom w:val="nil"/>
              <w:right w:val="nil"/>
            </w:tcBorders>
            <w:vAlign w:val="center"/>
            <w:hideMark/>
          </w:tcPr>
          <w:p w14:paraId="23E06740" w14:textId="008D6714"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(3.096)</w:t>
            </w:r>
          </w:p>
        </w:tc>
        <w:tc>
          <w:tcPr>
            <w:tcW w:w="1853" w:type="dxa"/>
            <w:tcBorders>
              <w:top w:val="nil"/>
              <w:left w:val="nil"/>
              <w:bottom w:val="nil"/>
              <w:right w:val="nil"/>
            </w:tcBorders>
            <w:hideMark/>
          </w:tcPr>
          <w:p w14:paraId="72E5C010" w14:textId="6CDDA9AD"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A39EB">
              <w:t>1,8</w:t>
            </w:r>
          </w:p>
        </w:tc>
      </w:tr>
      <w:tr w:rsidR="008B50EE" w:rsidRPr="00FA31E9" w14:paraId="0606CD02" w14:textId="77777777" w:rsidTr="00DC29B8">
        <w:trPr>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D15A2D3" w14:textId="16BFB528" w:rsidR="008B50EE" w:rsidRPr="00AA6D51" w:rsidRDefault="008B50EE" w:rsidP="008B50EE">
            <w:pPr>
              <w:pStyle w:val="08-Tabelageral"/>
              <w:ind w:left="113"/>
              <w:jc w:val="left"/>
              <w:rPr>
                <w:rFonts w:cs="Arial"/>
                <w:b w:val="0"/>
                <w:lang w:eastAsia="en-US"/>
              </w:rPr>
            </w:pPr>
            <w:r w:rsidRPr="00AA6D51">
              <w:rPr>
                <w:rFonts w:cs="Arial"/>
                <w:b w:val="0"/>
                <w:lang w:eastAsia="en-US"/>
              </w:rPr>
              <w:t>Despesas tributárias</w:t>
            </w:r>
          </w:p>
        </w:tc>
        <w:tc>
          <w:tcPr>
            <w:tcW w:w="1860" w:type="dxa"/>
            <w:tcBorders>
              <w:top w:val="nil"/>
              <w:left w:val="nil"/>
              <w:bottom w:val="nil"/>
              <w:right w:val="nil"/>
            </w:tcBorders>
            <w:vAlign w:val="center"/>
            <w:hideMark/>
          </w:tcPr>
          <w:p w14:paraId="5214544A" w14:textId="43600420"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(2.083)</w:t>
            </w:r>
          </w:p>
        </w:tc>
        <w:tc>
          <w:tcPr>
            <w:tcW w:w="1860" w:type="dxa"/>
            <w:tcBorders>
              <w:top w:val="nil"/>
              <w:left w:val="nil"/>
              <w:bottom w:val="nil"/>
              <w:right w:val="nil"/>
            </w:tcBorders>
            <w:vAlign w:val="center"/>
            <w:hideMark/>
          </w:tcPr>
          <w:p w14:paraId="70F27A57" w14:textId="7D7D9055"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(3.645)</w:t>
            </w:r>
          </w:p>
        </w:tc>
        <w:tc>
          <w:tcPr>
            <w:tcW w:w="1853" w:type="dxa"/>
            <w:tcBorders>
              <w:top w:val="nil"/>
              <w:left w:val="nil"/>
              <w:bottom w:val="nil"/>
              <w:right w:val="nil"/>
            </w:tcBorders>
            <w:hideMark/>
          </w:tcPr>
          <w:p w14:paraId="214C452E" w14:textId="22F9CDD0"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t>(</w:t>
            </w:r>
            <w:r w:rsidRPr="001A39EB">
              <w:t>42,9</w:t>
            </w:r>
            <w:r>
              <w:t>)</w:t>
            </w:r>
          </w:p>
        </w:tc>
      </w:tr>
      <w:tr w:rsidR="008B50EE" w:rsidRPr="00FA31E9" w14:paraId="3356C3B9" w14:textId="77777777" w:rsidTr="00DC29B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DF36A4B" w14:textId="62CA5545" w:rsidR="008B50EE" w:rsidRPr="00AA6D51" w:rsidRDefault="008B50EE" w:rsidP="008B50EE">
            <w:pPr>
              <w:pStyle w:val="08-Tabelageral"/>
              <w:ind w:left="113"/>
              <w:jc w:val="left"/>
              <w:rPr>
                <w:rFonts w:cs="Arial"/>
                <w:b w:val="0"/>
                <w:lang w:eastAsia="en-US"/>
              </w:rPr>
            </w:pPr>
            <w:r w:rsidRPr="00AA6D51">
              <w:rPr>
                <w:rFonts w:cs="Arial"/>
                <w:b w:val="0"/>
                <w:lang w:eastAsia="en-US"/>
              </w:rPr>
              <w:t>Outras receitas/(despesas) operacionais</w:t>
            </w:r>
          </w:p>
        </w:tc>
        <w:tc>
          <w:tcPr>
            <w:tcW w:w="1860" w:type="dxa"/>
            <w:tcBorders>
              <w:top w:val="nil"/>
              <w:left w:val="nil"/>
              <w:bottom w:val="nil"/>
              <w:right w:val="nil"/>
            </w:tcBorders>
            <w:vAlign w:val="center"/>
            <w:hideMark/>
          </w:tcPr>
          <w:p w14:paraId="0E418B4D" w14:textId="2DFA1B9D"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8.830</w:t>
            </w:r>
          </w:p>
        </w:tc>
        <w:tc>
          <w:tcPr>
            <w:tcW w:w="1860" w:type="dxa"/>
            <w:tcBorders>
              <w:top w:val="nil"/>
              <w:left w:val="nil"/>
              <w:bottom w:val="nil"/>
              <w:right w:val="nil"/>
            </w:tcBorders>
            <w:vAlign w:val="center"/>
            <w:hideMark/>
          </w:tcPr>
          <w:p w14:paraId="0389CA77" w14:textId="6BD864A2"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7.461</w:t>
            </w:r>
          </w:p>
        </w:tc>
        <w:tc>
          <w:tcPr>
            <w:tcW w:w="1853" w:type="dxa"/>
            <w:tcBorders>
              <w:top w:val="nil"/>
              <w:left w:val="nil"/>
              <w:bottom w:val="nil"/>
              <w:right w:val="nil"/>
            </w:tcBorders>
            <w:hideMark/>
          </w:tcPr>
          <w:p w14:paraId="5828E144" w14:textId="79B699EB"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A39EB">
              <w:t>18,3</w:t>
            </w:r>
          </w:p>
        </w:tc>
      </w:tr>
      <w:tr w:rsidR="008B50EE" w:rsidRPr="00FA31E9" w14:paraId="1E577076"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229F57C4" w14:textId="334A3800" w:rsidR="008B50EE" w:rsidRPr="00AA6D51" w:rsidRDefault="008B50EE" w:rsidP="008B50EE">
            <w:pPr>
              <w:pStyle w:val="08-Tabelageral"/>
              <w:jc w:val="left"/>
              <w:rPr>
                <w:rFonts w:cs="Arial"/>
                <w:b w:val="0"/>
                <w:snapToGrid w:val="0"/>
                <w:lang w:eastAsia="en-US"/>
              </w:rPr>
            </w:pPr>
            <w:r w:rsidRPr="00AA6D51">
              <w:rPr>
                <w:rFonts w:cs="Arial"/>
                <w:lang w:eastAsia="en-US"/>
              </w:rPr>
              <w:t>Resultado financeiro</w:t>
            </w:r>
          </w:p>
        </w:tc>
        <w:tc>
          <w:tcPr>
            <w:tcW w:w="1860" w:type="dxa"/>
            <w:tcBorders>
              <w:top w:val="nil"/>
              <w:left w:val="nil"/>
              <w:bottom w:val="nil"/>
              <w:right w:val="nil"/>
            </w:tcBorders>
            <w:vAlign w:val="center"/>
            <w:hideMark/>
          </w:tcPr>
          <w:p w14:paraId="55F6BF96" w14:textId="0B30520C"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b/>
                <w:bCs/>
                <w:szCs w:val="14"/>
                <w:lang w:eastAsia="en-US"/>
              </w:rPr>
              <w:t>22.901</w:t>
            </w:r>
          </w:p>
        </w:tc>
        <w:tc>
          <w:tcPr>
            <w:tcW w:w="1860" w:type="dxa"/>
            <w:tcBorders>
              <w:top w:val="nil"/>
              <w:left w:val="nil"/>
              <w:bottom w:val="nil"/>
              <w:right w:val="nil"/>
            </w:tcBorders>
            <w:vAlign w:val="center"/>
            <w:hideMark/>
          </w:tcPr>
          <w:p w14:paraId="7620BEF9" w14:textId="64ED4ED3"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b/>
                <w:bCs/>
                <w:szCs w:val="14"/>
                <w:lang w:eastAsia="en-US"/>
              </w:rPr>
              <w:t>37.295</w:t>
            </w:r>
          </w:p>
        </w:tc>
        <w:tc>
          <w:tcPr>
            <w:tcW w:w="1853" w:type="dxa"/>
            <w:tcBorders>
              <w:top w:val="nil"/>
              <w:left w:val="nil"/>
              <w:bottom w:val="nil"/>
              <w:right w:val="nil"/>
            </w:tcBorders>
            <w:hideMark/>
          </w:tcPr>
          <w:p w14:paraId="614B3C5C" w14:textId="18228B22" w:rsidR="008B50EE" w:rsidRPr="008B50EE"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b/>
                <w:bCs/>
              </w:rPr>
              <w:t>(</w:t>
            </w:r>
            <w:r w:rsidRPr="008B50EE">
              <w:rPr>
                <w:b/>
                <w:bCs/>
              </w:rPr>
              <w:t>38,6</w:t>
            </w:r>
            <w:r>
              <w:rPr>
                <w:b/>
                <w:bCs/>
              </w:rPr>
              <w:t>)</w:t>
            </w:r>
          </w:p>
        </w:tc>
      </w:tr>
      <w:tr w:rsidR="008B50EE" w:rsidRPr="00FA31E9" w14:paraId="52F15889"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B822CF2" w14:textId="2B415E46" w:rsidR="008B50EE" w:rsidRPr="00AA6D51" w:rsidRDefault="008B50EE" w:rsidP="008B50EE">
            <w:pPr>
              <w:pStyle w:val="08-Tabelageral"/>
              <w:ind w:left="113"/>
              <w:jc w:val="left"/>
              <w:rPr>
                <w:rFonts w:cs="Arial"/>
                <w:lang w:eastAsia="en-US"/>
              </w:rPr>
            </w:pPr>
            <w:r w:rsidRPr="00AA6D51">
              <w:rPr>
                <w:rFonts w:cs="Arial"/>
                <w:b w:val="0"/>
                <w:lang w:eastAsia="en-US"/>
              </w:rPr>
              <w:t>Receitas financeiras</w:t>
            </w:r>
          </w:p>
        </w:tc>
        <w:tc>
          <w:tcPr>
            <w:tcW w:w="1860" w:type="dxa"/>
            <w:tcBorders>
              <w:top w:val="nil"/>
              <w:left w:val="nil"/>
              <w:bottom w:val="nil"/>
              <w:right w:val="nil"/>
            </w:tcBorders>
            <w:vAlign w:val="center"/>
            <w:hideMark/>
          </w:tcPr>
          <w:p w14:paraId="6C02FDBA" w14:textId="00B575A0"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eastAsia="en-US"/>
              </w:rPr>
            </w:pPr>
            <w:r w:rsidRPr="00AA6D51">
              <w:rPr>
                <w:rFonts w:cs="Arial"/>
                <w:bCs/>
                <w:szCs w:val="14"/>
                <w:lang w:eastAsia="en-US"/>
              </w:rPr>
              <w:t>26.992</w:t>
            </w:r>
          </w:p>
        </w:tc>
        <w:tc>
          <w:tcPr>
            <w:tcW w:w="1860" w:type="dxa"/>
            <w:tcBorders>
              <w:top w:val="nil"/>
              <w:left w:val="nil"/>
              <w:bottom w:val="nil"/>
              <w:right w:val="nil"/>
            </w:tcBorders>
            <w:vAlign w:val="center"/>
            <w:hideMark/>
          </w:tcPr>
          <w:p w14:paraId="49CCC327" w14:textId="5C3C3999"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AA6D51">
              <w:rPr>
                <w:rFonts w:cs="Arial"/>
                <w:szCs w:val="14"/>
                <w:lang w:eastAsia="en-US"/>
              </w:rPr>
              <w:t>62.764</w:t>
            </w:r>
          </w:p>
        </w:tc>
        <w:tc>
          <w:tcPr>
            <w:tcW w:w="1853" w:type="dxa"/>
            <w:tcBorders>
              <w:top w:val="nil"/>
              <w:left w:val="nil"/>
              <w:bottom w:val="nil"/>
              <w:right w:val="nil"/>
            </w:tcBorders>
            <w:hideMark/>
          </w:tcPr>
          <w:p w14:paraId="4F678F4D" w14:textId="3018CA40"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t>(</w:t>
            </w:r>
            <w:r w:rsidRPr="001A39EB">
              <w:t>57,0</w:t>
            </w:r>
            <w:r>
              <w:t>)</w:t>
            </w:r>
          </w:p>
        </w:tc>
      </w:tr>
      <w:tr w:rsidR="008B50EE" w:rsidRPr="00FA31E9" w14:paraId="351A166B"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FDE5843" w14:textId="4D678816" w:rsidR="008B50EE" w:rsidRPr="00AA6D51" w:rsidRDefault="008B50EE" w:rsidP="008B50EE">
            <w:pPr>
              <w:pStyle w:val="08-Tabelageral"/>
              <w:ind w:left="113"/>
              <w:jc w:val="left"/>
              <w:rPr>
                <w:rFonts w:cs="Arial"/>
                <w:b w:val="0"/>
                <w:lang w:eastAsia="en-US"/>
              </w:rPr>
            </w:pPr>
            <w:r w:rsidRPr="00AA6D51">
              <w:rPr>
                <w:rFonts w:cs="Arial"/>
                <w:b w:val="0"/>
                <w:lang w:eastAsia="en-US"/>
              </w:rPr>
              <w:t>Despesas financeiras</w:t>
            </w:r>
          </w:p>
        </w:tc>
        <w:tc>
          <w:tcPr>
            <w:tcW w:w="1860" w:type="dxa"/>
            <w:tcBorders>
              <w:top w:val="nil"/>
              <w:left w:val="nil"/>
              <w:bottom w:val="nil"/>
              <w:right w:val="nil"/>
            </w:tcBorders>
            <w:vAlign w:val="center"/>
            <w:hideMark/>
          </w:tcPr>
          <w:p w14:paraId="5FECC9AC" w14:textId="65744AD9"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(4.091)</w:t>
            </w:r>
          </w:p>
        </w:tc>
        <w:tc>
          <w:tcPr>
            <w:tcW w:w="1860" w:type="dxa"/>
            <w:tcBorders>
              <w:top w:val="nil"/>
              <w:left w:val="nil"/>
              <w:bottom w:val="nil"/>
              <w:right w:val="nil"/>
            </w:tcBorders>
            <w:vAlign w:val="center"/>
            <w:hideMark/>
          </w:tcPr>
          <w:p w14:paraId="1A01A254" w14:textId="6AE44EE1"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(25.469)</w:t>
            </w:r>
          </w:p>
        </w:tc>
        <w:tc>
          <w:tcPr>
            <w:tcW w:w="1853" w:type="dxa"/>
            <w:tcBorders>
              <w:top w:val="nil"/>
              <w:left w:val="nil"/>
              <w:bottom w:val="nil"/>
              <w:right w:val="nil"/>
            </w:tcBorders>
            <w:hideMark/>
          </w:tcPr>
          <w:p w14:paraId="4BBD37FF" w14:textId="221F4F6B"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t>(</w:t>
            </w:r>
            <w:r w:rsidRPr="001A39EB">
              <w:t>83,9</w:t>
            </w:r>
            <w:r>
              <w:t>)</w:t>
            </w:r>
          </w:p>
        </w:tc>
      </w:tr>
      <w:tr w:rsidR="008B50EE" w:rsidRPr="00FA31E9" w14:paraId="3824554B"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4DAC61C" w14:textId="7415F24F" w:rsidR="008B50EE" w:rsidRPr="00AA6D51" w:rsidRDefault="008B50EE" w:rsidP="008B50EE">
            <w:pPr>
              <w:pStyle w:val="08-Tabelageral"/>
              <w:jc w:val="left"/>
              <w:rPr>
                <w:rFonts w:cs="Arial"/>
                <w:b w:val="0"/>
                <w:lang w:eastAsia="en-US"/>
              </w:rPr>
            </w:pPr>
            <w:r w:rsidRPr="00AA6D51">
              <w:rPr>
                <w:rFonts w:cs="Arial"/>
                <w:lang w:eastAsia="en-US"/>
              </w:rPr>
              <w:t>Resultado antes de imposto de renda e contribuição social</w:t>
            </w:r>
          </w:p>
        </w:tc>
        <w:tc>
          <w:tcPr>
            <w:tcW w:w="1860" w:type="dxa"/>
            <w:tcBorders>
              <w:top w:val="nil"/>
              <w:left w:val="nil"/>
              <w:bottom w:val="nil"/>
              <w:right w:val="nil"/>
            </w:tcBorders>
            <w:vAlign w:val="center"/>
            <w:hideMark/>
          </w:tcPr>
          <w:p w14:paraId="17EF05B4" w14:textId="383CEC4B"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3.937.922</w:t>
            </w:r>
          </w:p>
        </w:tc>
        <w:tc>
          <w:tcPr>
            <w:tcW w:w="1860" w:type="dxa"/>
            <w:tcBorders>
              <w:top w:val="nil"/>
              <w:left w:val="nil"/>
              <w:bottom w:val="nil"/>
              <w:right w:val="nil"/>
            </w:tcBorders>
            <w:vAlign w:val="center"/>
            <w:hideMark/>
          </w:tcPr>
          <w:p w14:paraId="47BA8296" w14:textId="5EA1B042"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3.859.797</w:t>
            </w:r>
          </w:p>
        </w:tc>
        <w:tc>
          <w:tcPr>
            <w:tcW w:w="1853" w:type="dxa"/>
            <w:tcBorders>
              <w:top w:val="nil"/>
              <w:left w:val="nil"/>
              <w:bottom w:val="nil"/>
              <w:right w:val="nil"/>
            </w:tcBorders>
            <w:hideMark/>
          </w:tcPr>
          <w:p w14:paraId="5930972C" w14:textId="17774928" w:rsidR="008B50EE" w:rsidRPr="008B50EE"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b/>
                <w:bCs/>
              </w:rPr>
              <w:t>2,0</w:t>
            </w:r>
          </w:p>
        </w:tc>
      </w:tr>
      <w:tr w:rsidR="008B50EE" w:rsidRPr="00FA31E9" w14:paraId="3EEF90C6"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4E8DDB5" w14:textId="104F6D1C" w:rsidR="008B50EE" w:rsidRPr="00AA6D51" w:rsidRDefault="008B50EE" w:rsidP="008B50EE">
            <w:pPr>
              <w:pStyle w:val="08-Tabelageral"/>
              <w:ind w:left="113"/>
              <w:jc w:val="left"/>
              <w:rPr>
                <w:rFonts w:cs="Arial"/>
                <w:snapToGrid w:val="0"/>
                <w:lang w:eastAsia="en-US"/>
              </w:rPr>
            </w:pPr>
            <w:r w:rsidRPr="00AA6D51">
              <w:rPr>
                <w:rFonts w:cs="Arial"/>
                <w:b w:val="0"/>
                <w:lang w:eastAsia="en-US"/>
              </w:rPr>
              <w:t>Imposto de renda e contribuição social</w:t>
            </w:r>
          </w:p>
        </w:tc>
        <w:tc>
          <w:tcPr>
            <w:tcW w:w="1860" w:type="dxa"/>
            <w:tcBorders>
              <w:top w:val="nil"/>
              <w:left w:val="nil"/>
              <w:bottom w:val="nil"/>
              <w:right w:val="nil"/>
            </w:tcBorders>
            <w:vAlign w:val="center"/>
            <w:hideMark/>
          </w:tcPr>
          <w:p w14:paraId="548E6330" w14:textId="147B83C2"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(4.705)</w:t>
            </w:r>
          </w:p>
        </w:tc>
        <w:tc>
          <w:tcPr>
            <w:tcW w:w="1860" w:type="dxa"/>
            <w:tcBorders>
              <w:top w:val="nil"/>
              <w:left w:val="nil"/>
              <w:bottom w:val="nil"/>
              <w:right w:val="nil"/>
            </w:tcBorders>
            <w:vAlign w:val="center"/>
            <w:hideMark/>
          </w:tcPr>
          <w:p w14:paraId="757FFAA2" w14:textId="2C987ECC"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(9.026)</w:t>
            </w:r>
          </w:p>
        </w:tc>
        <w:tc>
          <w:tcPr>
            <w:tcW w:w="1853" w:type="dxa"/>
            <w:tcBorders>
              <w:top w:val="nil"/>
              <w:left w:val="nil"/>
              <w:bottom w:val="nil"/>
              <w:right w:val="nil"/>
            </w:tcBorders>
            <w:hideMark/>
          </w:tcPr>
          <w:p w14:paraId="49BEFCA8" w14:textId="50FC8E22" w:rsidR="008B50EE" w:rsidRPr="00AA6D51" w:rsidRDefault="008B50EE"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t>(</w:t>
            </w:r>
            <w:r w:rsidRPr="001A39EB">
              <w:t>47,9</w:t>
            </w:r>
            <w:r>
              <w:t>)</w:t>
            </w:r>
          </w:p>
        </w:tc>
      </w:tr>
      <w:tr w:rsidR="008B50EE" w:rsidRPr="00FA31E9" w14:paraId="18656014"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hideMark/>
          </w:tcPr>
          <w:p w14:paraId="0791CA4F" w14:textId="64F900EB" w:rsidR="008B50EE" w:rsidRPr="00AA6D51" w:rsidRDefault="008B50EE" w:rsidP="008B50EE">
            <w:pPr>
              <w:pStyle w:val="08-Tabelageral"/>
              <w:jc w:val="left"/>
              <w:rPr>
                <w:rFonts w:cs="Arial"/>
                <w:b w:val="0"/>
                <w:snapToGrid w:val="0"/>
                <w:lang w:eastAsia="en-US"/>
              </w:rPr>
            </w:pPr>
            <w:r w:rsidRPr="00AA6D51">
              <w:rPr>
                <w:rFonts w:cs="Arial"/>
                <w:lang w:eastAsia="en-US"/>
              </w:rPr>
              <w:t xml:space="preserve">Lucro líquido </w:t>
            </w:r>
          </w:p>
        </w:tc>
        <w:tc>
          <w:tcPr>
            <w:tcW w:w="1860" w:type="dxa"/>
            <w:tcBorders>
              <w:top w:val="nil"/>
              <w:left w:val="nil"/>
              <w:bottom w:val="single" w:sz="4" w:space="0" w:color="9CC2E5" w:themeColor="accent1" w:themeTint="99"/>
              <w:right w:val="nil"/>
            </w:tcBorders>
            <w:vAlign w:val="center"/>
            <w:hideMark/>
          </w:tcPr>
          <w:p w14:paraId="7F0AEC06" w14:textId="621981BD"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3.933.217</w:t>
            </w:r>
          </w:p>
        </w:tc>
        <w:tc>
          <w:tcPr>
            <w:tcW w:w="1860" w:type="dxa"/>
            <w:tcBorders>
              <w:top w:val="nil"/>
              <w:left w:val="nil"/>
              <w:bottom w:val="single" w:sz="4" w:space="0" w:color="9CC2E5" w:themeColor="accent1" w:themeTint="99"/>
              <w:right w:val="nil"/>
            </w:tcBorders>
            <w:vAlign w:val="center"/>
            <w:hideMark/>
          </w:tcPr>
          <w:p w14:paraId="610D8C47" w14:textId="5CA741C4" w:rsidR="008B50EE" w:rsidRPr="00AA6D51"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3.850.771</w:t>
            </w:r>
          </w:p>
        </w:tc>
        <w:tc>
          <w:tcPr>
            <w:tcW w:w="1853" w:type="dxa"/>
            <w:tcBorders>
              <w:top w:val="nil"/>
              <w:left w:val="nil"/>
              <w:bottom w:val="single" w:sz="4" w:space="0" w:color="9CC2E5" w:themeColor="accent1" w:themeTint="99"/>
              <w:right w:val="nil"/>
            </w:tcBorders>
            <w:hideMark/>
          </w:tcPr>
          <w:p w14:paraId="5FCB616C" w14:textId="4A3649A0" w:rsidR="008B50EE" w:rsidRPr="008B50EE" w:rsidRDefault="008B50EE" w:rsidP="008B50E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b/>
                <w:bCs/>
              </w:rPr>
              <w:t>2,1</w:t>
            </w:r>
          </w:p>
        </w:tc>
      </w:tr>
      <w:tr w:rsidR="008D4094" w:rsidRPr="00FA31E9" w14:paraId="691A7921"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tcPr>
          <w:p w14:paraId="04238BB4" w14:textId="3A50ED38" w:rsidR="008D4094" w:rsidRPr="00FA31E9" w:rsidRDefault="008D4094" w:rsidP="00402DCE">
            <w:pPr>
              <w:pStyle w:val="08-Tabelageral"/>
              <w:jc w:val="left"/>
              <w:rPr>
                <w:rFonts w:cs="Arial"/>
                <w:snapToGrid w:val="0"/>
                <w:highlight w:val="yellow"/>
                <w:lang w:eastAsia="en-US"/>
              </w:rPr>
            </w:pPr>
          </w:p>
        </w:tc>
        <w:tc>
          <w:tcPr>
            <w:tcW w:w="1860" w:type="dxa"/>
            <w:tcBorders>
              <w:top w:val="nil"/>
              <w:left w:val="nil"/>
              <w:bottom w:val="single" w:sz="4" w:space="0" w:color="9CC2E5" w:themeColor="accent1" w:themeTint="99"/>
              <w:right w:val="nil"/>
            </w:tcBorders>
            <w:vAlign w:val="center"/>
          </w:tcPr>
          <w:p w14:paraId="62B320DA" w14:textId="0202A3C2" w:rsidR="008D4094" w:rsidRPr="00FA31E9" w:rsidRDefault="008D4094"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c>
          <w:tcPr>
            <w:tcW w:w="1860" w:type="dxa"/>
            <w:tcBorders>
              <w:top w:val="nil"/>
              <w:left w:val="nil"/>
              <w:bottom w:val="single" w:sz="4" w:space="0" w:color="9CC2E5" w:themeColor="accent1" w:themeTint="99"/>
              <w:right w:val="nil"/>
            </w:tcBorders>
            <w:vAlign w:val="center"/>
          </w:tcPr>
          <w:p w14:paraId="0D002856" w14:textId="2DA730AA" w:rsidR="008D4094" w:rsidRPr="009B1893" w:rsidRDefault="008D4094"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3" w:type="dxa"/>
            <w:tcBorders>
              <w:top w:val="nil"/>
              <w:left w:val="nil"/>
              <w:bottom w:val="single" w:sz="4" w:space="0" w:color="9CC2E5" w:themeColor="accent1" w:themeTint="99"/>
              <w:right w:val="nil"/>
            </w:tcBorders>
            <w:vAlign w:val="center"/>
          </w:tcPr>
          <w:p w14:paraId="5A181640" w14:textId="5B56D7F1" w:rsidR="008D4094" w:rsidRPr="00FA31E9" w:rsidRDefault="008D4094"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r>
    </w:tbl>
    <w:p w14:paraId="37A5C5B3" w14:textId="77777777" w:rsidR="00402DCE" w:rsidRPr="00FA31E9" w:rsidRDefault="00402DCE" w:rsidP="00402DCE">
      <w:pPr>
        <w:rPr>
          <w:rFonts w:asciiTheme="minorHAnsi" w:eastAsia="MS Mincho" w:hAnsiTheme="minorHAnsi"/>
          <w:sz w:val="22"/>
          <w:highlight w:val="yellow"/>
          <w:lang w:eastAsia="pt-BR"/>
        </w:rPr>
      </w:pPr>
    </w:p>
    <w:p w14:paraId="68625A38" w14:textId="6D07D580" w:rsidR="00402DCE" w:rsidRPr="00402DCE" w:rsidRDefault="00402DCE" w:rsidP="00402DCE">
      <w:pPr>
        <w:pStyle w:val="01-Textonormal"/>
        <w:rPr>
          <w:rFonts w:cs="Arial"/>
        </w:rPr>
      </w:pPr>
      <w:r w:rsidRPr="00402DCE">
        <w:rPr>
          <w:rFonts w:cs="Arial"/>
        </w:rPr>
        <w:t>Em 2021, a BB Seguridade apresentou lucro líquido de R$3.933,2 milhões, crescimento de 2,1%. Em 2020, ocorreu um evento, classificado como extraordinário, descrito a seguir:</w:t>
      </w:r>
    </w:p>
    <w:p w14:paraId="202BFD13" w14:textId="22A3D5F4" w:rsidR="00402DCE" w:rsidRPr="009B1893" w:rsidRDefault="00402DCE" w:rsidP="00402DCE">
      <w:pPr>
        <w:pStyle w:val="01-Textonormal"/>
        <w:rPr>
          <w:rFonts w:cs="Arial"/>
        </w:rPr>
      </w:pPr>
      <w:r w:rsidRPr="009B1893">
        <w:rPr>
          <w:rFonts w:cs="Arial"/>
          <w:b/>
          <w:bCs/>
        </w:rPr>
        <w:t xml:space="preserve">BB Corretora – doação contra Covid-19: </w:t>
      </w:r>
      <w:r w:rsidRPr="009B1893">
        <w:rPr>
          <w:rFonts w:cs="Arial"/>
        </w:rPr>
        <w:t>no segundo trimestre de 2020, como parte dos esforços da BB Seguridade para contribuir com as respostas aos impactos da pandemia da Covid-19, o Conselho de Administração aprovou uma doação de até R$40 milhões pela BB Corretora à Fundação Banco do Brasil (FBB), tendo como finalidade exclusiva a aquisição de alimentos e itens de higiene, de limpeza e de proteção individual necessários ao amparo social das populações carentes mais afetadas</w:t>
      </w:r>
      <w:r w:rsidR="00924A10">
        <w:rPr>
          <w:rFonts w:cs="Arial"/>
        </w:rPr>
        <w:t xml:space="preserve">, sendo que </w:t>
      </w:r>
      <w:r w:rsidRPr="009B1893">
        <w:rPr>
          <w:rFonts w:cs="Arial"/>
        </w:rPr>
        <w:t>cerca de R$37,9 milhões</w:t>
      </w:r>
      <w:r w:rsidR="00924A10">
        <w:rPr>
          <w:rFonts w:cs="Arial"/>
        </w:rPr>
        <w:t xml:space="preserve"> foram desembolsados no primeiro semestre de 2020</w:t>
      </w:r>
      <w:r w:rsidRPr="009B1893">
        <w:rPr>
          <w:rFonts w:cs="Arial"/>
        </w:rPr>
        <w:t xml:space="preserve"> e R$2,1 milhões entre os meses de julho e agosto</w:t>
      </w:r>
      <w:r w:rsidR="00924A10">
        <w:rPr>
          <w:rFonts w:cs="Arial"/>
        </w:rPr>
        <w:t xml:space="preserve"> daquele ano</w:t>
      </w:r>
      <w:r w:rsidRPr="009B1893">
        <w:rPr>
          <w:rFonts w:cs="Arial"/>
        </w:rPr>
        <w:t>. Considerando o volume total desembolsado, o impacto negativo no lucro líquido foi de R$26,4 milhões.</w:t>
      </w:r>
    </w:p>
    <w:p w14:paraId="0B47018A" w14:textId="5A3F64D1" w:rsidR="00402DCE" w:rsidRPr="00FA31E9" w:rsidRDefault="00402DCE" w:rsidP="00402DCE">
      <w:pPr>
        <w:pStyle w:val="01-Textonormal"/>
        <w:rPr>
          <w:rFonts w:cs="Arial"/>
          <w:highlight w:val="yellow"/>
        </w:rPr>
      </w:pPr>
    </w:p>
    <w:p w14:paraId="3E12C86D" w14:textId="77777777" w:rsidR="00402DCE" w:rsidRPr="008B50EE" w:rsidRDefault="00402DCE" w:rsidP="00402DCE">
      <w:pPr>
        <w:pStyle w:val="01-Textonormal"/>
        <w:rPr>
          <w:rFonts w:cs="Arial"/>
        </w:rPr>
      </w:pPr>
      <w:bookmarkStart w:id="0" w:name="_Hlk63054176"/>
      <w:r w:rsidRPr="008B50EE">
        <w:rPr>
          <w:rFonts w:cs="Arial"/>
          <w:sz w:val="14"/>
          <w:szCs w:val="14"/>
        </w:rPr>
        <w:t xml:space="preserve">Tabela </w:t>
      </w:r>
      <w:r w:rsidRPr="008B50EE">
        <w:fldChar w:fldCharType="begin"/>
      </w:r>
      <w:r w:rsidRPr="008B50EE">
        <w:rPr>
          <w:rFonts w:cs="Arial"/>
          <w:sz w:val="14"/>
          <w:szCs w:val="14"/>
        </w:rPr>
        <w:instrText xml:space="preserve"> SEQ Tabela \* ARABIC </w:instrText>
      </w:r>
      <w:r w:rsidRPr="008B50EE">
        <w:fldChar w:fldCharType="separate"/>
      </w:r>
      <w:r w:rsidRPr="008B50EE">
        <w:rPr>
          <w:rFonts w:cs="Arial"/>
          <w:noProof/>
          <w:sz w:val="14"/>
          <w:szCs w:val="14"/>
        </w:rPr>
        <w:t>2</w:t>
      </w:r>
      <w:r w:rsidRPr="008B50EE">
        <w:fldChar w:fldCharType="end"/>
      </w:r>
      <w:r w:rsidRPr="008B50EE">
        <w:rPr>
          <w:sz w:val="14"/>
        </w:rPr>
        <w:t xml:space="preserve"> – Eventos Extraordinários</w:t>
      </w:r>
    </w:p>
    <w:tbl>
      <w:tblPr>
        <w:tblStyle w:val="TabeladeLista6Colorida-nfase5"/>
        <w:tblW w:w="9639" w:type="dxa"/>
        <w:tblLook w:val="04A0" w:firstRow="1" w:lastRow="0" w:firstColumn="1" w:lastColumn="0" w:noHBand="0" w:noVBand="1"/>
      </w:tblPr>
      <w:tblGrid>
        <w:gridCol w:w="4066"/>
        <w:gridCol w:w="1860"/>
        <w:gridCol w:w="1860"/>
        <w:gridCol w:w="1853"/>
      </w:tblGrid>
      <w:tr w:rsidR="00402DCE" w:rsidRPr="008B50EE" w14:paraId="7E20E564" w14:textId="77777777" w:rsidTr="00402DC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719FC766" w14:textId="015825E3" w:rsidR="00402DCE" w:rsidRPr="008B50EE" w:rsidRDefault="004E0279" w:rsidP="00402DCE">
            <w:pPr>
              <w:pStyle w:val="08-Tabelageral"/>
              <w:jc w:val="left"/>
              <w:rPr>
                <w:rFonts w:cs="Arial"/>
                <w:lang w:eastAsia="en-US"/>
              </w:rPr>
            </w:pPr>
            <w:r>
              <w:rPr>
                <w:rFonts w:cs="Arial"/>
                <w:lang w:eastAsia="en-US"/>
              </w:rPr>
              <w:t>R$ mil</w:t>
            </w:r>
          </w:p>
        </w:tc>
        <w:tc>
          <w:tcPr>
            <w:tcW w:w="3720"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19B1910A" w14:textId="77777777" w:rsidR="00402DCE" w:rsidRPr="008B50EE" w:rsidRDefault="00402DCE" w:rsidP="00402DC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8B50EE">
              <w:rPr>
                <w:rFonts w:cs="Arial"/>
                <w:lang w:eastAsia="en-US"/>
              </w:rPr>
              <w:t>Controlador</w:t>
            </w:r>
          </w:p>
        </w:tc>
        <w:tc>
          <w:tcPr>
            <w:tcW w:w="185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C15DF36" w14:textId="77777777" w:rsidR="00402DCE" w:rsidRPr="008B50EE" w:rsidRDefault="00402DCE" w:rsidP="00402DC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8B50EE">
              <w:rPr>
                <w:rFonts w:cs="Arial"/>
                <w:lang w:eastAsia="en-US"/>
              </w:rPr>
              <w:t>Var.%</w:t>
            </w:r>
          </w:p>
        </w:tc>
      </w:tr>
      <w:tr w:rsidR="00402DCE" w:rsidRPr="008B50EE" w14:paraId="5CEBF967" w14:textId="77777777" w:rsidTr="00402DC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4F0D382B" w14:textId="77777777" w:rsidR="00402DCE" w:rsidRPr="008B50EE" w:rsidRDefault="00402DCE" w:rsidP="00402DCE">
            <w:pPr>
              <w:pStyle w:val="08-Tabelageral"/>
              <w:jc w:val="left"/>
              <w:rPr>
                <w:rFonts w:cs="Arial"/>
                <w:bCs w:val="0"/>
                <w:szCs w:val="14"/>
                <w:lang w:eastAsia="en-US"/>
              </w:rPr>
            </w:pPr>
          </w:p>
        </w:tc>
        <w:tc>
          <w:tcPr>
            <w:tcW w:w="1860" w:type="dxa"/>
            <w:tcBorders>
              <w:top w:val="nil"/>
              <w:left w:val="nil"/>
              <w:bottom w:val="single" w:sz="2" w:space="0" w:color="8EAADB" w:themeColor="accent5" w:themeTint="99"/>
              <w:right w:val="nil"/>
            </w:tcBorders>
            <w:vAlign w:val="center"/>
            <w:hideMark/>
          </w:tcPr>
          <w:p w14:paraId="4930B9CA" w14:textId="09507285" w:rsidR="00402DCE" w:rsidRPr="008B50EE" w:rsidRDefault="00402DCE" w:rsidP="00402DC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8B50EE">
              <w:rPr>
                <w:rFonts w:cs="Arial"/>
                <w:b/>
                <w:lang w:eastAsia="en-US"/>
              </w:rPr>
              <w:t>2021</w:t>
            </w:r>
          </w:p>
        </w:tc>
        <w:tc>
          <w:tcPr>
            <w:tcW w:w="1860" w:type="dxa"/>
            <w:tcBorders>
              <w:top w:val="nil"/>
              <w:left w:val="nil"/>
              <w:bottom w:val="single" w:sz="2" w:space="0" w:color="8EAADB" w:themeColor="accent5" w:themeTint="99"/>
              <w:right w:val="nil"/>
            </w:tcBorders>
            <w:vAlign w:val="center"/>
            <w:hideMark/>
          </w:tcPr>
          <w:p w14:paraId="6D5450FF" w14:textId="77777777" w:rsidR="00402DCE" w:rsidRPr="008B50EE" w:rsidRDefault="00402DCE" w:rsidP="00402DC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8B50EE">
              <w:rPr>
                <w:rFonts w:cs="Arial"/>
                <w:b/>
                <w:lang w:eastAsia="en-US"/>
              </w:rPr>
              <w:t>2020</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56B445F0" w14:textId="77777777" w:rsidR="00402DCE" w:rsidRPr="008B50EE" w:rsidRDefault="00402DCE"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r>
      <w:tr w:rsidR="00402DCE" w:rsidRPr="008B50EE" w14:paraId="421CE44B" w14:textId="77777777" w:rsidTr="00402DCE">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vAlign w:val="center"/>
            <w:hideMark/>
          </w:tcPr>
          <w:p w14:paraId="63CBCFDD" w14:textId="77777777" w:rsidR="00402DCE" w:rsidRPr="008B50EE" w:rsidRDefault="00402DCE" w:rsidP="00402DCE">
            <w:pPr>
              <w:pStyle w:val="08-Tabelageral"/>
              <w:jc w:val="left"/>
              <w:rPr>
                <w:rFonts w:cs="Arial"/>
                <w:snapToGrid w:val="0"/>
                <w:lang w:eastAsia="en-US"/>
              </w:rPr>
            </w:pPr>
            <w:r w:rsidRPr="008B50EE">
              <w:rPr>
                <w:rFonts w:cs="Arial"/>
                <w:lang w:eastAsia="en-US"/>
              </w:rPr>
              <w:t>Lucro líquido ajustado</w:t>
            </w:r>
          </w:p>
        </w:tc>
        <w:tc>
          <w:tcPr>
            <w:tcW w:w="1860" w:type="dxa"/>
            <w:tcBorders>
              <w:top w:val="single" w:sz="2" w:space="0" w:color="8EAADB" w:themeColor="accent5" w:themeTint="99"/>
              <w:left w:val="nil"/>
              <w:bottom w:val="nil"/>
              <w:right w:val="nil"/>
            </w:tcBorders>
            <w:vAlign w:val="center"/>
            <w:hideMark/>
          </w:tcPr>
          <w:p w14:paraId="1CF23D42" w14:textId="3E5138C8" w:rsidR="00402DCE" w:rsidRPr="008B50EE" w:rsidRDefault="008B50EE"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color w:val="000000"/>
                <w:szCs w:val="14"/>
                <w:lang w:eastAsia="en-US"/>
              </w:rPr>
              <w:t>3.933.217</w:t>
            </w:r>
          </w:p>
        </w:tc>
        <w:tc>
          <w:tcPr>
            <w:tcW w:w="1860" w:type="dxa"/>
            <w:tcBorders>
              <w:top w:val="single" w:sz="2" w:space="0" w:color="8EAADB" w:themeColor="accent5" w:themeTint="99"/>
              <w:left w:val="nil"/>
              <w:bottom w:val="nil"/>
              <w:right w:val="nil"/>
            </w:tcBorders>
            <w:vAlign w:val="center"/>
            <w:hideMark/>
          </w:tcPr>
          <w:p w14:paraId="1424DD01" w14:textId="77777777" w:rsidR="00402DCE" w:rsidRPr="008B50EE" w:rsidRDefault="00402DCE"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8B50EE">
              <w:rPr>
                <w:rFonts w:cs="Arial"/>
                <w:b/>
                <w:bCs/>
                <w:color w:val="000000"/>
                <w:szCs w:val="14"/>
                <w:lang w:eastAsia="en-US"/>
              </w:rPr>
              <w:t>3.877.171</w:t>
            </w:r>
          </w:p>
        </w:tc>
        <w:tc>
          <w:tcPr>
            <w:tcW w:w="1853" w:type="dxa"/>
            <w:tcBorders>
              <w:top w:val="single" w:sz="2" w:space="0" w:color="8EAADB" w:themeColor="accent5" w:themeTint="99"/>
              <w:left w:val="nil"/>
              <w:bottom w:val="nil"/>
              <w:right w:val="nil"/>
            </w:tcBorders>
            <w:vAlign w:val="center"/>
            <w:hideMark/>
          </w:tcPr>
          <w:p w14:paraId="653F228A" w14:textId="74894F04" w:rsidR="00402DCE" w:rsidRPr="008B50EE" w:rsidRDefault="008B50EE"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szCs w:val="14"/>
                <w:lang w:eastAsia="en-US"/>
              </w:rPr>
              <w:t>1,4</w:t>
            </w:r>
          </w:p>
        </w:tc>
      </w:tr>
      <w:tr w:rsidR="00402DCE" w:rsidRPr="008B50EE" w14:paraId="5CAC1E9F" w14:textId="77777777" w:rsidTr="00402DC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96EFB1E" w14:textId="77777777" w:rsidR="00402DCE" w:rsidRPr="008B50EE" w:rsidRDefault="00402DCE" w:rsidP="00402DCE">
            <w:pPr>
              <w:pStyle w:val="08-Tabelageral"/>
              <w:ind w:left="113"/>
              <w:jc w:val="left"/>
              <w:rPr>
                <w:rFonts w:cs="Arial"/>
                <w:snapToGrid w:val="0"/>
                <w:lang w:eastAsia="en-US"/>
              </w:rPr>
            </w:pPr>
            <w:r w:rsidRPr="008B50EE">
              <w:rPr>
                <w:rFonts w:cs="Arial"/>
                <w:lang w:eastAsia="en-US"/>
              </w:rPr>
              <w:t>Eventos Extraordinários</w:t>
            </w:r>
          </w:p>
        </w:tc>
        <w:tc>
          <w:tcPr>
            <w:tcW w:w="1860" w:type="dxa"/>
            <w:tcBorders>
              <w:top w:val="nil"/>
              <w:left w:val="nil"/>
              <w:bottom w:val="nil"/>
              <w:right w:val="nil"/>
            </w:tcBorders>
            <w:vAlign w:val="center"/>
            <w:hideMark/>
          </w:tcPr>
          <w:p w14:paraId="61A4A0FD" w14:textId="7C3245C2" w:rsidR="00402DCE" w:rsidRPr="008B50EE" w:rsidRDefault="008B50EE" w:rsidP="00402DC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szCs w:val="14"/>
                <w:lang w:eastAsia="en-US"/>
              </w:rPr>
              <w:t>-</w:t>
            </w:r>
          </w:p>
        </w:tc>
        <w:tc>
          <w:tcPr>
            <w:tcW w:w="1860" w:type="dxa"/>
            <w:tcBorders>
              <w:top w:val="nil"/>
              <w:left w:val="nil"/>
              <w:bottom w:val="nil"/>
              <w:right w:val="nil"/>
            </w:tcBorders>
            <w:vAlign w:val="center"/>
            <w:hideMark/>
          </w:tcPr>
          <w:p w14:paraId="03C0E3C1" w14:textId="77777777" w:rsidR="00402DCE" w:rsidRPr="008B50EE" w:rsidRDefault="00402DCE" w:rsidP="00402DC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rFonts w:cs="Arial"/>
                <w:b/>
                <w:bCs/>
                <w:color w:val="auto"/>
                <w:szCs w:val="14"/>
                <w:lang w:eastAsia="en-US"/>
              </w:rPr>
              <w:t>(26.400)</w:t>
            </w:r>
          </w:p>
        </w:tc>
        <w:tc>
          <w:tcPr>
            <w:tcW w:w="1853" w:type="dxa"/>
            <w:tcBorders>
              <w:top w:val="nil"/>
              <w:left w:val="nil"/>
              <w:bottom w:val="nil"/>
              <w:right w:val="nil"/>
            </w:tcBorders>
            <w:vAlign w:val="center"/>
            <w:hideMark/>
          </w:tcPr>
          <w:p w14:paraId="19EE0E6D" w14:textId="77777777" w:rsidR="00402DCE" w:rsidRPr="008B50EE" w:rsidRDefault="00402DCE" w:rsidP="00402DC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rFonts w:cs="Arial"/>
                <w:b/>
                <w:bCs/>
                <w:color w:val="auto"/>
                <w:szCs w:val="14"/>
                <w:lang w:eastAsia="en-US"/>
              </w:rPr>
              <w:t>-</w:t>
            </w:r>
          </w:p>
        </w:tc>
      </w:tr>
      <w:tr w:rsidR="00402DCE" w:rsidRPr="008B50EE" w14:paraId="4F0B1C28" w14:textId="77777777" w:rsidTr="00402DCE">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21FAE59" w14:textId="77777777" w:rsidR="00402DCE" w:rsidRPr="008B50EE" w:rsidRDefault="00402DCE" w:rsidP="00402DCE">
            <w:pPr>
              <w:pStyle w:val="08-Tabelageral"/>
              <w:ind w:left="113"/>
              <w:jc w:val="left"/>
              <w:rPr>
                <w:rFonts w:cs="Arial"/>
                <w:b w:val="0"/>
                <w:lang w:eastAsia="en-US"/>
              </w:rPr>
            </w:pPr>
            <w:r w:rsidRPr="008B50EE">
              <w:rPr>
                <w:rFonts w:cs="Arial"/>
                <w:b w:val="0"/>
                <w:lang w:eastAsia="en-US"/>
              </w:rPr>
              <w:t>BB Corretora: Doação contra Covid-19</w:t>
            </w:r>
          </w:p>
        </w:tc>
        <w:tc>
          <w:tcPr>
            <w:tcW w:w="1860" w:type="dxa"/>
            <w:tcBorders>
              <w:top w:val="nil"/>
              <w:left w:val="nil"/>
              <w:bottom w:val="nil"/>
              <w:right w:val="nil"/>
            </w:tcBorders>
            <w:vAlign w:val="center"/>
            <w:hideMark/>
          </w:tcPr>
          <w:p w14:paraId="24707E73" w14:textId="77777777" w:rsidR="00402DCE" w:rsidRPr="008B50EE" w:rsidRDefault="00402DCE" w:rsidP="00402DCE">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8B50EE">
              <w:rPr>
                <w:rFonts w:cs="Arial"/>
                <w:lang w:eastAsia="en-US"/>
              </w:rPr>
              <w:t>-</w:t>
            </w:r>
          </w:p>
        </w:tc>
        <w:tc>
          <w:tcPr>
            <w:tcW w:w="1860" w:type="dxa"/>
            <w:tcBorders>
              <w:top w:val="nil"/>
              <w:left w:val="nil"/>
              <w:bottom w:val="nil"/>
              <w:right w:val="nil"/>
            </w:tcBorders>
            <w:vAlign w:val="center"/>
            <w:hideMark/>
          </w:tcPr>
          <w:p w14:paraId="0AAFCDC2" w14:textId="77777777" w:rsidR="00402DCE" w:rsidRPr="008B50EE" w:rsidRDefault="00402DCE" w:rsidP="00402DCE">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B50EE">
              <w:rPr>
                <w:rFonts w:cs="Arial"/>
                <w:lang w:eastAsia="en-US"/>
              </w:rPr>
              <w:t>(26.400)</w:t>
            </w:r>
          </w:p>
        </w:tc>
        <w:tc>
          <w:tcPr>
            <w:tcW w:w="1853" w:type="dxa"/>
            <w:tcBorders>
              <w:top w:val="nil"/>
              <w:left w:val="nil"/>
              <w:bottom w:val="nil"/>
              <w:right w:val="nil"/>
            </w:tcBorders>
            <w:vAlign w:val="center"/>
            <w:hideMark/>
          </w:tcPr>
          <w:p w14:paraId="15754600" w14:textId="77777777" w:rsidR="00402DCE" w:rsidRPr="008B50EE" w:rsidRDefault="00402DCE" w:rsidP="00402DC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8B50EE">
              <w:rPr>
                <w:rFonts w:cs="Arial"/>
                <w:color w:val="auto"/>
                <w:szCs w:val="14"/>
                <w:lang w:eastAsia="en-US"/>
              </w:rPr>
              <w:t>-</w:t>
            </w:r>
          </w:p>
        </w:tc>
      </w:tr>
      <w:tr w:rsidR="00402DCE" w:rsidRPr="00FA31E9" w14:paraId="413A7CC9" w14:textId="77777777" w:rsidTr="00402DCE">
        <w:trPr>
          <w:cnfStyle w:val="000000100000" w:firstRow="0" w:lastRow="0" w:firstColumn="0" w:lastColumn="0" w:oddVBand="0" w:evenVBand="0" w:oddHBand="1" w:evenHBand="0" w:firstRowFirstColumn="0" w:firstRowLastColumn="0" w:lastRowFirstColumn="0" w:lastRowLastColumn="0"/>
          <w:trHeight w:hRule="exact" w:val="357"/>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vAlign w:val="center"/>
            <w:hideMark/>
          </w:tcPr>
          <w:p w14:paraId="590B6690" w14:textId="77777777" w:rsidR="00402DCE" w:rsidRPr="008B50EE" w:rsidRDefault="00402DCE" w:rsidP="00402DCE">
            <w:pPr>
              <w:pStyle w:val="08-Tabelageral"/>
              <w:jc w:val="left"/>
              <w:rPr>
                <w:rFonts w:cs="Arial"/>
                <w:snapToGrid w:val="0"/>
                <w:lang w:eastAsia="en-US"/>
              </w:rPr>
            </w:pPr>
            <w:r w:rsidRPr="008B50EE">
              <w:rPr>
                <w:rFonts w:cs="Arial"/>
                <w:lang w:eastAsia="en-US"/>
              </w:rPr>
              <w:t xml:space="preserve">Lucro líquido </w:t>
            </w:r>
          </w:p>
        </w:tc>
        <w:tc>
          <w:tcPr>
            <w:tcW w:w="1860" w:type="dxa"/>
            <w:tcBorders>
              <w:top w:val="nil"/>
              <w:left w:val="nil"/>
              <w:bottom w:val="nil"/>
              <w:right w:val="nil"/>
            </w:tcBorders>
            <w:vAlign w:val="center"/>
            <w:hideMark/>
          </w:tcPr>
          <w:p w14:paraId="256A927B" w14:textId="5C7466AC" w:rsidR="00402DCE" w:rsidRPr="008B50EE" w:rsidRDefault="00402DCE" w:rsidP="00402DC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8B50EE">
              <w:rPr>
                <w:rFonts w:cs="Arial"/>
                <w:b/>
                <w:bCs/>
                <w:szCs w:val="14"/>
                <w:lang w:eastAsia="en-US"/>
              </w:rPr>
              <w:t>3.</w:t>
            </w:r>
            <w:r w:rsidR="008B50EE">
              <w:rPr>
                <w:rFonts w:cs="Arial"/>
                <w:b/>
                <w:bCs/>
                <w:szCs w:val="14"/>
                <w:lang w:eastAsia="en-US"/>
              </w:rPr>
              <w:t>933.217</w:t>
            </w:r>
          </w:p>
        </w:tc>
        <w:tc>
          <w:tcPr>
            <w:tcW w:w="1860" w:type="dxa"/>
            <w:tcBorders>
              <w:top w:val="nil"/>
              <w:left w:val="nil"/>
              <w:bottom w:val="nil"/>
              <w:right w:val="nil"/>
            </w:tcBorders>
            <w:vAlign w:val="center"/>
            <w:hideMark/>
          </w:tcPr>
          <w:p w14:paraId="04824F4E" w14:textId="77777777" w:rsidR="00402DCE" w:rsidRPr="008B50EE" w:rsidRDefault="00402DCE" w:rsidP="00402DC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8B50EE">
              <w:rPr>
                <w:rFonts w:cs="Arial"/>
                <w:b/>
                <w:bCs/>
                <w:szCs w:val="14"/>
                <w:lang w:eastAsia="en-US"/>
              </w:rPr>
              <w:t>3.850.771</w:t>
            </w:r>
          </w:p>
        </w:tc>
        <w:tc>
          <w:tcPr>
            <w:tcW w:w="1853" w:type="dxa"/>
            <w:tcBorders>
              <w:top w:val="nil"/>
              <w:left w:val="nil"/>
              <w:bottom w:val="nil"/>
              <w:right w:val="nil"/>
            </w:tcBorders>
            <w:vAlign w:val="center"/>
            <w:hideMark/>
          </w:tcPr>
          <w:p w14:paraId="162915EA" w14:textId="02914676" w:rsidR="00402DCE" w:rsidRPr="008B50EE" w:rsidRDefault="008B50EE" w:rsidP="00402DC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Pr>
                <w:rFonts w:cs="Arial"/>
                <w:b/>
                <w:bCs/>
                <w:szCs w:val="14"/>
                <w:lang w:eastAsia="en-US"/>
              </w:rPr>
              <w:t>2,1</w:t>
            </w:r>
          </w:p>
        </w:tc>
      </w:tr>
      <w:bookmarkEnd w:id="0"/>
    </w:tbl>
    <w:p w14:paraId="7BD20F7F" w14:textId="77777777" w:rsidR="00402DCE" w:rsidRPr="00FA31E9" w:rsidRDefault="00402DCE" w:rsidP="00402DCE">
      <w:pPr>
        <w:pStyle w:val="01-Textonormal"/>
        <w:rPr>
          <w:rFonts w:cs="Arial"/>
          <w:highlight w:val="yellow"/>
        </w:rPr>
      </w:pPr>
    </w:p>
    <w:p w14:paraId="44A96B3B" w14:textId="4B79342E" w:rsidR="00402DCE" w:rsidRDefault="00402DCE" w:rsidP="00402DCE">
      <w:pPr>
        <w:pStyle w:val="01-Textonormal"/>
        <w:rPr>
          <w:rFonts w:cs="Arial"/>
        </w:rPr>
      </w:pPr>
      <w:r w:rsidRPr="00402DCE">
        <w:rPr>
          <w:rFonts w:cs="Arial"/>
        </w:rPr>
        <w:t xml:space="preserve">Descontando o evento classificado como extraordinário </w:t>
      </w:r>
      <w:r w:rsidR="00880F20">
        <w:rPr>
          <w:rFonts w:cs="Arial"/>
        </w:rPr>
        <w:t xml:space="preserve">na tabela </w:t>
      </w:r>
      <w:r w:rsidR="006353CD">
        <w:rPr>
          <w:rFonts w:cs="Arial"/>
        </w:rPr>
        <w:t>2</w:t>
      </w:r>
      <w:r w:rsidRPr="00402DCE">
        <w:rPr>
          <w:rFonts w:cs="Arial"/>
        </w:rPr>
        <w:t xml:space="preserve">, que afetou </w:t>
      </w:r>
      <w:r w:rsidR="00880F20">
        <w:rPr>
          <w:rFonts w:cs="Arial"/>
        </w:rPr>
        <w:t>a base de comparação d</w:t>
      </w:r>
      <w:r w:rsidRPr="00402DCE">
        <w:rPr>
          <w:rFonts w:cs="Arial"/>
        </w:rPr>
        <w:t xml:space="preserve">as receitas de investimentos em participações societárias, o lucro líquido ajustado em 2021 subiu 1,4%. </w:t>
      </w:r>
      <w:bookmarkStart w:id="1" w:name="_Hlk94198998"/>
      <w:r w:rsidRPr="00402DCE">
        <w:rPr>
          <w:rFonts w:cs="Arial"/>
        </w:rPr>
        <w:t>Dentre os fatores que explicam o incremento de R$56,0 milhões do lucro líquido do ano, em bases recorrentes, destacam-se</w:t>
      </w:r>
      <w:bookmarkEnd w:id="1"/>
      <w:r w:rsidRPr="00402DCE">
        <w:rPr>
          <w:rFonts w:cs="Arial"/>
        </w:rPr>
        <w:t>:</w:t>
      </w:r>
    </w:p>
    <w:p w14:paraId="4BA5B7D5" w14:textId="596F6798" w:rsidR="00402DCE" w:rsidRDefault="00402DCE" w:rsidP="0081392E">
      <w:pPr>
        <w:pStyle w:val="10-Lista2"/>
        <w:rPr>
          <w:rFonts w:cs="Arial"/>
        </w:rPr>
      </w:pPr>
      <w:r w:rsidRPr="0081392E">
        <w:rPr>
          <w:rFonts w:cs="Arial"/>
          <w:b/>
          <w:bCs/>
        </w:rPr>
        <w:t xml:space="preserve">BB Corretora </w:t>
      </w:r>
      <w:r w:rsidR="0081392E" w:rsidRPr="0081392E">
        <w:rPr>
          <w:rFonts w:cs="Arial"/>
          <w:b/>
          <w:bCs/>
        </w:rPr>
        <w:t>(+</w:t>
      </w:r>
      <w:r w:rsidRPr="0081392E">
        <w:rPr>
          <w:rFonts w:cs="Arial"/>
          <w:b/>
          <w:bCs/>
        </w:rPr>
        <w:t>R$166,5 milhões</w:t>
      </w:r>
      <w:r w:rsidR="0081392E" w:rsidRPr="0081392E">
        <w:rPr>
          <w:rFonts w:cs="Arial"/>
          <w:b/>
          <w:bCs/>
        </w:rPr>
        <w:t>):</w:t>
      </w:r>
      <w:r w:rsidRPr="0081392E">
        <w:rPr>
          <w:rFonts w:cs="Arial"/>
        </w:rPr>
        <w:t xml:space="preserve"> </w:t>
      </w:r>
      <w:r w:rsidR="0081392E">
        <w:rPr>
          <w:rFonts w:cs="Arial"/>
        </w:rPr>
        <w:t>com</w:t>
      </w:r>
      <w:r w:rsidRPr="0081392E">
        <w:rPr>
          <w:rFonts w:cs="Arial"/>
        </w:rPr>
        <w:t xml:space="preserve"> maiores receitas de corretagem</w:t>
      </w:r>
      <w:r w:rsidR="0081392E">
        <w:rPr>
          <w:rFonts w:cs="Arial"/>
        </w:rPr>
        <w:t>, suportadas pelo bom desempenho comercial</w:t>
      </w:r>
      <w:r w:rsidRPr="0081392E">
        <w:rPr>
          <w:rFonts w:cs="Arial"/>
        </w:rPr>
        <w:t xml:space="preserve"> das principais linhas de negócios</w:t>
      </w:r>
      <w:r w:rsidR="0081392E">
        <w:rPr>
          <w:rFonts w:cs="Arial"/>
        </w:rPr>
        <w:t>;</w:t>
      </w:r>
    </w:p>
    <w:p w14:paraId="61C44B00" w14:textId="6A3EF922" w:rsidR="00402DCE" w:rsidRDefault="0081392E" w:rsidP="0081392E">
      <w:pPr>
        <w:pStyle w:val="10-Lista2"/>
      </w:pPr>
      <w:bookmarkStart w:id="2" w:name="_Hlk94199047"/>
      <w:r>
        <w:rPr>
          <w:rFonts w:cs="Arial"/>
          <w:b/>
          <w:bCs/>
        </w:rPr>
        <w:lastRenderedPageBreak/>
        <w:t>Brasilprev (+R$70,2 milhões):</w:t>
      </w:r>
      <w:r>
        <w:rPr>
          <w:rFonts w:cs="Arial"/>
        </w:rPr>
        <w:t xml:space="preserve"> </w:t>
      </w:r>
      <w:r w:rsidR="00402DCE">
        <w:t>suportado pelo crescimento consistente do resultado operacional, parcialmente compensado pelo resultado negativo de marcação a mercado dos títulos de renda fixa.</w:t>
      </w:r>
    </w:p>
    <w:p w14:paraId="1CFE45B1" w14:textId="03D39F55" w:rsidR="00402DCE" w:rsidRDefault="00402DCE" w:rsidP="0081392E">
      <w:pPr>
        <w:pStyle w:val="01-Textonormal"/>
        <w:rPr>
          <w:rFonts w:cs="Arial"/>
        </w:rPr>
      </w:pPr>
      <w:r w:rsidRPr="0081392E">
        <w:rPr>
          <w:rFonts w:cs="Arial"/>
        </w:rPr>
        <w:t xml:space="preserve">Por outro lado, o resultado advindo da Brasilcap retraiu R$103,4 milhões, explicado </w:t>
      </w:r>
      <w:r w:rsidR="0081392E">
        <w:rPr>
          <w:rFonts w:cs="Arial"/>
        </w:rPr>
        <w:t xml:space="preserve">pelo prejuízo financeiro registrado após a realização de perda </w:t>
      </w:r>
      <w:r w:rsidR="00D75655">
        <w:rPr>
          <w:rFonts w:cs="Arial"/>
        </w:rPr>
        <w:t>na venda de</w:t>
      </w:r>
      <w:r w:rsidR="0081392E">
        <w:rPr>
          <w:rFonts w:cs="Arial"/>
        </w:rPr>
        <w:t xml:space="preserve"> títulos pré-fixados classificados na categoria disponível para venda, enquanto</w:t>
      </w:r>
      <w:r w:rsidRPr="0081392E">
        <w:rPr>
          <w:rFonts w:cs="Arial"/>
        </w:rPr>
        <w:t xml:space="preserve"> a contribuição vinda da Brasilseg foi R$19,5 </w:t>
      </w:r>
      <w:r w:rsidR="00A562D7">
        <w:rPr>
          <w:rFonts w:cs="Arial"/>
        </w:rPr>
        <w:t xml:space="preserve">milhões </w:t>
      </w:r>
      <w:r w:rsidRPr="0081392E">
        <w:rPr>
          <w:rFonts w:cs="Arial"/>
        </w:rPr>
        <w:t>inferior, em razão da piora da sinistralidade e maior</w:t>
      </w:r>
      <w:r w:rsidR="00DF4A52">
        <w:rPr>
          <w:rFonts w:cs="Arial"/>
        </w:rPr>
        <w:t xml:space="preserve"> alíquota efetiva de impostos, decorrente do aumento temporário da CSLL em 5 p.p. no segundo semestre de 2021.</w:t>
      </w:r>
    </w:p>
    <w:bookmarkEnd w:id="2"/>
    <w:p w14:paraId="1D5BA8CA" w14:textId="3C0285B9" w:rsidR="00DF4A52" w:rsidRDefault="00DF4A52" w:rsidP="0081392E">
      <w:pPr>
        <w:pStyle w:val="01-Textonormal"/>
        <w:rPr>
          <w:rFonts w:cs="Arial"/>
        </w:rPr>
      </w:pPr>
      <w:r>
        <w:rPr>
          <w:rFonts w:cs="Arial"/>
        </w:rPr>
        <w:t>Os desempenhos individuais das investidas serão detalhados com maior profundidade a seguir.</w:t>
      </w:r>
    </w:p>
    <w:p w14:paraId="0319B78A" w14:textId="775F0A97" w:rsidR="00402DCE" w:rsidRPr="00F4395B" w:rsidRDefault="00402DCE" w:rsidP="00402DCE">
      <w:pPr>
        <w:pStyle w:val="05-Textonormal"/>
        <w:rPr>
          <w:rFonts w:cs="Arial"/>
        </w:rPr>
      </w:pPr>
      <w:r w:rsidRPr="00F4395B">
        <w:rPr>
          <w:rFonts w:cs="Arial"/>
        </w:rPr>
        <w:t xml:space="preserve">A linha de outras receitas e despesas </w:t>
      </w:r>
      <w:r w:rsidR="00317F7D" w:rsidRPr="00F4395B">
        <w:rPr>
          <w:rFonts w:cs="Arial"/>
        </w:rPr>
        <w:t>teve seu saldo negativo reduzido em 21,2%</w:t>
      </w:r>
      <w:r w:rsidRPr="00F4395B">
        <w:rPr>
          <w:rFonts w:cs="Arial"/>
        </w:rPr>
        <w:t xml:space="preserve"> no ano. </w:t>
      </w:r>
      <w:r w:rsidR="00317F7D" w:rsidRPr="00F4395B">
        <w:rPr>
          <w:rFonts w:cs="Arial"/>
        </w:rPr>
        <w:t xml:space="preserve">A queda de </w:t>
      </w:r>
      <w:r w:rsidR="002D2E67" w:rsidRPr="00F4395B">
        <w:rPr>
          <w:rFonts w:cs="Arial"/>
        </w:rPr>
        <w:t xml:space="preserve">42,9% </w:t>
      </w:r>
      <w:r w:rsidR="00317F7D" w:rsidRPr="00F4395B">
        <w:rPr>
          <w:rFonts w:cs="Arial"/>
        </w:rPr>
        <w:t>das despesas tributárias</w:t>
      </w:r>
      <w:r w:rsidR="00F4395B">
        <w:rPr>
          <w:rFonts w:cs="Arial"/>
        </w:rPr>
        <w:t>,</w:t>
      </w:r>
      <w:r w:rsidR="002D2E67" w:rsidRPr="00F4395B">
        <w:rPr>
          <w:rFonts w:cs="Arial"/>
        </w:rPr>
        <w:t xml:space="preserve"> concentrada </w:t>
      </w:r>
      <w:r w:rsidR="00F4395B">
        <w:rPr>
          <w:rFonts w:cs="Arial"/>
        </w:rPr>
        <w:t>em</w:t>
      </w:r>
      <w:r w:rsidR="00317F7D" w:rsidRPr="00F4395B">
        <w:rPr>
          <w:rFonts w:cs="Arial"/>
        </w:rPr>
        <w:t xml:space="preserve"> PIS e Cofins incidentes essencialmente sobre as receitas financeiras</w:t>
      </w:r>
      <w:r w:rsidR="002D2E67" w:rsidRPr="00F4395B">
        <w:rPr>
          <w:rFonts w:cs="Arial"/>
        </w:rPr>
        <w:t>, que</w:t>
      </w:r>
      <w:r w:rsidR="00F4395B">
        <w:rPr>
          <w:rFonts w:cs="Arial"/>
        </w:rPr>
        <w:t xml:space="preserve"> por sua vez</w:t>
      </w:r>
      <w:r w:rsidR="00317F7D" w:rsidRPr="00F4395B">
        <w:rPr>
          <w:rFonts w:cs="Arial"/>
        </w:rPr>
        <w:t xml:space="preserve"> retraíram </w:t>
      </w:r>
      <w:r w:rsidR="002D2E67" w:rsidRPr="00F4395B">
        <w:rPr>
          <w:rFonts w:cs="Arial"/>
        </w:rPr>
        <w:t>57,0</w:t>
      </w:r>
      <w:r w:rsidR="00317F7D" w:rsidRPr="00F4395B">
        <w:rPr>
          <w:rFonts w:cs="Arial"/>
        </w:rPr>
        <w:t xml:space="preserve">%, </w:t>
      </w:r>
      <w:r w:rsidR="002D2E67" w:rsidRPr="00F4395B">
        <w:rPr>
          <w:rFonts w:cs="Arial"/>
        </w:rPr>
        <w:t xml:space="preserve">e o aumento de </w:t>
      </w:r>
      <w:r w:rsidR="00F4395B" w:rsidRPr="00F4395B">
        <w:rPr>
          <w:rFonts w:cs="Arial"/>
        </w:rPr>
        <w:t xml:space="preserve">11,0% </w:t>
      </w:r>
      <w:r w:rsidR="002D2E67" w:rsidRPr="00F4395B">
        <w:rPr>
          <w:rFonts w:cs="Arial"/>
        </w:rPr>
        <w:t>das</w:t>
      </w:r>
      <w:r w:rsidRPr="00F4395B">
        <w:rPr>
          <w:rFonts w:cs="Arial"/>
        </w:rPr>
        <w:t xml:space="preserve"> receitas reconhecidas do programa de ADR Nível 1</w:t>
      </w:r>
      <w:r w:rsidR="00F4395B">
        <w:rPr>
          <w:rFonts w:cs="Arial"/>
        </w:rPr>
        <w:t>,</w:t>
      </w:r>
      <w:r w:rsidR="002D2E67" w:rsidRPr="00F4395B">
        <w:rPr>
          <w:rFonts w:cs="Arial"/>
        </w:rPr>
        <w:t xml:space="preserve"> em decorrência do maior volume negociado</w:t>
      </w:r>
      <w:r w:rsidR="00F4395B">
        <w:rPr>
          <w:rFonts w:cs="Arial"/>
        </w:rPr>
        <w:t>,</w:t>
      </w:r>
      <w:r w:rsidR="00F4395B" w:rsidRPr="00F4395B">
        <w:rPr>
          <w:rFonts w:cs="Arial"/>
        </w:rPr>
        <w:t xml:space="preserve"> são os principais </w:t>
      </w:r>
      <w:r w:rsidR="00F4395B">
        <w:rPr>
          <w:rFonts w:cs="Arial"/>
        </w:rPr>
        <w:t>fatores que explicam a variação.</w:t>
      </w:r>
      <w:r w:rsidRPr="00F4395B">
        <w:rPr>
          <w:rFonts w:cs="Arial"/>
        </w:rPr>
        <w:t xml:space="preserve"> </w:t>
      </w:r>
    </w:p>
    <w:p w14:paraId="2D965D28" w14:textId="77777777" w:rsidR="00A26587" w:rsidRDefault="00A26587" w:rsidP="00402DCE">
      <w:pPr>
        <w:pStyle w:val="05-Textonormal"/>
        <w:rPr>
          <w:rFonts w:cs="Arial"/>
          <w:highlight w:val="yellow"/>
        </w:rPr>
      </w:pPr>
    </w:p>
    <w:p w14:paraId="1AF037C6" w14:textId="77777777" w:rsidR="00A26587" w:rsidRPr="00874E75" w:rsidRDefault="00A26587" w:rsidP="00A26587">
      <w:pPr>
        <w:pStyle w:val="01-TtulodeNota"/>
        <w:rPr>
          <w:color w:val="1F4E79" w:themeColor="accent1" w:themeShade="80"/>
        </w:rPr>
      </w:pPr>
      <w:bookmarkStart w:id="3" w:name="_Hlk94626662"/>
      <w:r w:rsidRPr="00874E75">
        <w:rPr>
          <w:color w:val="1F4E79" w:themeColor="accent1" w:themeShade="80"/>
        </w:rPr>
        <w:t>Participações acionárias</w:t>
      </w:r>
    </w:p>
    <w:p w14:paraId="0C987203" w14:textId="0AB18C10" w:rsidR="00A26587" w:rsidRPr="00874E75" w:rsidRDefault="00A26587" w:rsidP="00A26587">
      <w:pPr>
        <w:pStyle w:val="05-Textonormal"/>
        <w:rPr>
          <w:rFonts w:cs="Arial"/>
        </w:rPr>
      </w:pPr>
      <w:r w:rsidRPr="00874E75">
        <w:rPr>
          <w:rFonts w:cs="Arial"/>
        </w:rPr>
        <w:t>Atendendo ao art. 243 da Lei 6.404/76, o quadro a seguir relaciona os investimentos da BB Seguridade em empresas investidas, bem como as modificações ocorridas durante o exercício</w:t>
      </w:r>
      <w:r w:rsidR="006E5096">
        <w:rPr>
          <w:rFonts w:cs="Arial"/>
        </w:rPr>
        <w:t xml:space="preserve">. Os movimentos ocorridos no exercício são detalhados na Nota Explicativa 7.b) às Demonstrações Contábeis. </w:t>
      </w:r>
    </w:p>
    <w:p w14:paraId="606E9C16" w14:textId="77777777" w:rsidR="00A26587" w:rsidRPr="00D52611" w:rsidRDefault="00A26587" w:rsidP="00A26587">
      <w:pPr>
        <w:pStyle w:val="01-TtulodeNota"/>
        <w:rPr>
          <w:b w:val="0"/>
          <w:sz w:val="14"/>
        </w:rPr>
      </w:pPr>
      <w:r w:rsidRPr="00D52611">
        <w:rPr>
          <w:rFonts w:cs="Arial"/>
          <w:b w:val="0"/>
          <w:sz w:val="14"/>
          <w:szCs w:val="14"/>
        </w:rPr>
        <w:t xml:space="preserve">Tabela </w:t>
      </w:r>
      <w:r w:rsidRPr="00D52611">
        <w:rPr>
          <w:rFonts w:cs="Arial"/>
          <w:b w:val="0"/>
          <w:sz w:val="14"/>
          <w:szCs w:val="14"/>
        </w:rPr>
        <w:fldChar w:fldCharType="begin"/>
      </w:r>
      <w:r w:rsidRPr="00D52611">
        <w:rPr>
          <w:rFonts w:cs="Arial"/>
          <w:b w:val="0"/>
          <w:sz w:val="14"/>
          <w:szCs w:val="14"/>
        </w:rPr>
        <w:instrText xml:space="preserve"> SEQ Tabela \* ARABIC </w:instrText>
      </w:r>
      <w:r w:rsidRPr="00D52611">
        <w:rPr>
          <w:rFonts w:cs="Arial"/>
          <w:b w:val="0"/>
          <w:sz w:val="14"/>
          <w:szCs w:val="14"/>
        </w:rPr>
        <w:fldChar w:fldCharType="separate"/>
      </w:r>
      <w:r w:rsidRPr="00D52611">
        <w:rPr>
          <w:rFonts w:cs="Arial"/>
          <w:b w:val="0"/>
          <w:noProof/>
          <w:sz w:val="14"/>
          <w:szCs w:val="14"/>
        </w:rPr>
        <w:t>3</w:t>
      </w:r>
      <w:r w:rsidRPr="00D52611">
        <w:rPr>
          <w:rFonts w:cs="Arial"/>
          <w:b w:val="0"/>
          <w:noProof/>
          <w:sz w:val="14"/>
          <w:szCs w:val="14"/>
        </w:rPr>
        <w:fldChar w:fldCharType="end"/>
      </w:r>
      <w:r w:rsidRPr="00D52611">
        <w:rPr>
          <w:b w:val="0"/>
          <w:sz w:val="14"/>
        </w:rPr>
        <w:t xml:space="preserve"> – Desempenho econômico-financeiro | Participações Acionárias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A26587" w:rsidRPr="00D52611" w14:paraId="669A2238" w14:textId="77777777" w:rsidTr="00DC29B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shd w:val="clear" w:color="auto" w:fill="D9E2F3" w:themeFill="accent5" w:themeFillTint="33"/>
            <w:vAlign w:val="center"/>
          </w:tcPr>
          <w:p w14:paraId="0E66EF82" w14:textId="6F1F77D2" w:rsidR="00A26587" w:rsidRPr="00D52611" w:rsidRDefault="004E0279" w:rsidP="00DC29B8">
            <w:pPr>
              <w:pStyle w:val="08-Tabelageral"/>
              <w:jc w:val="left"/>
              <w:rPr>
                <w:rFonts w:cs="Arial"/>
                <w:lang w:eastAsia="en-US"/>
              </w:rPr>
            </w:pPr>
            <w:r>
              <w:rPr>
                <w:rFonts w:cs="Arial"/>
                <w:lang w:eastAsia="en-US"/>
              </w:rPr>
              <w:t>R$ mil</w:t>
            </w:r>
          </w:p>
        </w:tc>
        <w:tc>
          <w:tcPr>
            <w:tcW w:w="1407" w:type="dxa"/>
            <w:tcBorders>
              <w:top w:val="single" w:sz="2" w:space="0" w:color="8EAADB" w:themeColor="accent5" w:themeTint="99"/>
              <w:left w:val="nil"/>
              <w:bottom w:val="nil"/>
              <w:right w:val="nil"/>
            </w:tcBorders>
            <w:shd w:val="clear" w:color="auto" w:fill="D9E2F3" w:themeFill="accent5" w:themeFillTint="33"/>
            <w:vAlign w:val="center"/>
          </w:tcPr>
          <w:p w14:paraId="1DFEF6D7" w14:textId="77777777" w:rsidR="00A26587" w:rsidRPr="00D52611" w:rsidRDefault="00A26587" w:rsidP="00DC29B8">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8EAADB" w:themeColor="accent5" w:themeTint="99"/>
              <w:left w:val="nil"/>
              <w:bottom w:val="nil"/>
              <w:right w:val="nil"/>
            </w:tcBorders>
            <w:shd w:val="clear" w:color="auto" w:fill="D9E2F3" w:themeFill="accent5" w:themeFillTint="33"/>
            <w:vAlign w:val="center"/>
            <w:hideMark/>
          </w:tcPr>
          <w:p w14:paraId="59505AD0" w14:textId="77777777" w:rsidR="00A26587" w:rsidRPr="00D52611" w:rsidRDefault="00A26587" w:rsidP="00DC29B8">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sidRPr="00D52611">
              <w:rPr>
                <w:rFonts w:cs="Arial"/>
                <w:lang w:eastAsia="en-US"/>
              </w:rPr>
              <w:t>Participação (%)</w:t>
            </w:r>
          </w:p>
        </w:tc>
        <w:tc>
          <w:tcPr>
            <w:tcW w:w="2809"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7AB8CD0D" w14:textId="77777777" w:rsidR="00A26587" w:rsidRPr="00D52611" w:rsidRDefault="00A26587" w:rsidP="00DC29B8">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Saldo do Investimento</w:t>
            </w:r>
          </w:p>
        </w:tc>
        <w:tc>
          <w:tcPr>
            <w:tcW w:w="1914" w:type="dxa"/>
            <w:tcBorders>
              <w:top w:val="single" w:sz="2" w:space="0" w:color="8EAADB" w:themeColor="accent5" w:themeTint="99"/>
              <w:left w:val="nil"/>
              <w:bottom w:val="nil"/>
              <w:right w:val="nil"/>
            </w:tcBorders>
            <w:shd w:val="clear" w:color="auto" w:fill="D9E2F3" w:themeFill="accent5" w:themeFillTint="33"/>
            <w:vAlign w:val="center"/>
            <w:hideMark/>
          </w:tcPr>
          <w:p w14:paraId="1E9F76B8" w14:textId="77777777" w:rsidR="00A26587" w:rsidRPr="00D52611" w:rsidRDefault="00A26587" w:rsidP="00DC29B8">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Resultado de Participação</w:t>
            </w:r>
          </w:p>
        </w:tc>
      </w:tr>
      <w:tr w:rsidR="00A26587" w:rsidRPr="00D52611" w14:paraId="6B138C48"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8EAADB" w:themeColor="accent5" w:themeTint="99"/>
              <w:right w:val="nil"/>
            </w:tcBorders>
            <w:vAlign w:val="center"/>
          </w:tcPr>
          <w:p w14:paraId="421FB315" w14:textId="77777777" w:rsidR="00A26587" w:rsidRPr="00D52611" w:rsidRDefault="00A26587" w:rsidP="00DC29B8">
            <w:pPr>
              <w:pStyle w:val="08-Tabelageral"/>
              <w:jc w:val="left"/>
              <w:rPr>
                <w:rFonts w:cs="Arial"/>
                <w:bCs w:val="0"/>
                <w:szCs w:val="14"/>
                <w:lang w:eastAsia="en-US"/>
              </w:rPr>
            </w:pPr>
          </w:p>
        </w:tc>
        <w:tc>
          <w:tcPr>
            <w:tcW w:w="1407" w:type="dxa"/>
            <w:tcBorders>
              <w:top w:val="nil"/>
              <w:left w:val="nil"/>
              <w:bottom w:val="single" w:sz="2" w:space="0" w:color="8EAADB" w:themeColor="accent5" w:themeTint="99"/>
              <w:right w:val="nil"/>
            </w:tcBorders>
            <w:vAlign w:val="center"/>
            <w:hideMark/>
          </w:tcPr>
          <w:p w14:paraId="55260651" w14:textId="77777777" w:rsidR="00A26587" w:rsidRPr="00D52611" w:rsidRDefault="00A26587" w:rsidP="00DC29B8">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Atividade</w:t>
            </w:r>
          </w:p>
        </w:tc>
        <w:tc>
          <w:tcPr>
            <w:tcW w:w="1408" w:type="dxa"/>
            <w:tcBorders>
              <w:top w:val="nil"/>
              <w:left w:val="nil"/>
              <w:bottom w:val="single" w:sz="2" w:space="0" w:color="8EAADB" w:themeColor="accent5" w:themeTint="99"/>
              <w:right w:val="nil"/>
            </w:tcBorders>
            <w:vAlign w:val="center"/>
            <w:hideMark/>
          </w:tcPr>
          <w:p w14:paraId="2ECD3B87" w14:textId="77777777" w:rsidR="00A26587" w:rsidRPr="00D52611" w:rsidRDefault="00A26587" w:rsidP="00DC29B8">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31.12.2021</w:t>
            </w:r>
          </w:p>
        </w:tc>
        <w:tc>
          <w:tcPr>
            <w:tcW w:w="1404" w:type="dxa"/>
            <w:tcBorders>
              <w:top w:val="nil"/>
              <w:left w:val="nil"/>
              <w:bottom w:val="single" w:sz="2" w:space="0" w:color="8EAADB" w:themeColor="accent5" w:themeTint="99"/>
              <w:right w:val="nil"/>
            </w:tcBorders>
            <w:vAlign w:val="center"/>
            <w:hideMark/>
          </w:tcPr>
          <w:p w14:paraId="12716550" w14:textId="77777777" w:rsidR="00A26587" w:rsidRPr="00D52611" w:rsidRDefault="00A26587" w:rsidP="00DC29B8">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31.12.2021</w:t>
            </w:r>
          </w:p>
        </w:tc>
        <w:tc>
          <w:tcPr>
            <w:tcW w:w="1405" w:type="dxa"/>
            <w:tcBorders>
              <w:top w:val="nil"/>
              <w:left w:val="nil"/>
              <w:bottom w:val="single" w:sz="2" w:space="0" w:color="8EAADB" w:themeColor="accent5" w:themeTint="99"/>
              <w:right w:val="nil"/>
            </w:tcBorders>
            <w:vAlign w:val="center"/>
            <w:hideMark/>
          </w:tcPr>
          <w:p w14:paraId="23487B8A" w14:textId="77777777" w:rsidR="00A26587" w:rsidRPr="00D52611" w:rsidRDefault="00A26587" w:rsidP="00DC29B8">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31.12.2020</w:t>
            </w:r>
          </w:p>
        </w:tc>
        <w:tc>
          <w:tcPr>
            <w:tcW w:w="1914" w:type="dxa"/>
            <w:tcBorders>
              <w:top w:val="nil"/>
              <w:left w:val="nil"/>
              <w:bottom w:val="single" w:sz="2" w:space="0" w:color="8EAADB" w:themeColor="accent5" w:themeTint="99"/>
              <w:right w:val="nil"/>
            </w:tcBorders>
            <w:vAlign w:val="center"/>
            <w:hideMark/>
          </w:tcPr>
          <w:p w14:paraId="2EB82FEE"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Exercício/2021</w:t>
            </w:r>
          </w:p>
        </w:tc>
      </w:tr>
      <w:tr w:rsidR="00A26587" w:rsidRPr="00D52611" w14:paraId="5EBAF156" w14:textId="77777777" w:rsidTr="00DC29B8">
        <w:trPr>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vAlign w:val="center"/>
            <w:hideMark/>
          </w:tcPr>
          <w:p w14:paraId="67F9A9A7" w14:textId="77777777" w:rsidR="00A26587" w:rsidRPr="00D52611" w:rsidRDefault="00A26587" w:rsidP="00DC29B8">
            <w:pPr>
              <w:pStyle w:val="08-Tabelageral"/>
              <w:jc w:val="left"/>
              <w:rPr>
                <w:rFonts w:cs="Arial"/>
                <w:snapToGrid w:val="0"/>
                <w:lang w:eastAsia="en-US"/>
              </w:rPr>
            </w:pPr>
            <w:r w:rsidRPr="00D52611">
              <w:rPr>
                <w:rFonts w:cs="Arial"/>
                <w:lang w:eastAsia="en-US"/>
              </w:rPr>
              <w:t>Participações societárias</w:t>
            </w:r>
          </w:p>
        </w:tc>
        <w:tc>
          <w:tcPr>
            <w:tcW w:w="1407" w:type="dxa"/>
            <w:tcBorders>
              <w:top w:val="single" w:sz="2" w:space="0" w:color="8EAADB" w:themeColor="accent5" w:themeTint="99"/>
              <w:left w:val="nil"/>
              <w:bottom w:val="nil"/>
              <w:right w:val="nil"/>
            </w:tcBorders>
            <w:vAlign w:val="center"/>
          </w:tcPr>
          <w:p w14:paraId="6FEE637A" w14:textId="77777777" w:rsidR="00A26587" w:rsidRPr="00D52611" w:rsidRDefault="00A26587"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8" w:type="dxa"/>
            <w:tcBorders>
              <w:top w:val="single" w:sz="2" w:space="0" w:color="8EAADB" w:themeColor="accent5" w:themeTint="99"/>
              <w:left w:val="nil"/>
              <w:bottom w:val="nil"/>
              <w:right w:val="nil"/>
            </w:tcBorders>
            <w:vAlign w:val="center"/>
          </w:tcPr>
          <w:p w14:paraId="276B2A2B"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4" w:type="dxa"/>
            <w:tcBorders>
              <w:top w:val="single" w:sz="2" w:space="0" w:color="8EAADB" w:themeColor="accent5" w:themeTint="99"/>
              <w:left w:val="nil"/>
              <w:bottom w:val="nil"/>
              <w:right w:val="nil"/>
            </w:tcBorders>
            <w:vAlign w:val="center"/>
          </w:tcPr>
          <w:p w14:paraId="553D8E5C"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c>
          <w:tcPr>
            <w:tcW w:w="1405" w:type="dxa"/>
            <w:tcBorders>
              <w:top w:val="single" w:sz="2" w:space="0" w:color="8EAADB" w:themeColor="accent5" w:themeTint="99"/>
              <w:left w:val="nil"/>
              <w:bottom w:val="nil"/>
              <w:right w:val="nil"/>
            </w:tcBorders>
            <w:vAlign w:val="center"/>
          </w:tcPr>
          <w:p w14:paraId="358B37FD"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1914" w:type="dxa"/>
            <w:tcBorders>
              <w:top w:val="single" w:sz="2" w:space="0" w:color="8EAADB" w:themeColor="accent5" w:themeTint="99"/>
              <w:left w:val="nil"/>
              <w:bottom w:val="nil"/>
              <w:right w:val="nil"/>
            </w:tcBorders>
            <w:vAlign w:val="center"/>
          </w:tcPr>
          <w:p w14:paraId="38EFB336"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r>
      <w:tr w:rsidR="00A26587" w:rsidRPr="00D52611" w14:paraId="71EDCE82"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4C95E76" w14:textId="77777777" w:rsidR="00A26587" w:rsidRPr="00D52611" w:rsidRDefault="00A26587" w:rsidP="00DC29B8">
            <w:pPr>
              <w:pStyle w:val="08-Tabelageral"/>
              <w:jc w:val="left"/>
              <w:rPr>
                <w:rFonts w:cs="Arial"/>
                <w:snapToGrid w:val="0"/>
                <w:lang w:eastAsia="en-US"/>
              </w:rPr>
            </w:pPr>
            <w:r w:rsidRPr="00D52611">
              <w:rPr>
                <w:rFonts w:cs="Arial"/>
                <w:lang w:eastAsia="en-US"/>
              </w:rPr>
              <w:t>BB Seguros</w:t>
            </w:r>
          </w:p>
        </w:tc>
        <w:tc>
          <w:tcPr>
            <w:tcW w:w="1407" w:type="dxa"/>
            <w:tcBorders>
              <w:top w:val="nil"/>
              <w:left w:val="nil"/>
              <w:bottom w:val="nil"/>
              <w:right w:val="nil"/>
            </w:tcBorders>
            <w:vAlign w:val="center"/>
            <w:hideMark/>
          </w:tcPr>
          <w:p w14:paraId="7C39B61F" w14:textId="77777777" w:rsidR="00A26587" w:rsidRPr="00D52611" w:rsidRDefault="00A26587"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Holding</w:t>
            </w:r>
          </w:p>
        </w:tc>
        <w:tc>
          <w:tcPr>
            <w:tcW w:w="1408" w:type="dxa"/>
            <w:tcBorders>
              <w:top w:val="nil"/>
              <w:left w:val="nil"/>
              <w:bottom w:val="nil"/>
              <w:right w:val="nil"/>
            </w:tcBorders>
            <w:vAlign w:val="center"/>
            <w:hideMark/>
          </w:tcPr>
          <w:p w14:paraId="4D0CBA9F"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100,00%</w:t>
            </w:r>
          </w:p>
        </w:tc>
        <w:tc>
          <w:tcPr>
            <w:tcW w:w="1404" w:type="dxa"/>
            <w:tcBorders>
              <w:top w:val="nil"/>
              <w:left w:val="nil"/>
              <w:bottom w:val="nil"/>
              <w:right w:val="nil"/>
            </w:tcBorders>
            <w:vAlign w:val="center"/>
            <w:hideMark/>
          </w:tcPr>
          <w:p w14:paraId="7C604D3C" w14:textId="6AF3E45A" w:rsidR="00A26587" w:rsidRPr="00D52611" w:rsidRDefault="00F178E0" w:rsidP="00DC29B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D52611">
              <w:rPr>
                <w:rFonts w:cs="Arial"/>
                <w:b/>
                <w:color w:val="auto"/>
                <w:lang w:eastAsia="en-US"/>
              </w:rPr>
              <w:t>7.074.640</w:t>
            </w:r>
          </w:p>
        </w:tc>
        <w:tc>
          <w:tcPr>
            <w:tcW w:w="1405" w:type="dxa"/>
            <w:tcBorders>
              <w:top w:val="nil"/>
              <w:left w:val="nil"/>
              <w:bottom w:val="nil"/>
              <w:right w:val="nil"/>
            </w:tcBorders>
            <w:vAlign w:val="center"/>
            <w:hideMark/>
          </w:tcPr>
          <w:p w14:paraId="157FF115"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color w:val="auto"/>
                <w:lang w:eastAsia="en-US"/>
              </w:rPr>
              <w:t>5.924.821</w:t>
            </w:r>
          </w:p>
        </w:tc>
        <w:tc>
          <w:tcPr>
            <w:tcW w:w="1914" w:type="dxa"/>
            <w:tcBorders>
              <w:top w:val="nil"/>
              <w:left w:val="nil"/>
              <w:bottom w:val="nil"/>
              <w:right w:val="nil"/>
            </w:tcBorders>
            <w:vAlign w:val="center"/>
            <w:hideMark/>
          </w:tcPr>
          <w:p w14:paraId="685076E3" w14:textId="2CAB7DE4" w:rsidR="00A26587" w:rsidRPr="00D52611" w:rsidRDefault="00256752" w:rsidP="00DC29B8">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lang w:eastAsia="pt-BR"/>
              </w:rPr>
            </w:pPr>
            <w:r>
              <w:rPr>
                <w:rFonts w:cs="Arial"/>
                <w:b/>
                <w:bCs/>
                <w:color w:val="auto"/>
                <w:sz w:val="14"/>
                <w:szCs w:val="14"/>
              </w:rPr>
              <w:t>1.761.554</w:t>
            </w:r>
          </w:p>
        </w:tc>
      </w:tr>
      <w:tr w:rsidR="00A26587" w:rsidRPr="00D52611" w14:paraId="3CD4191A"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B184E95" w14:textId="18CEEAA3" w:rsidR="00A26587" w:rsidRPr="00D52611" w:rsidRDefault="00D52611" w:rsidP="00DC29B8">
            <w:pPr>
              <w:pStyle w:val="08-Tabelageral"/>
              <w:ind w:left="113"/>
              <w:jc w:val="left"/>
              <w:rPr>
                <w:rFonts w:cs="Arial"/>
                <w:b w:val="0"/>
                <w:snapToGrid w:val="0"/>
                <w:lang w:eastAsia="en-US"/>
              </w:rPr>
            </w:pPr>
            <w:r w:rsidRPr="00D52611">
              <w:rPr>
                <w:rFonts w:cs="Arial"/>
                <w:b w:val="0"/>
                <w:lang w:eastAsia="en-US"/>
              </w:rPr>
              <w:t>BB MAPFRE</w:t>
            </w:r>
          </w:p>
        </w:tc>
        <w:tc>
          <w:tcPr>
            <w:tcW w:w="1407" w:type="dxa"/>
            <w:tcBorders>
              <w:top w:val="nil"/>
              <w:left w:val="nil"/>
              <w:bottom w:val="nil"/>
              <w:right w:val="nil"/>
            </w:tcBorders>
            <w:vAlign w:val="center"/>
            <w:hideMark/>
          </w:tcPr>
          <w:p w14:paraId="7E8B7F9E" w14:textId="77777777" w:rsidR="00A26587" w:rsidRPr="00D52611" w:rsidRDefault="00A26587"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Seguros</w:t>
            </w:r>
          </w:p>
        </w:tc>
        <w:tc>
          <w:tcPr>
            <w:tcW w:w="1408" w:type="dxa"/>
            <w:tcBorders>
              <w:top w:val="nil"/>
              <w:left w:val="nil"/>
              <w:bottom w:val="nil"/>
              <w:right w:val="nil"/>
            </w:tcBorders>
            <w:vAlign w:val="center"/>
            <w:hideMark/>
          </w:tcPr>
          <w:p w14:paraId="48ABDA44"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74,99%</w:t>
            </w:r>
          </w:p>
        </w:tc>
        <w:tc>
          <w:tcPr>
            <w:tcW w:w="1404" w:type="dxa"/>
            <w:tcBorders>
              <w:top w:val="nil"/>
              <w:left w:val="nil"/>
              <w:bottom w:val="nil"/>
              <w:right w:val="nil"/>
            </w:tcBorders>
            <w:vAlign w:val="center"/>
            <w:hideMark/>
          </w:tcPr>
          <w:p w14:paraId="03E144F0" w14:textId="33C127A2" w:rsidR="00A26587" w:rsidRPr="00D52611" w:rsidRDefault="00D52611"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szCs w:val="14"/>
                <w:lang w:eastAsia="en-US"/>
              </w:rPr>
              <w:t>2.337.086</w:t>
            </w:r>
          </w:p>
        </w:tc>
        <w:tc>
          <w:tcPr>
            <w:tcW w:w="1405" w:type="dxa"/>
            <w:tcBorders>
              <w:top w:val="nil"/>
              <w:left w:val="nil"/>
              <w:bottom w:val="nil"/>
              <w:right w:val="nil"/>
            </w:tcBorders>
            <w:vAlign w:val="center"/>
            <w:hideMark/>
          </w:tcPr>
          <w:p w14:paraId="741E63AE"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szCs w:val="14"/>
                <w:lang w:eastAsia="en-US"/>
              </w:rPr>
              <w:t>2.245.714</w:t>
            </w:r>
          </w:p>
        </w:tc>
        <w:tc>
          <w:tcPr>
            <w:tcW w:w="1914" w:type="dxa"/>
            <w:tcBorders>
              <w:top w:val="nil"/>
              <w:left w:val="nil"/>
              <w:bottom w:val="nil"/>
              <w:right w:val="nil"/>
            </w:tcBorders>
            <w:vAlign w:val="center"/>
            <w:hideMark/>
          </w:tcPr>
          <w:p w14:paraId="4CE308C4" w14:textId="6C7AA2FB" w:rsidR="00A26587" w:rsidRPr="00D52611" w:rsidRDefault="00256752" w:rsidP="00DC29B8">
            <w:pPr>
              <w:jc w:val="right"/>
              <w:cnfStyle w:val="000000000000" w:firstRow="0" w:lastRow="0" w:firstColumn="0" w:lastColumn="0" w:oddVBand="0" w:evenVBand="0" w:oddHBand="0" w:evenHBand="0" w:firstRowFirstColumn="0" w:firstRowLastColumn="0" w:lastRowFirstColumn="0" w:lastRowLastColumn="0"/>
              <w:rPr>
                <w:rFonts w:cs="Arial"/>
                <w:sz w:val="14"/>
                <w:szCs w:val="14"/>
                <w:lang w:eastAsia="pt-BR"/>
              </w:rPr>
            </w:pPr>
            <w:r>
              <w:rPr>
                <w:rFonts w:cs="Arial"/>
                <w:sz w:val="14"/>
                <w:szCs w:val="14"/>
              </w:rPr>
              <w:t>1.067.020</w:t>
            </w:r>
          </w:p>
        </w:tc>
      </w:tr>
      <w:tr w:rsidR="00A26587" w:rsidRPr="00D52611" w14:paraId="018BAE77"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2FD3C261" w14:textId="77777777" w:rsidR="00A26587" w:rsidRPr="00D52611" w:rsidRDefault="00A26587" w:rsidP="00DC29B8">
            <w:pPr>
              <w:pStyle w:val="08-Tabelageral"/>
              <w:ind w:left="113"/>
              <w:jc w:val="left"/>
              <w:rPr>
                <w:rFonts w:cs="Arial"/>
                <w:b w:val="0"/>
                <w:snapToGrid w:val="0"/>
                <w:lang w:eastAsia="en-US"/>
              </w:rPr>
            </w:pPr>
            <w:r w:rsidRPr="00D52611">
              <w:rPr>
                <w:rFonts w:cs="Arial"/>
                <w:b w:val="0"/>
                <w:lang w:eastAsia="en-US"/>
              </w:rPr>
              <w:t>Brasilprev</w:t>
            </w:r>
          </w:p>
        </w:tc>
        <w:tc>
          <w:tcPr>
            <w:tcW w:w="1407" w:type="dxa"/>
            <w:tcBorders>
              <w:top w:val="nil"/>
              <w:left w:val="nil"/>
              <w:bottom w:val="nil"/>
              <w:right w:val="nil"/>
            </w:tcBorders>
            <w:vAlign w:val="center"/>
            <w:hideMark/>
          </w:tcPr>
          <w:p w14:paraId="69D4C519" w14:textId="77777777" w:rsidR="00A26587" w:rsidRPr="00D52611" w:rsidRDefault="00A26587"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Previdência</w:t>
            </w:r>
          </w:p>
        </w:tc>
        <w:tc>
          <w:tcPr>
            <w:tcW w:w="1408" w:type="dxa"/>
            <w:tcBorders>
              <w:top w:val="nil"/>
              <w:left w:val="nil"/>
              <w:bottom w:val="nil"/>
              <w:right w:val="nil"/>
            </w:tcBorders>
            <w:vAlign w:val="center"/>
            <w:hideMark/>
          </w:tcPr>
          <w:p w14:paraId="229A4353"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74,99%</w:t>
            </w:r>
          </w:p>
        </w:tc>
        <w:tc>
          <w:tcPr>
            <w:tcW w:w="1404" w:type="dxa"/>
            <w:tcBorders>
              <w:top w:val="nil"/>
              <w:left w:val="nil"/>
              <w:bottom w:val="nil"/>
              <w:right w:val="nil"/>
            </w:tcBorders>
            <w:vAlign w:val="center"/>
            <w:hideMark/>
          </w:tcPr>
          <w:p w14:paraId="13158891" w14:textId="49A36BCC" w:rsidR="00A26587" w:rsidRPr="00D52611" w:rsidRDefault="00D52611"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4.354.377</w:t>
            </w:r>
          </w:p>
        </w:tc>
        <w:tc>
          <w:tcPr>
            <w:tcW w:w="1405" w:type="dxa"/>
            <w:tcBorders>
              <w:top w:val="nil"/>
              <w:left w:val="nil"/>
              <w:bottom w:val="nil"/>
              <w:right w:val="nil"/>
            </w:tcBorders>
            <w:vAlign w:val="center"/>
            <w:hideMark/>
          </w:tcPr>
          <w:p w14:paraId="3C24EC1B"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3.338.239</w:t>
            </w:r>
          </w:p>
        </w:tc>
        <w:tc>
          <w:tcPr>
            <w:tcW w:w="1914" w:type="dxa"/>
            <w:tcBorders>
              <w:top w:val="nil"/>
              <w:left w:val="nil"/>
              <w:bottom w:val="nil"/>
              <w:right w:val="nil"/>
            </w:tcBorders>
            <w:vAlign w:val="center"/>
            <w:hideMark/>
          </w:tcPr>
          <w:p w14:paraId="6F82A1F2" w14:textId="5123431C" w:rsidR="00A26587" w:rsidRPr="00D52611" w:rsidRDefault="00256752" w:rsidP="00DC29B8">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Pr>
                <w:rFonts w:cs="Arial"/>
                <w:color w:val="auto"/>
                <w:sz w:val="14"/>
                <w:szCs w:val="14"/>
              </w:rPr>
              <w:t>756.544</w:t>
            </w:r>
          </w:p>
        </w:tc>
      </w:tr>
      <w:tr w:rsidR="00A26587" w:rsidRPr="00D52611" w14:paraId="620A4CC7"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66B0ADEC" w14:textId="77777777" w:rsidR="00A26587" w:rsidRPr="00D52611" w:rsidRDefault="00A26587" w:rsidP="00DC29B8">
            <w:pPr>
              <w:pStyle w:val="08-Tabelageral"/>
              <w:ind w:left="113"/>
              <w:jc w:val="left"/>
              <w:rPr>
                <w:rFonts w:cs="Arial"/>
                <w:b w:val="0"/>
                <w:snapToGrid w:val="0"/>
                <w:vertAlign w:val="superscript"/>
                <w:lang w:eastAsia="en-US"/>
              </w:rPr>
            </w:pPr>
            <w:r w:rsidRPr="00D52611">
              <w:rPr>
                <w:rFonts w:cs="Arial"/>
                <w:b w:val="0"/>
                <w:lang w:eastAsia="en-US"/>
              </w:rPr>
              <w:t>Brasilcap</w:t>
            </w:r>
          </w:p>
        </w:tc>
        <w:tc>
          <w:tcPr>
            <w:tcW w:w="1407" w:type="dxa"/>
            <w:tcBorders>
              <w:top w:val="nil"/>
              <w:left w:val="nil"/>
              <w:bottom w:val="nil"/>
              <w:right w:val="nil"/>
            </w:tcBorders>
            <w:vAlign w:val="center"/>
            <w:hideMark/>
          </w:tcPr>
          <w:p w14:paraId="230D1466" w14:textId="77777777" w:rsidR="00A26587" w:rsidRPr="00D52611" w:rsidRDefault="00A26587"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Capitalização</w:t>
            </w:r>
          </w:p>
        </w:tc>
        <w:tc>
          <w:tcPr>
            <w:tcW w:w="1408" w:type="dxa"/>
            <w:tcBorders>
              <w:top w:val="nil"/>
              <w:left w:val="nil"/>
              <w:bottom w:val="nil"/>
              <w:right w:val="nil"/>
            </w:tcBorders>
            <w:vAlign w:val="center"/>
            <w:hideMark/>
          </w:tcPr>
          <w:p w14:paraId="47D44DF1"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66,66%</w:t>
            </w:r>
          </w:p>
        </w:tc>
        <w:tc>
          <w:tcPr>
            <w:tcW w:w="1404" w:type="dxa"/>
            <w:tcBorders>
              <w:top w:val="nil"/>
              <w:left w:val="nil"/>
              <w:bottom w:val="nil"/>
              <w:right w:val="nil"/>
            </w:tcBorders>
            <w:vAlign w:val="center"/>
            <w:hideMark/>
          </w:tcPr>
          <w:p w14:paraId="36BEFBEE" w14:textId="6FC0AABB" w:rsidR="00A26587" w:rsidRPr="00D52611" w:rsidRDefault="00D52611"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lang w:eastAsia="en-US"/>
              </w:rPr>
              <w:t>427.840</w:t>
            </w:r>
          </w:p>
        </w:tc>
        <w:tc>
          <w:tcPr>
            <w:tcW w:w="1405" w:type="dxa"/>
            <w:tcBorders>
              <w:top w:val="nil"/>
              <w:left w:val="nil"/>
              <w:bottom w:val="nil"/>
              <w:right w:val="nil"/>
            </w:tcBorders>
            <w:vAlign w:val="center"/>
            <w:hideMark/>
          </w:tcPr>
          <w:p w14:paraId="57D3AA15"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lang w:eastAsia="en-US"/>
              </w:rPr>
              <w:t>470.327</w:t>
            </w:r>
          </w:p>
        </w:tc>
        <w:tc>
          <w:tcPr>
            <w:tcW w:w="1914" w:type="dxa"/>
            <w:tcBorders>
              <w:top w:val="nil"/>
              <w:left w:val="nil"/>
              <w:bottom w:val="nil"/>
              <w:right w:val="nil"/>
            </w:tcBorders>
            <w:vAlign w:val="center"/>
            <w:hideMark/>
          </w:tcPr>
          <w:p w14:paraId="6E30D28D" w14:textId="1D7EFADB" w:rsidR="00A26587" w:rsidRPr="00D52611" w:rsidRDefault="00256752" w:rsidP="00DC29B8">
            <w:pPr>
              <w:jc w:val="right"/>
              <w:cnfStyle w:val="000000000000" w:firstRow="0" w:lastRow="0" w:firstColumn="0" w:lastColumn="0" w:oddVBand="0" w:evenVBand="0" w:oddHBand="0" w:evenHBand="0" w:firstRowFirstColumn="0" w:firstRowLastColumn="0" w:lastRowFirstColumn="0" w:lastRowLastColumn="0"/>
              <w:rPr>
                <w:rFonts w:cs="Arial"/>
                <w:sz w:val="14"/>
                <w:szCs w:val="14"/>
                <w:lang w:eastAsia="pt-BR"/>
              </w:rPr>
            </w:pPr>
            <w:r>
              <w:rPr>
                <w:rFonts w:cs="Arial"/>
                <w:sz w:val="14"/>
                <w:szCs w:val="14"/>
              </w:rPr>
              <w:t>2.341</w:t>
            </w:r>
          </w:p>
        </w:tc>
      </w:tr>
      <w:tr w:rsidR="00A26587" w:rsidRPr="00D52611" w14:paraId="518FDB1B"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0305B50" w14:textId="77777777" w:rsidR="00A26587" w:rsidRPr="00D52611" w:rsidRDefault="00A26587" w:rsidP="00DC29B8">
            <w:pPr>
              <w:pStyle w:val="08-Tabelageral"/>
              <w:ind w:left="113"/>
              <w:jc w:val="left"/>
              <w:rPr>
                <w:rFonts w:cs="Arial"/>
                <w:b w:val="0"/>
                <w:lang w:eastAsia="en-US"/>
              </w:rPr>
            </w:pPr>
            <w:r w:rsidRPr="00D52611">
              <w:rPr>
                <w:rFonts w:cs="Arial"/>
                <w:b w:val="0"/>
                <w:lang w:eastAsia="en-US"/>
              </w:rPr>
              <w:t>Brasildental</w:t>
            </w:r>
          </w:p>
        </w:tc>
        <w:tc>
          <w:tcPr>
            <w:tcW w:w="1407" w:type="dxa"/>
            <w:tcBorders>
              <w:top w:val="nil"/>
              <w:left w:val="nil"/>
              <w:bottom w:val="nil"/>
              <w:right w:val="nil"/>
            </w:tcBorders>
            <w:vAlign w:val="center"/>
            <w:hideMark/>
          </w:tcPr>
          <w:p w14:paraId="1A2BF0EB" w14:textId="77777777" w:rsidR="00A26587" w:rsidRPr="00D52611" w:rsidRDefault="00A26587"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Odontológico</w:t>
            </w:r>
          </w:p>
        </w:tc>
        <w:tc>
          <w:tcPr>
            <w:tcW w:w="1408" w:type="dxa"/>
            <w:tcBorders>
              <w:top w:val="nil"/>
              <w:left w:val="nil"/>
              <w:bottom w:val="nil"/>
              <w:right w:val="nil"/>
            </w:tcBorders>
            <w:vAlign w:val="center"/>
            <w:hideMark/>
          </w:tcPr>
          <w:p w14:paraId="22C62D95"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74,99%</w:t>
            </w:r>
          </w:p>
        </w:tc>
        <w:tc>
          <w:tcPr>
            <w:tcW w:w="1404" w:type="dxa"/>
            <w:tcBorders>
              <w:top w:val="nil"/>
              <w:left w:val="nil"/>
              <w:bottom w:val="nil"/>
              <w:right w:val="nil"/>
            </w:tcBorders>
            <w:vAlign w:val="center"/>
            <w:hideMark/>
          </w:tcPr>
          <w:p w14:paraId="27CF682D" w14:textId="383E13B7" w:rsidR="00A26587" w:rsidRPr="00D52611" w:rsidRDefault="00D52611"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16.088</w:t>
            </w:r>
          </w:p>
        </w:tc>
        <w:tc>
          <w:tcPr>
            <w:tcW w:w="1405" w:type="dxa"/>
            <w:tcBorders>
              <w:top w:val="nil"/>
              <w:left w:val="nil"/>
              <w:bottom w:val="nil"/>
              <w:right w:val="nil"/>
            </w:tcBorders>
            <w:vAlign w:val="center"/>
            <w:hideMark/>
          </w:tcPr>
          <w:p w14:paraId="5ADC3EEB"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15.582</w:t>
            </w:r>
          </w:p>
        </w:tc>
        <w:tc>
          <w:tcPr>
            <w:tcW w:w="1914" w:type="dxa"/>
            <w:tcBorders>
              <w:top w:val="nil"/>
              <w:left w:val="nil"/>
              <w:bottom w:val="nil"/>
              <w:right w:val="nil"/>
            </w:tcBorders>
            <w:vAlign w:val="center"/>
            <w:hideMark/>
          </w:tcPr>
          <w:p w14:paraId="4E669C88" w14:textId="005E11F4" w:rsidR="00A26587" w:rsidRPr="00D52611" w:rsidRDefault="00256752" w:rsidP="00DC29B8">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Pr>
                <w:rFonts w:cs="Arial"/>
                <w:color w:val="auto"/>
                <w:sz w:val="14"/>
                <w:szCs w:val="14"/>
                <w:lang w:eastAsia="pt-BR"/>
              </w:rPr>
              <w:t>17.083</w:t>
            </w:r>
          </w:p>
        </w:tc>
      </w:tr>
      <w:tr w:rsidR="00A26587" w:rsidRPr="00D52611" w14:paraId="29AF2908" w14:textId="77777777" w:rsidTr="00DC29B8">
        <w:trPr>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16D58283" w14:textId="77777777" w:rsidR="00A26587" w:rsidRPr="00D52611" w:rsidRDefault="00A26587" w:rsidP="00DC29B8">
            <w:pPr>
              <w:pStyle w:val="08-Tabelageral"/>
              <w:tabs>
                <w:tab w:val="left" w:pos="1141"/>
              </w:tabs>
              <w:jc w:val="left"/>
              <w:rPr>
                <w:rFonts w:cs="Arial"/>
                <w:snapToGrid w:val="0"/>
                <w:lang w:eastAsia="en-US"/>
              </w:rPr>
            </w:pPr>
            <w:r w:rsidRPr="00D52611">
              <w:rPr>
                <w:rFonts w:cs="Arial"/>
                <w:lang w:eastAsia="en-US"/>
              </w:rPr>
              <w:t>BB Corretora</w:t>
            </w:r>
          </w:p>
        </w:tc>
        <w:tc>
          <w:tcPr>
            <w:tcW w:w="1407" w:type="dxa"/>
            <w:tcBorders>
              <w:top w:val="nil"/>
              <w:left w:val="nil"/>
              <w:bottom w:val="nil"/>
              <w:right w:val="nil"/>
            </w:tcBorders>
            <w:vAlign w:val="center"/>
            <w:hideMark/>
          </w:tcPr>
          <w:p w14:paraId="17FC9E0E" w14:textId="77777777" w:rsidR="00A26587" w:rsidRPr="00D52611" w:rsidRDefault="00A26587"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Corretora</w:t>
            </w:r>
          </w:p>
        </w:tc>
        <w:tc>
          <w:tcPr>
            <w:tcW w:w="1408" w:type="dxa"/>
            <w:tcBorders>
              <w:top w:val="nil"/>
              <w:left w:val="nil"/>
              <w:bottom w:val="nil"/>
              <w:right w:val="nil"/>
            </w:tcBorders>
            <w:vAlign w:val="center"/>
            <w:hideMark/>
          </w:tcPr>
          <w:p w14:paraId="514836FB"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100,00%</w:t>
            </w:r>
          </w:p>
        </w:tc>
        <w:tc>
          <w:tcPr>
            <w:tcW w:w="1404" w:type="dxa"/>
            <w:tcBorders>
              <w:top w:val="nil"/>
              <w:left w:val="nil"/>
              <w:bottom w:val="nil"/>
              <w:right w:val="nil"/>
            </w:tcBorders>
            <w:vAlign w:val="center"/>
            <w:hideMark/>
          </w:tcPr>
          <w:p w14:paraId="5A72285A" w14:textId="34A8E5FB" w:rsidR="00A26587" w:rsidRPr="00D52611" w:rsidRDefault="00F178E0" w:rsidP="00DC29B8">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6.009</w:t>
            </w:r>
          </w:p>
        </w:tc>
        <w:tc>
          <w:tcPr>
            <w:tcW w:w="1405" w:type="dxa"/>
            <w:tcBorders>
              <w:top w:val="nil"/>
              <w:left w:val="nil"/>
              <w:bottom w:val="nil"/>
              <w:right w:val="nil"/>
            </w:tcBorders>
            <w:vAlign w:val="center"/>
            <w:hideMark/>
          </w:tcPr>
          <w:p w14:paraId="6882F77C" w14:textId="77777777" w:rsidR="00A26587" w:rsidRPr="00D52611" w:rsidRDefault="00A26587" w:rsidP="00DC29B8">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46.908</w:t>
            </w:r>
          </w:p>
        </w:tc>
        <w:tc>
          <w:tcPr>
            <w:tcW w:w="1914" w:type="dxa"/>
            <w:tcBorders>
              <w:top w:val="nil"/>
              <w:left w:val="nil"/>
              <w:bottom w:val="nil"/>
              <w:right w:val="nil"/>
            </w:tcBorders>
            <w:vAlign w:val="center"/>
            <w:hideMark/>
          </w:tcPr>
          <w:p w14:paraId="035D3461" w14:textId="79D4598A" w:rsidR="00A26587" w:rsidRPr="00D52611" w:rsidRDefault="00256752" w:rsidP="00DC29B8">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lang w:eastAsia="pt-BR"/>
              </w:rPr>
            </w:pPr>
            <w:r>
              <w:rPr>
                <w:rFonts w:cs="Arial"/>
                <w:b/>
                <w:bCs/>
                <w:sz w:val="14"/>
                <w:szCs w:val="14"/>
              </w:rPr>
              <w:t>2.162.039</w:t>
            </w:r>
          </w:p>
        </w:tc>
      </w:tr>
      <w:tr w:rsidR="00A26587" w:rsidRPr="00FA31E9" w14:paraId="633F23A9"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9CC2E5" w:themeColor="accent1" w:themeTint="99"/>
              <w:right w:val="nil"/>
            </w:tcBorders>
            <w:hideMark/>
          </w:tcPr>
          <w:p w14:paraId="3FC5EFCC" w14:textId="77777777" w:rsidR="00A26587" w:rsidRPr="00D52611" w:rsidRDefault="00A26587" w:rsidP="00DC29B8">
            <w:pPr>
              <w:pStyle w:val="08-Tabelageral"/>
              <w:ind w:left="113"/>
              <w:jc w:val="left"/>
              <w:rPr>
                <w:rFonts w:cs="Arial"/>
                <w:b w:val="0"/>
                <w:lang w:eastAsia="en-US"/>
              </w:rPr>
            </w:pPr>
            <w:r w:rsidRPr="00D52611">
              <w:rPr>
                <w:rFonts w:cs="Arial"/>
                <w:b w:val="0"/>
                <w:lang w:eastAsia="en-US"/>
              </w:rPr>
              <w:t>Ciclic</w:t>
            </w:r>
          </w:p>
        </w:tc>
        <w:tc>
          <w:tcPr>
            <w:tcW w:w="1407" w:type="dxa"/>
            <w:tcBorders>
              <w:top w:val="nil"/>
              <w:left w:val="nil"/>
              <w:bottom w:val="single" w:sz="2" w:space="0" w:color="9CC2E5" w:themeColor="accent1" w:themeTint="99"/>
              <w:right w:val="nil"/>
            </w:tcBorders>
            <w:vAlign w:val="center"/>
            <w:hideMark/>
          </w:tcPr>
          <w:p w14:paraId="278D416C" w14:textId="77777777" w:rsidR="00A26587" w:rsidRPr="00D52611" w:rsidRDefault="00A26587"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Corretora</w:t>
            </w:r>
          </w:p>
        </w:tc>
        <w:tc>
          <w:tcPr>
            <w:tcW w:w="1408" w:type="dxa"/>
            <w:tcBorders>
              <w:top w:val="nil"/>
              <w:left w:val="nil"/>
              <w:bottom w:val="single" w:sz="2" w:space="0" w:color="9CC2E5" w:themeColor="accent1" w:themeTint="99"/>
              <w:right w:val="nil"/>
            </w:tcBorders>
            <w:vAlign w:val="center"/>
            <w:hideMark/>
          </w:tcPr>
          <w:p w14:paraId="71139DAE"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74,99%</w:t>
            </w:r>
          </w:p>
        </w:tc>
        <w:tc>
          <w:tcPr>
            <w:tcW w:w="1404" w:type="dxa"/>
            <w:tcBorders>
              <w:top w:val="nil"/>
              <w:left w:val="nil"/>
              <w:bottom w:val="single" w:sz="2" w:space="0" w:color="9CC2E5" w:themeColor="accent1" w:themeTint="99"/>
              <w:right w:val="nil"/>
            </w:tcBorders>
            <w:vAlign w:val="center"/>
            <w:hideMark/>
          </w:tcPr>
          <w:p w14:paraId="18950710" w14:textId="229B4A62" w:rsidR="00A26587" w:rsidRPr="00D52611" w:rsidRDefault="00D52611"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1.850</w:t>
            </w:r>
          </w:p>
        </w:tc>
        <w:tc>
          <w:tcPr>
            <w:tcW w:w="1405" w:type="dxa"/>
            <w:tcBorders>
              <w:top w:val="nil"/>
              <w:left w:val="nil"/>
              <w:bottom w:val="single" w:sz="2" w:space="0" w:color="9CC2E5" w:themeColor="accent1" w:themeTint="99"/>
              <w:right w:val="nil"/>
            </w:tcBorders>
            <w:vAlign w:val="center"/>
            <w:hideMark/>
          </w:tcPr>
          <w:p w14:paraId="283CA530" w14:textId="77777777" w:rsidR="00A26587" w:rsidRPr="00D52611" w:rsidRDefault="00A26587"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14.483</w:t>
            </w:r>
          </w:p>
        </w:tc>
        <w:tc>
          <w:tcPr>
            <w:tcW w:w="1914" w:type="dxa"/>
            <w:tcBorders>
              <w:top w:val="nil"/>
              <w:left w:val="nil"/>
              <w:bottom w:val="single" w:sz="2" w:space="0" w:color="9CC2E5" w:themeColor="accent1" w:themeTint="99"/>
              <w:right w:val="nil"/>
            </w:tcBorders>
            <w:vAlign w:val="center"/>
            <w:hideMark/>
          </w:tcPr>
          <w:p w14:paraId="3999FB01" w14:textId="5CB3BE7C" w:rsidR="00A26587" w:rsidRPr="00D52611" w:rsidRDefault="00A26587" w:rsidP="00DC29B8">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sidRPr="00D52611">
              <w:rPr>
                <w:rFonts w:cs="Arial"/>
                <w:color w:val="auto"/>
                <w:sz w:val="14"/>
                <w:szCs w:val="14"/>
              </w:rPr>
              <w:t>(1</w:t>
            </w:r>
            <w:r w:rsidR="00256752">
              <w:rPr>
                <w:rFonts w:cs="Arial"/>
                <w:color w:val="auto"/>
                <w:sz w:val="14"/>
                <w:szCs w:val="14"/>
              </w:rPr>
              <w:t>2</w:t>
            </w:r>
            <w:r w:rsidRPr="00D52611">
              <w:rPr>
                <w:rFonts w:cs="Arial"/>
                <w:color w:val="auto"/>
                <w:sz w:val="14"/>
                <w:szCs w:val="14"/>
              </w:rPr>
              <w:t>.</w:t>
            </w:r>
            <w:r w:rsidR="00256752">
              <w:rPr>
                <w:rFonts w:cs="Arial"/>
                <w:color w:val="auto"/>
                <w:sz w:val="14"/>
                <w:szCs w:val="14"/>
              </w:rPr>
              <w:t>633</w:t>
            </w:r>
            <w:r w:rsidRPr="00D52611">
              <w:rPr>
                <w:rFonts w:cs="Arial"/>
                <w:color w:val="auto"/>
                <w:sz w:val="14"/>
                <w:szCs w:val="14"/>
              </w:rPr>
              <w:t>)</w:t>
            </w:r>
          </w:p>
        </w:tc>
      </w:tr>
    </w:tbl>
    <w:p w14:paraId="0848037B" w14:textId="77777777" w:rsidR="00A26587" w:rsidRPr="00FA31E9" w:rsidRDefault="00A26587" w:rsidP="00A26587">
      <w:pPr>
        <w:pStyle w:val="03-SubttulodeNota"/>
        <w:keepNext/>
        <w:spacing w:line="276" w:lineRule="auto"/>
        <w:rPr>
          <w:color w:val="1F4E79" w:themeColor="accent1" w:themeShade="80"/>
          <w:sz w:val="10"/>
          <w:szCs w:val="10"/>
          <w:highlight w:val="yellow"/>
        </w:rPr>
      </w:pPr>
    </w:p>
    <w:p w14:paraId="0583DA12" w14:textId="6627E685" w:rsidR="00A26587" w:rsidRPr="00A26587" w:rsidRDefault="00256752" w:rsidP="00A26587">
      <w:pPr>
        <w:pStyle w:val="03-SubttulodeNota"/>
        <w:keepNext/>
        <w:spacing w:line="276" w:lineRule="auto"/>
        <w:rPr>
          <w:color w:val="1F4E79" w:themeColor="accent1" w:themeShade="80"/>
        </w:rPr>
      </w:pPr>
      <w:r>
        <w:rPr>
          <w:color w:val="1F4E79" w:themeColor="accent1" w:themeShade="80"/>
        </w:rPr>
        <w:t xml:space="preserve">Resultado de Participação – </w:t>
      </w:r>
      <w:r w:rsidR="00A26587" w:rsidRPr="00A26587">
        <w:rPr>
          <w:color w:val="1F4E79" w:themeColor="accent1" w:themeShade="80"/>
        </w:rPr>
        <w:t>Desempenho das investidas</w:t>
      </w:r>
      <w:r w:rsidR="00A26587" w:rsidRPr="00A26587">
        <w:rPr>
          <w:color w:val="1F4E79" w:themeColor="accent1" w:themeShade="80"/>
        </w:rPr>
        <w:tab/>
      </w:r>
    </w:p>
    <w:p w14:paraId="2E51A667" w14:textId="71A60ED2" w:rsidR="00A26587" w:rsidRPr="00A26587" w:rsidRDefault="009C3C83" w:rsidP="00A26587">
      <w:pPr>
        <w:pStyle w:val="03-SubttulodeNota"/>
        <w:spacing w:line="276" w:lineRule="auto"/>
        <w:rPr>
          <w:color w:val="1F4E79" w:themeColor="accent1" w:themeShade="80"/>
        </w:rPr>
      </w:pPr>
      <w:r>
        <w:rPr>
          <w:color w:val="1F4E79" w:themeColor="accent1" w:themeShade="80"/>
        </w:rPr>
        <w:t>BB MAPFRE (</w:t>
      </w:r>
      <w:r w:rsidR="00A26587" w:rsidRPr="00A26587">
        <w:rPr>
          <w:color w:val="1F4E79" w:themeColor="accent1" w:themeShade="80"/>
        </w:rPr>
        <w:t>Brasilseg</w:t>
      </w:r>
      <w:r>
        <w:rPr>
          <w:color w:val="1F4E79" w:themeColor="accent1" w:themeShade="80"/>
        </w:rPr>
        <w:t>)</w:t>
      </w:r>
    </w:p>
    <w:p w14:paraId="3A47EF9D" w14:textId="7F0EA721" w:rsidR="00A26587" w:rsidRDefault="00A26587" w:rsidP="005A7F7E">
      <w:pPr>
        <w:jc w:val="both"/>
        <w:rPr>
          <w:rFonts w:eastAsia="Times New Roman" w:cs="Arial"/>
          <w:spacing w:val="-2"/>
          <w:szCs w:val="18"/>
          <w:lang w:eastAsia="pt-BR"/>
        </w:rPr>
      </w:pPr>
      <w:r w:rsidRPr="00A26587">
        <w:rPr>
          <w:rFonts w:eastAsia="Times New Roman" w:cs="Arial"/>
          <w:spacing w:val="-2"/>
          <w:szCs w:val="18"/>
          <w:lang w:eastAsia="pt-BR"/>
        </w:rPr>
        <w:t xml:space="preserve">Em 2021, o lucro líquido </w:t>
      </w:r>
      <w:r>
        <w:rPr>
          <w:rFonts w:eastAsia="Times New Roman" w:cs="Arial"/>
          <w:spacing w:val="-2"/>
          <w:szCs w:val="18"/>
          <w:lang w:eastAsia="pt-BR"/>
        </w:rPr>
        <w:t xml:space="preserve">da operação de seguros </w:t>
      </w:r>
      <w:r w:rsidRPr="00A26587">
        <w:rPr>
          <w:rFonts w:eastAsia="Times New Roman" w:cs="Arial"/>
          <w:spacing w:val="-2"/>
          <w:szCs w:val="18"/>
          <w:lang w:eastAsia="pt-BR"/>
        </w:rPr>
        <w:t>retraiu 1,6% em relação a 2020, em razão da piora da sinistralidade (+8,5</w:t>
      </w:r>
      <w:r w:rsidR="005A7F7E">
        <w:rPr>
          <w:rFonts w:eastAsia="Times New Roman" w:cs="Arial"/>
          <w:spacing w:val="-2"/>
          <w:szCs w:val="18"/>
          <w:lang w:eastAsia="pt-BR"/>
        </w:rPr>
        <w:t xml:space="preserve"> </w:t>
      </w:r>
      <w:r w:rsidRPr="00A26587">
        <w:rPr>
          <w:rFonts w:eastAsia="Times New Roman" w:cs="Arial"/>
          <w:spacing w:val="-2"/>
          <w:szCs w:val="18"/>
          <w:lang w:eastAsia="pt-BR"/>
        </w:rPr>
        <w:t xml:space="preserve">p.p.) e </w:t>
      </w:r>
      <w:r>
        <w:rPr>
          <w:rFonts w:eastAsia="Times New Roman" w:cs="Arial"/>
          <w:spacing w:val="-2"/>
          <w:szCs w:val="18"/>
          <w:lang w:eastAsia="pt-BR"/>
        </w:rPr>
        <w:t>da maior alíquota efetiva de impostos decorrente do aumento temporário de CSLL</w:t>
      </w:r>
      <w:r w:rsidRPr="00A26587">
        <w:rPr>
          <w:rFonts w:eastAsia="Times New Roman" w:cs="Arial"/>
          <w:spacing w:val="-2"/>
          <w:szCs w:val="18"/>
          <w:lang w:eastAsia="pt-BR"/>
        </w:rPr>
        <w:t>,</w:t>
      </w:r>
      <w:r>
        <w:rPr>
          <w:rFonts w:eastAsia="Times New Roman" w:cs="Arial"/>
          <w:spacing w:val="-2"/>
          <w:szCs w:val="18"/>
          <w:lang w:eastAsia="pt-BR"/>
        </w:rPr>
        <w:t xml:space="preserve"> efeitos </w:t>
      </w:r>
      <w:r w:rsidRPr="00A26587">
        <w:rPr>
          <w:rFonts w:eastAsia="Times New Roman" w:cs="Arial"/>
          <w:spacing w:val="-2"/>
          <w:szCs w:val="18"/>
          <w:lang w:eastAsia="pt-BR"/>
        </w:rPr>
        <w:t>parcialmente</w:t>
      </w:r>
      <w:r w:rsidR="005A7F7E">
        <w:rPr>
          <w:rFonts w:eastAsia="Times New Roman" w:cs="Arial"/>
          <w:spacing w:val="-2"/>
          <w:szCs w:val="18"/>
          <w:lang w:eastAsia="pt-BR"/>
        </w:rPr>
        <w:t xml:space="preserve"> </w:t>
      </w:r>
      <w:r w:rsidRPr="00A26587">
        <w:rPr>
          <w:rFonts w:eastAsia="Times New Roman" w:cs="Arial"/>
          <w:spacing w:val="-2"/>
          <w:szCs w:val="18"/>
          <w:lang w:eastAsia="pt-BR"/>
        </w:rPr>
        <w:t>compensado</w:t>
      </w:r>
      <w:r>
        <w:rPr>
          <w:rFonts w:eastAsia="Times New Roman" w:cs="Arial"/>
          <w:spacing w:val="-2"/>
          <w:szCs w:val="18"/>
          <w:lang w:eastAsia="pt-BR"/>
        </w:rPr>
        <w:t>s</w:t>
      </w:r>
      <w:r w:rsidRPr="00A26587">
        <w:rPr>
          <w:rFonts w:eastAsia="Times New Roman" w:cs="Arial"/>
          <w:spacing w:val="-2"/>
          <w:szCs w:val="18"/>
          <w:lang w:eastAsia="pt-BR"/>
        </w:rPr>
        <w:t xml:space="preserve"> pela alta de 1,8% do resultado financeiro. No ano, o maior volume de CSLL retirou R$60,7 milhões do lucro líquido da companhia. Não fosse esse efeito, o lucro líquido teria crescido 2,5%.</w:t>
      </w:r>
    </w:p>
    <w:p w14:paraId="4700B62B" w14:textId="247AE11C" w:rsidR="005A7F7E" w:rsidRDefault="005A7F7E" w:rsidP="005A7F7E">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O</w:t>
      </w:r>
      <w:r w:rsidRPr="00A26587">
        <w:rPr>
          <w:rFonts w:eastAsia="Times New Roman" w:cs="Arial"/>
          <w:spacing w:val="-2"/>
          <w:szCs w:val="18"/>
          <w:lang w:eastAsia="pt-BR"/>
        </w:rPr>
        <w:t xml:space="preserve"> aumento da sinistralidade reflete principalmente a maior frequência de avisos em produtos com cobertura de morte devido ao agravamento da pandemia no 1S21</w:t>
      </w:r>
      <w:r>
        <w:rPr>
          <w:rFonts w:eastAsia="Times New Roman" w:cs="Arial"/>
          <w:spacing w:val="-2"/>
          <w:szCs w:val="18"/>
          <w:lang w:eastAsia="pt-BR"/>
        </w:rPr>
        <w:t xml:space="preserve">, mas com sinais de normalização </w:t>
      </w:r>
      <w:r w:rsidR="005573C3">
        <w:rPr>
          <w:rFonts w:eastAsia="Times New Roman" w:cs="Arial"/>
          <w:spacing w:val="-2"/>
          <w:szCs w:val="18"/>
          <w:lang w:eastAsia="pt-BR"/>
        </w:rPr>
        <w:t>d</w:t>
      </w:r>
      <w:r>
        <w:rPr>
          <w:rFonts w:eastAsia="Times New Roman" w:cs="Arial"/>
          <w:spacing w:val="-2"/>
          <w:szCs w:val="18"/>
          <w:lang w:eastAsia="pt-BR"/>
        </w:rPr>
        <w:t>o indicador ao final do 2S21 devido ao avanço no programa de imunização da população</w:t>
      </w:r>
      <w:r w:rsidRPr="00A26587">
        <w:rPr>
          <w:rFonts w:eastAsia="Times New Roman" w:cs="Arial"/>
          <w:spacing w:val="-2"/>
          <w:szCs w:val="18"/>
          <w:lang w:eastAsia="pt-BR"/>
        </w:rPr>
        <w:t>.</w:t>
      </w:r>
      <w:r>
        <w:rPr>
          <w:rFonts w:eastAsia="Times New Roman" w:cs="Arial"/>
          <w:spacing w:val="-2"/>
          <w:szCs w:val="18"/>
          <w:lang w:eastAsia="pt-BR"/>
        </w:rPr>
        <w:t xml:space="preserve"> Com base em dados gerenciais fornecidos pela Brasilseg (data-base: 18.01.2022), foram registrados em 2021 cerca de R$8</w:t>
      </w:r>
      <w:r w:rsidR="002B3E58">
        <w:rPr>
          <w:rFonts w:eastAsia="Times New Roman" w:cs="Arial"/>
          <w:spacing w:val="-2"/>
          <w:szCs w:val="18"/>
          <w:lang w:eastAsia="pt-BR"/>
        </w:rPr>
        <w:t>64</w:t>
      </w:r>
      <w:r>
        <w:rPr>
          <w:rFonts w:eastAsia="Times New Roman" w:cs="Arial"/>
          <w:spacing w:val="-2"/>
          <w:szCs w:val="18"/>
          <w:lang w:eastAsia="pt-BR"/>
        </w:rPr>
        <w:t xml:space="preserve"> milhões em sinistros nos produtos com cobertura de morte cuja causa foi atribuída à Covid-19, número mais de 3 vezes superior aos R$231 milhões referente</w:t>
      </w:r>
      <w:r w:rsidR="00A239A0">
        <w:rPr>
          <w:rFonts w:eastAsia="Times New Roman" w:cs="Arial"/>
          <w:spacing w:val="-2"/>
          <w:szCs w:val="18"/>
          <w:lang w:eastAsia="pt-BR"/>
        </w:rPr>
        <w:t>s</w:t>
      </w:r>
      <w:r>
        <w:rPr>
          <w:rFonts w:eastAsia="Times New Roman" w:cs="Arial"/>
          <w:spacing w:val="-2"/>
          <w:szCs w:val="18"/>
          <w:lang w:eastAsia="pt-BR"/>
        </w:rPr>
        <w:t xml:space="preserve"> a sinistros de 2020.</w:t>
      </w:r>
      <w:r w:rsidRPr="00A26587">
        <w:rPr>
          <w:rFonts w:eastAsia="Times New Roman" w:cs="Arial"/>
          <w:spacing w:val="-2"/>
          <w:szCs w:val="18"/>
          <w:lang w:eastAsia="pt-BR"/>
        </w:rPr>
        <w:t xml:space="preserve"> </w:t>
      </w:r>
    </w:p>
    <w:p w14:paraId="74C03179" w14:textId="486D40FC" w:rsidR="00A26587" w:rsidRDefault="00A26587" w:rsidP="005A7F7E">
      <w:pPr>
        <w:jc w:val="both"/>
        <w:rPr>
          <w:rFonts w:eastAsia="Times New Roman" w:cs="Arial"/>
          <w:spacing w:val="-2"/>
          <w:szCs w:val="18"/>
          <w:lang w:eastAsia="pt-BR"/>
        </w:rPr>
      </w:pPr>
      <w:r w:rsidRPr="00A26587">
        <w:rPr>
          <w:rFonts w:eastAsia="Times New Roman" w:cs="Arial"/>
          <w:spacing w:val="-2"/>
          <w:szCs w:val="18"/>
          <w:lang w:eastAsia="pt-BR"/>
        </w:rPr>
        <w:t>Os prêmios emitidos aumentaram 16,2%, melhora conduzida</w:t>
      </w:r>
      <w:r w:rsidR="004216E3">
        <w:rPr>
          <w:rFonts w:eastAsia="Times New Roman" w:cs="Arial"/>
          <w:spacing w:val="-2"/>
          <w:szCs w:val="18"/>
          <w:lang w:eastAsia="pt-BR"/>
        </w:rPr>
        <w:t xml:space="preserve"> principalmente</w:t>
      </w:r>
      <w:r w:rsidR="00226141">
        <w:rPr>
          <w:rFonts w:eastAsia="Times New Roman" w:cs="Arial"/>
          <w:spacing w:val="-2"/>
          <w:szCs w:val="18"/>
          <w:lang w:eastAsia="pt-BR"/>
        </w:rPr>
        <w:t>:</w:t>
      </w:r>
      <w:r w:rsidRPr="00A26587">
        <w:rPr>
          <w:rFonts w:eastAsia="Times New Roman" w:cs="Arial"/>
          <w:spacing w:val="-2"/>
          <w:szCs w:val="18"/>
          <w:lang w:eastAsia="pt-BR"/>
        </w:rPr>
        <w:t xml:space="preserve"> pelo seguro rural (+35,5%),</w:t>
      </w:r>
      <w:r w:rsidR="00226141">
        <w:rPr>
          <w:rFonts w:eastAsia="Times New Roman" w:cs="Arial"/>
          <w:spacing w:val="-2"/>
          <w:szCs w:val="18"/>
          <w:lang w:eastAsia="pt-BR"/>
        </w:rPr>
        <w:t xml:space="preserve"> </w:t>
      </w:r>
      <w:r w:rsidR="00226141">
        <w:rPr>
          <w:rFonts w:eastAsia="Times New Roman" w:cs="Times New Roman"/>
        </w:rPr>
        <w:t xml:space="preserve">beneficiado pelo custo mais elevado dos insumos agrícolas, </w:t>
      </w:r>
      <w:r w:rsidR="004216E3">
        <w:rPr>
          <w:rFonts w:eastAsia="Times New Roman" w:cs="Times New Roman"/>
        </w:rPr>
        <w:t xml:space="preserve">o que levou ao </w:t>
      </w:r>
      <w:r w:rsidR="00226141">
        <w:rPr>
          <w:rFonts w:eastAsia="Times New Roman" w:cs="Times New Roman"/>
        </w:rPr>
        <w:t xml:space="preserve">aumento </w:t>
      </w:r>
      <w:r w:rsidR="004216E3">
        <w:rPr>
          <w:rFonts w:eastAsia="Times New Roman" w:cs="Times New Roman"/>
        </w:rPr>
        <w:t>d</w:t>
      </w:r>
      <w:r w:rsidR="00226141">
        <w:rPr>
          <w:rFonts w:eastAsia="Times New Roman" w:cs="Times New Roman"/>
        </w:rPr>
        <w:t>o volume de crédito para a safra 2021/2022</w:t>
      </w:r>
      <w:r w:rsidR="004216E3">
        <w:rPr>
          <w:rFonts w:eastAsia="Times New Roman" w:cs="Times New Roman"/>
        </w:rPr>
        <w:t xml:space="preserve"> e, consequentemente</w:t>
      </w:r>
      <w:r w:rsidR="00226141">
        <w:rPr>
          <w:rFonts w:eastAsia="Times New Roman" w:cs="Times New Roman"/>
        </w:rPr>
        <w:t>, result</w:t>
      </w:r>
      <w:r w:rsidR="004216E3">
        <w:rPr>
          <w:rFonts w:eastAsia="Times New Roman" w:cs="Times New Roman"/>
        </w:rPr>
        <w:t>ou</w:t>
      </w:r>
      <w:r w:rsidR="00226141">
        <w:rPr>
          <w:rFonts w:eastAsia="Times New Roman" w:cs="Times New Roman"/>
        </w:rPr>
        <w:t xml:space="preserve"> em um </w:t>
      </w:r>
      <w:r w:rsidR="004216E3">
        <w:rPr>
          <w:rFonts w:eastAsia="Times New Roman" w:cs="Times New Roman"/>
        </w:rPr>
        <w:t xml:space="preserve">aumento nas </w:t>
      </w:r>
      <w:r w:rsidR="00226141">
        <w:rPr>
          <w:rFonts w:eastAsia="Times New Roman" w:cs="Times New Roman"/>
        </w:rPr>
        <w:t>importâncias seguradas</w:t>
      </w:r>
      <w:r w:rsidR="004216E3">
        <w:rPr>
          <w:rFonts w:eastAsia="Times New Roman" w:cs="Times New Roman"/>
        </w:rPr>
        <w:t>; pelo seguro de</w:t>
      </w:r>
      <w:r w:rsidRPr="00A26587">
        <w:rPr>
          <w:rFonts w:eastAsia="Times New Roman" w:cs="Arial"/>
          <w:spacing w:val="-2"/>
          <w:szCs w:val="18"/>
          <w:lang w:eastAsia="pt-BR"/>
        </w:rPr>
        <w:t xml:space="preserve"> vida (+17,1%),</w:t>
      </w:r>
      <w:r w:rsidR="004216E3">
        <w:rPr>
          <w:rFonts w:eastAsia="Times New Roman" w:cs="Arial"/>
          <w:spacing w:val="-2"/>
          <w:szCs w:val="18"/>
          <w:lang w:eastAsia="pt-BR"/>
        </w:rPr>
        <w:t xml:space="preserve"> explicado por crescimento das vendas novas e aumento nos prêmios emitidos de renovações; e pelo seguro</w:t>
      </w:r>
      <w:r w:rsidRPr="00A26587">
        <w:rPr>
          <w:rFonts w:eastAsia="Times New Roman" w:cs="Arial"/>
          <w:spacing w:val="-2"/>
          <w:szCs w:val="18"/>
          <w:lang w:eastAsia="pt-BR"/>
        </w:rPr>
        <w:t xml:space="preserve"> residencial (+23,4%)</w:t>
      </w:r>
      <w:r w:rsidR="004216E3">
        <w:rPr>
          <w:rFonts w:eastAsia="Times New Roman" w:cs="Arial"/>
          <w:spacing w:val="-2"/>
          <w:szCs w:val="18"/>
          <w:lang w:eastAsia="pt-BR"/>
        </w:rPr>
        <w:t>, com crescimento nas vendas e ticket médio após o lançamento d</w:t>
      </w:r>
      <w:r w:rsidR="00880F20">
        <w:rPr>
          <w:rFonts w:eastAsia="Times New Roman" w:cs="Arial"/>
          <w:spacing w:val="-2"/>
          <w:szCs w:val="18"/>
          <w:lang w:eastAsia="pt-BR"/>
        </w:rPr>
        <w:t>e</w:t>
      </w:r>
      <w:r w:rsidR="004216E3">
        <w:rPr>
          <w:rFonts w:eastAsia="Times New Roman" w:cs="Arial"/>
          <w:spacing w:val="-2"/>
          <w:szCs w:val="18"/>
          <w:lang w:eastAsia="pt-BR"/>
        </w:rPr>
        <w:t xml:space="preserve"> novo </w:t>
      </w:r>
      <w:r w:rsidR="00880F20">
        <w:rPr>
          <w:rFonts w:eastAsia="Times New Roman" w:cs="Arial"/>
          <w:spacing w:val="-2"/>
          <w:szCs w:val="18"/>
          <w:lang w:eastAsia="pt-BR"/>
        </w:rPr>
        <w:t xml:space="preserve">produto </w:t>
      </w:r>
      <w:r w:rsidR="004216E3">
        <w:rPr>
          <w:rFonts w:eastAsia="Times New Roman" w:cs="Arial"/>
          <w:spacing w:val="-2"/>
          <w:szCs w:val="18"/>
          <w:lang w:eastAsia="pt-BR"/>
        </w:rPr>
        <w:t>no 1S21.</w:t>
      </w:r>
    </w:p>
    <w:p w14:paraId="632BACA0" w14:textId="6B8B7078" w:rsidR="005573C3" w:rsidRDefault="004216E3" w:rsidP="005573C3">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Nos demais indicadores operacionais</w:t>
      </w:r>
      <w:r w:rsidR="00F727C1">
        <w:rPr>
          <w:rFonts w:eastAsia="Times New Roman" w:cs="Arial"/>
          <w:spacing w:val="-2"/>
          <w:szCs w:val="18"/>
          <w:lang w:eastAsia="pt-BR"/>
        </w:rPr>
        <w:t xml:space="preserve">, o comissionamento retraiu 2,6 p.p., em função de menores </w:t>
      </w:r>
      <w:r w:rsidR="005573C3" w:rsidRPr="00A26587">
        <w:rPr>
          <w:rFonts w:eastAsia="Times New Roman" w:cs="Arial"/>
          <w:spacing w:val="-2"/>
          <w:szCs w:val="18"/>
          <w:lang w:eastAsia="pt-BR"/>
        </w:rPr>
        <w:t>despesas com bônus de performance na emissão de prêmios dos seguros prestamista, enquanto o índice de despesas gerais e administrativas</w:t>
      </w:r>
      <w:r w:rsidR="00F727C1">
        <w:rPr>
          <w:rFonts w:eastAsia="Times New Roman" w:cs="Arial"/>
          <w:spacing w:val="-2"/>
          <w:szCs w:val="18"/>
          <w:lang w:eastAsia="pt-BR"/>
        </w:rPr>
        <w:t xml:space="preserve"> recuou 2,2 p.p. </w:t>
      </w:r>
      <w:r w:rsidR="005573C3" w:rsidRPr="00A26587">
        <w:rPr>
          <w:rFonts w:eastAsia="Times New Roman" w:cs="Arial"/>
          <w:spacing w:val="-2"/>
          <w:szCs w:val="18"/>
          <w:lang w:eastAsia="pt-BR"/>
        </w:rPr>
        <w:t>principalmente pelo menor volume de provisão para pagamento ao Fundo de Estabilidade do Seguro Rural.</w:t>
      </w:r>
    </w:p>
    <w:p w14:paraId="769F9533" w14:textId="77777777" w:rsidR="005573C3" w:rsidRPr="00A26587" w:rsidRDefault="005573C3" w:rsidP="00A26587">
      <w:pPr>
        <w:autoSpaceDE w:val="0"/>
        <w:autoSpaceDN w:val="0"/>
        <w:adjustRightInd w:val="0"/>
        <w:spacing w:before="120" w:after="120"/>
        <w:jc w:val="both"/>
        <w:rPr>
          <w:rFonts w:eastAsia="Times New Roman" w:cs="Arial"/>
          <w:spacing w:val="-2"/>
          <w:szCs w:val="18"/>
          <w:lang w:eastAsia="pt-BR"/>
        </w:rPr>
      </w:pPr>
    </w:p>
    <w:p w14:paraId="76F51E29" w14:textId="77777777" w:rsidR="00A26587" w:rsidRPr="007D328C" w:rsidRDefault="00A26587" w:rsidP="00A26587">
      <w:pPr>
        <w:pStyle w:val="03-SubttulodeNota"/>
        <w:spacing w:line="276" w:lineRule="auto"/>
        <w:rPr>
          <w:color w:val="1F4E79" w:themeColor="accent1" w:themeShade="80"/>
        </w:rPr>
      </w:pPr>
      <w:r w:rsidRPr="007D328C">
        <w:rPr>
          <w:color w:val="1F4E79" w:themeColor="accent1" w:themeShade="80"/>
        </w:rPr>
        <w:t>Brasilprev</w:t>
      </w:r>
    </w:p>
    <w:p w14:paraId="308055D5" w14:textId="67AC90D0" w:rsidR="007D328C" w:rsidRPr="007D328C" w:rsidRDefault="007D328C" w:rsidP="007D328C">
      <w:pPr>
        <w:jc w:val="both"/>
        <w:rPr>
          <w:rFonts w:eastAsia="Times New Roman" w:cs="Arial"/>
          <w:spacing w:val="-2"/>
          <w:szCs w:val="18"/>
          <w:lang w:eastAsia="pt-BR"/>
        </w:rPr>
      </w:pPr>
      <w:r w:rsidRPr="007D328C">
        <w:rPr>
          <w:rFonts w:eastAsia="Times New Roman" w:cs="Arial"/>
          <w:spacing w:val="-2"/>
          <w:szCs w:val="18"/>
          <w:lang w:eastAsia="pt-BR"/>
        </w:rPr>
        <w:t>No ano, o lucro líquido</w:t>
      </w:r>
      <w:r>
        <w:rPr>
          <w:rFonts w:eastAsia="Times New Roman" w:cs="Arial"/>
          <w:spacing w:val="-2"/>
          <w:szCs w:val="18"/>
          <w:lang w:eastAsia="pt-BR"/>
        </w:rPr>
        <w:t xml:space="preserve"> da operação de previdência</w:t>
      </w:r>
      <w:r w:rsidRPr="007D328C">
        <w:rPr>
          <w:rFonts w:eastAsia="Times New Roman" w:cs="Arial"/>
          <w:spacing w:val="-2"/>
          <w:szCs w:val="18"/>
          <w:lang w:eastAsia="pt-BR"/>
        </w:rPr>
        <w:t xml:space="preserve"> registrou crescimento de 10,6%, concentrado na melhora do resultado operacional, que </w:t>
      </w:r>
      <w:r w:rsidR="004F5BF3">
        <w:rPr>
          <w:rFonts w:eastAsia="Times New Roman" w:cs="Arial"/>
          <w:spacing w:val="-2"/>
          <w:szCs w:val="18"/>
          <w:lang w:eastAsia="pt-BR"/>
        </w:rPr>
        <w:t xml:space="preserve">registrou alta de </w:t>
      </w:r>
      <w:r w:rsidRPr="007D328C">
        <w:rPr>
          <w:rFonts w:eastAsia="Times New Roman" w:cs="Arial"/>
          <w:spacing w:val="-2"/>
          <w:szCs w:val="18"/>
          <w:lang w:eastAsia="pt-BR"/>
        </w:rPr>
        <w:t xml:space="preserve">11,4%. Por outro lado, o resultado financeiro no ano foi negativo em R$333,9 milhões, </w:t>
      </w:r>
      <w:r w:rsidR="004F5BF3">
        <w:rPr>
          <w:rFonts w:eastAsia="Times New Roman" w:cs="Arial"/>
          <w:spacing w:val="-2"/>
          <w:szCs w:val="18"/>
          <w:lang w:eastAsia="pt-BR"/>
        </w:rPr>
        <w:t>vs. -</w:t>
      </w:r>
      <w:r w:rsidRPr="007D328C">
        <w:rPr>
          <w:rFonts w:eastAsia="Times New Roman" w:cs="Arial"/>
          <w:spacing w:val="-2"/>
          <w:szCs w:val="18"/>
          <w:lang w:eastAsia="pt-BR"/>
        </w:rPr>
        <w:t>R$278,6 milhões</w:t>
      </w:r>
      <w:r w:rsidR="004F5BF3">
        <w:rPr>
          <w:rFonts w:eastAsia="Times New Roman" w:cs="Arial"/>
          <w:spacing w:val="-2"/>
          <w:szCs w:val="18"/>
          <w:lang w:eastAsia="pt-BR"/>
        </w:rPr>
        <w:t xml:space="preserve"> em 2020</w:t>
      </w:r>
      <w:r w:rsidRPr="007D328C">
        <w:rPr>
          <w:rFonts w:eastAsia="Times New Roman" w:cs="Arial"/>
          <w:spacing w:val="-2"/>
          <w:szCs w:val="18"/>
          <w:lang w:eastAsia="pt-BR"/>
        </w:rPr>
        <w:t xml:space="preserve">. Esse movimento é atribuído em grande parte ao resultado negativo de marcação a mercado gerado pela abertura da estrutura a termo da taxa de juros real, que impactou os títulos de renda fixa </w:t>
      </w:r>
      <w:r w:rsidR="00880F20">
        <w:rPr>
          <w:rFonts w:eastAsia="Times New Roman" w:cs="Arial"/>
          <w:spacing w:val="-2"/>
          <w:szCs w:val="18"/>
          <w:lang w:eastAsia="pt-BR"/>
        </w:rPr>
        <w:t xml:space="preserve">mantidos </w:t>
      </w:r>
      <w:r w:rsidRPr="007D328C">
        <w:rPr>
          <w:rFonts w:eastAsia="Times New Roman" w:cs="Arial"/>
          <w:spacing w:val="-2"/>
          <w:szCs w:val="18"/>
          <w:lang w:eastAsia="pt-BR"/>
        </w:rPr>
        <w:t xml:space="preserve">para negociação, enquanto o impacto do descasamento entre os índices de inflação que atualizam os ativos (IPCA e IGP-M do </w:t>
      </w:r>
      <w:r w:rsidRPr="007D328C">
        <w:rPr>
          <w:rFonts w:eastAsia="Times New Roman" w:cs="Arial"/>
          <w:spacing w:val="-2"/>
          <w:szCs w:val="18"/>
          <w:lang w:eastAsia="pt-BR"/>
        </w:rPr>
        <w:lastRenderedPageBreak/>
        <w:t>mês corrente) e passivos (IGP-M com um mês de defasagem) dos planos tradicionais foi menor que 2020 em função da alta do IPCA em ritmo superior ao IGP-M no 2º semestre de 2021. No ano, o aumento temporário da CSLL retirou R$44,9 milhões do lucro líquido da companhia.</w:t>
      </w:r>
    </w:p>
    <w:p w14:paraId="46699A4E" w14:textId="74A356E2" w:rsidR="007D328C" w:rsidRPr="007D328C" w:rsidRDefault="007D328C" w:rsidP="007D328C">
      <w:pPr>
        <w:jc w:val="both"/>
        <w:rPr>
          <w:rFonts w:eastAsia="Times New Roman" w:cs="Arial"/>
          <w:spacing w:val="-2"/>
          <w:szCs w:val="18"/>
          <w:lang w:eastAsia="pt-BR"/>
        </w:rPr>
      </w:pPr>
      <w:r w:rsidRPr="007D328C">
        <w:rPr>
          <w:rFonts w:eastAsia="Times New Roman" w:cs="Arial"/>
          <w:spacing w:val="-2"/>
          <w:szCs w:val="18"/>
          <w:lang w:eastAsia="pt-BR"/>
        </w:rPr>
        <w:t xml:space="preserve">Em captação líquida, o maior volume de </w:t>
      </w:r>
      <w:r>
        <w:rPr>
          <w:rFonts w:eastAsia="Times New Roman" w:cs="Arial"/>
          <w:spacing w:val="-2"/>
          <w:szCs w:val="18"/>
          <w:lang w:eastAsia="pt-BR"/>
        </w:rPr>
        <w:t>saídas de recursos para pagamento de despesas mensais e dívidas, resultado dos impactos econômicos gerados pela pandemia, e para a compra de imóveis em grandes capitais, além do aumento de resgates pagos ao segundo beneficiário em razão do falecimento do titular por Covid-19</w:t>
      </w:r>
      <w:r w:rsidRPr="007D328C">
        <w:rPr>
          <w:rFonts w:eastAsia="Times New Roman" w:cs="Arial"/>
          <w:spacing w:val="-2"/>
          <w:szCs w:val="18"/>
          <w:lang w:eastAsia="pt-BR"/>
        </w:rPr>
        <w:t>, mais que compensaram o incremento de 11,5% em contribuições e levaram a uma captação líquida negativa de R$783 milhões ao final de 2021.</w:t>
      </w:r>
    </w:p>
    <w:p w14:paraId="0AF5DE75" w14:textId="17E5A588" w:rsidR="00A26587" w:rsidRDefault="007D328C" w:rsidP="007D328C">
      <w:pPr>
        <w:pStyle w:val="03-SubttulodeNota"/>
        <w:spacing w:line="276" w:lineRule="auto"/>
        <w:rPr>
          <w:rFonts w:cs="Arial"/>
          <w:b w:val="0"/>
          <w:sz w:val="18"/>
          <w:szCs w:val="18"/>
        </w:rPr>
      </w:pPr>
      <w:r w:rsidRPr="007D328C">
        <w:rPr>
          <w:rFonts w:cs="Arial"/>
          <w:b w:val="0"/>
          <w:sz w:val="18"/>
          <w:szCs w:val="18"/>
        </w:rPr>
        <w:t>Já as receitas com taxa de gestão cresceram 8,2%, com taxa média de gestão 0,03 p.p. superior à reportada em 2020, refletindo a expansão na alocação de recursos para fundos multimercados e maior participação desses instrumentos no total de ativos sob gestão</w:t>
      </w:r>
      <w:r w:rsidR="0095634D">
        <w:rPr>
          <w:rFonts w:cs="Arial"/>
          <w:b w:val="0"/>
          <w:sz w:val="18"/>
          <w:szCs w:val="18"/>
        </w:rPr>
        <w:t xml:space="preserve">, passando de </w:t>
      </w:r>
      <w:r w:rsidR="00CF1C78">
        <w:rPr>
          <w:rFonts w:cs="Arial"/>
          <w:b w:val="0"/>
          <w:sz w:val="18"/>
          <w:szCs w:val="18"/>
        </w:rPr>
        <w:t>11% ao final de 2020 para 32% no fim de 2021.</w:t>
      </w:r>
    </w:p>
    <w:p w14:paraId="43CFD9AB" w14:textId="77777777" w:rsidR="007D328C" w:rsidRPr="007D328C" w:rsidRDefault="007D328C" w:rsidP="007D328C">
      <w:pPr>
        <w:pStyle w:val="01-Textonormal"/>
      </w:pPr>
    </w:p>
    <w:p w14:paraId="1563E534" w14:textId="77777777" w:rsidR="00A26587" w:rsidRPr="00761A6D" w:rsidRDefault="00A26587" w:rsidP="00A26587">
      <w:pPr>
        <w:pStyle w:val="03-SubttulodeNota"/>
        <w:spacing w:line="276" w:lineRule="auto"/>
        <w:rPr>
          <w:color w:val="1F4E79" w:themeColor="accent1" w:themeShade="80"/>
        </w:rPr>
      </w:pPr>
      <w:r w:rsidRPr="00761A6D">
        <w:rPr>
          <w:color w:val="1F4E79" w:themeColor="accent1" w:themeShade="80"/>
        </w:rPr>
        <w:t>Brasilcap</w:t>
      </w:r>
    </w:p>
    <w:p w14:paraId="429F6B47" w14:textId="2262F18B" w:rsidR="005F54ED" w:rsidRPr="005F54ED" w:rsidRDefault="005F54ED" w:rsidP="005F54ED">
      <w:pPr>
        <w:jc w:val="both"/>
        <w:rPr>
          <w:rFonts w:eastAsia="Times New Roman" w:cs="Arial"/>
          <w:spacing w:val="-2"/>
          <w:szCs w:val="18"/>
          <w:lang w:eastAsia="pt-BR"/>
        </w:rPr>
      </w:pPr>
      <w:r w:rsidRPr="005F54ED">
        <w:rPr>
          <w:rFonts w:eastAsia="Times New Roman" w:cs="Arial"/>
          <w:spacing w:val="-2"/>
          <w:szCs w:val="18"/>
          <w:lang w:eastAsia="pt-BR"/>
        </w:rPr>
        <w:t xml:space="preserve">Em 2021, o lucro líquido da operação de capitalização retraiu 97,8% em relação ao ano anterior, devido ao resultado financeiro negativo, explicado </w:t>
      </w:r>
      <w:r>
        <w:rPr>
          <w:rFonts w:eastAsia="Times New Roman" w:cs="Arial"/>
          <w:spacing w:val="-2"/>
          <w:szCs w:val="18"/>
          <w:lang w:eastAsia="pt-BR"/>
        </w:rPr>
        <w:t xml:space="preserve">pela realização de perda </w:t>
      </w:r>
      <w:r w:rsidR="00011C04">
        <w:rPr>
          <w:rFonts w:eastAsia="Times New Roman" w:cs="Arial"/>
          <w:spacing w:val="-2"/>
          <w:szCs w:val="18"/>
          <w:lang w:eastAsia="pt-BR"/>
        </w:rPr>
        <w:t>na venda</w:t>
      </w:r>
      <w:r>
        <w:rPr>
          <w:rFonts w:eastAsia="Times New Roman" w:cs="Arial"/>
          <w:spacing w:val="-2"/>
          <w:szCs w:val="18"/>
          <w:lang w:eastAsia="pt-BR"/>
        </w:rPr>
        <w:t xml:space="preserve"> títulos pré-fixados que estavam classificados na categoria disponível para venda, em estratégia de reconfiguração da carteira de investimentos após a abertura da curva de juros futuros, buscando elevar o nível de solvência regulatório e adequá-lo ao apetite a risco da companhia</w:t>
      </w:r>
      <w:r w:rsidRPr="005F54ED">
        <w:rPr>
          <w:rFonts w:eastAsia="Times New Roman" w:cs="Arial"/>
          <w:spacing w:val="-2"/>
          <w:szCs w:val="18"/>
          <w:lang w:eastAsia="pt-BR"/>
        </w:rPr>
        <w:t>. Por outro lado, a queda de 1,0 p.p. no índice de despesas gerais e administrativas e a redução de 1,4 p.p. no índice de comissionamento fizeram com que o resultado operacional crescesse 97,8% e compensasse parte da perda no financeiro. No ano, o aumento temporário da CSLL retirou R$8,9 milhões do lucro líquido da empresa.</w:t>
      </w:r>
    </w:p>
    <w:p w14:paraId="78E34B9F" w14:textId="10F0A446" w:rsidR="005F54ED" w:rsidRPr="005F54ED" w:rsidRDefault="005F54ED" w:rsidP="005F54ED">
      <w:pPr>
        <w:jc w:val="both"/>
        <w:rPr>
          <w:rFonts w:eastAsia="Times New Roman" w:cs="Arial"/>
          <w:spacing w:val="-2"/>
          <w:szCs w:val="18"/>
          <w:lang w:eastAsia="pt-BR"/>
        </w:rPr>
      </w:pPr>
      <w:r w:rsidRPr="005F54ED">
        <w:rPr>
          <w:rFonts w:eastAsia="Times New Roman" w:cs="Arial"/>
          <w:spacing w:val="-2"/>
          <w:szCs w:val="18"/>
          <w:lang w:eastAsia="pt-BR"/>
        </w:rPr>
        <w:t>A arrecadação com títulos de capitalização apresentou queda de 9,9%, explicada principalmente pela redução das vendas de títulos de pagamento único, parcialmente compensada pelo crescimento do ticket médio desses títulos e pelo aumento de 13,8% nas vendas de títulos de pagamento mensal, produto que apresenta maior recorrência para o resultado.</w:t>
      </w:r>
    </w:p>
    <w:p w14:paraId="6F1F8E15" w14:textId="45254522" w:rsidR="005F54ED" w:rsidRDefault="005F54ED" w:rsidP="005F54ED">
      <w:pPr>
        <w:jc w:val="both"/>
        <w:rPr>
          <w:rFonts w:eastAsia="Times New Roman" w:cs="Arial"/>
          <w:spacing w:val="-2"/>
          <w:szCs w:val="18"/>
          <w:lang w:eastAsia="pt-BR"/>
        </w:rPr>
      </w:pPr>
      <w:r w:rsidRPr="005F54ED">
        <w:rPr>
          <w:rFonts w:eastAsia="Times New Roman" w:cs="Arial"/>
          <w:spacing w:val="-2"/>
          <w:szCs w:val="18"/>
          <w:lang w:eastAsia="pt-BR"/>
        </w:rPr>
        <w:t xml:space="preserve">Já a receita com cota de carregamento contraiu 15,9%, em função da queda na arrecadação total e da redução de 0,8 p.p. na cota de carregamento média. </w:t>
      </w:r>
      <w:r w:rsidR="00FD1C08" w:rsidRPr="00FD1C08">
        <w:rPr>
          <w:rFonts w:eastAsia="Times New Roman" w:cs="Arial"/>
          <w:spacing w:val="-2"/>
          <w:szCs w:val="18"/>
          <w:lang w:eastAsia="pt-BR"/>
        </w:rPr>
        <w:t>A contração na cota de carregamento média é justificada pela maior concentração da arrecadação em parcelas recorrentes de títulos de pagamento mensal</w:t>
      </w:r>
      <w:r w:rsidR="00FD1C08">
        <w:rPr>
          <w:rFonts w:eastAsia="Times New Roman" w:cs="Arial"/>
          <w:spacing w:val="-2"/>
          <w:szCs w:val="18"/>
          <w:lang w:eastAsia="pt-BR"/>
        </w:rPr>
        <w:t xml:space="preserve">, </w:t>
      </w:r>
      <w:r w:rsidR="00FD1C08" w:rsidRPr="00FD1C08">
        <w:rPr>
          <w:rFonts w:eastAsia="Times New Roman" w:cs="Arial"/>
          <w:spacing w:val="-2"/>
          <w:szCs w:val="18"/>
          <w:lang w:eastAsia="pt-BR"/>
        </w:rPr>
        <w:t>que apresentam menores cotas se comparados às primeiras parcelas de títulos mensais</w:t>
      </w:r>
      <w:r w:rsidR="009859A7">
        <w:rPr>
          <w:rFonts w:eastAsia="Times New Roman" w:cs="Arial"/>
          <w:spacing w:val="-2"/>
          <w:szCs w:val="18"/>
          <w:lang w:eastAsia="pt-BR"/>
        </w:rPr>
        <w:t xml:space="preserve"> e às parcelas únicas dos títulos dessa categoria</w:t>
      </w:r>
      <w:r>
        <w:rPr>
          <w:rFonts w:eastAsia="Times New Roman" w:cs="Arial"/>
          <w:spacing w:val="-2"/>
          <w:szCs w:val="18"/>
          <w:lang w:eastAsia="pt-BR"/>
        </w:rPr>
        <w:t>.</w:t>
      </w:r>
    </w:p>
    <w:p w14:paraId="28AFF67C" w14:textId="77777777" w:rsidR="00A26587" w:rsidRPr="00FA31E9" w:rsidRDefault="00A26587" w:rsidP="00A26587">
      <w:pPr>
        <w:pStyle w:val="05-Textonormal"/>
        <w:rPr>
          <w:rFonts w:cs="Arial"/>
          <w:color w:val="FF0000"/>
          <w:highlight w:val="yellow"/>
        </w:rPr>
      </w:pPr>
    </w:p>
    <w:p w14:paraId="018FBB5B" w14:textId="77777777" w:rsidR="00A26587" w:rsidRPr="003B6A34" w:rsidRDefault="00A26587" w:rsidP="00A26587">
      <w:pPr>
        <w:pStyle w:val="03-SubttulodeNota"/>
        <w:spacing w:line="276" w:lineRule="auto"/>
        <w:rPr>
          <w:color w:val="1F4E79" w:themeColor="accent1" w:themeShade="80"/>
        </w:rPr>
      </w:pPr>
      <w:r w:rsidRPr="003B6A34">
        <w:rPr>
          <w:color w:val="1F4E79" w:themeColor="accent1" w:themeShade="80"/>
        </w:rPr>
        <w:t>Brasildental</w:t>
      </w:r>
    </w:p>
    <w:p w14:paraId="7CC9A12B" w14:textId="5330ACBF" w:rsidR="003B6A34" w:rsidRPr="003B6A34" w:rsidRDefault="00A26587" w:rsidP="00A26587">
      <w:pPr>
        <w:pStyle w:val="05-Textonormal"/>
        <w:rPr>
          <w:rFonts w:cs="Arial"/>
        </w:rPr>
      </w:pPr>
      <w:r w:rsidRPr="003B6A34">
        <w:rPr>
          <w:rFonts w:cs="Arial"/>
        </w:rPr>
        <w:t xml:space="preserve">No segmento de planos odontológicos, operado pela Brasildental, o lucro líquido </w:t>
      </w:r>
      <w:r w:rsidR="003B6A34" w:rsidRPr="003B6A34">
        <w:rPr>
          <w:rFonts w:cs="Arial"/>
        </w:rPr>
        <w:t>contraiu 3,5</w:t>
      </w:r>
      <w:r w:rsidRPr="003B6A34">
        <w:rPr>
          <w:rFonts w:cs="Arial"/>
        </w:rPr>
        <w:t>% em 202</w:t>
      </w:r>
      <w:r w:rsidR="003B6A34" w:rsidRPr="003B6A34">
        <w:rPr>
          <w:rFonts w:cs="Arial"/>
        </w:rPr>
        <w:t xml:space="preserve">1. O desempenho é justificado pela piora de 2,2 p.p.na margem EBITDA, </w:t>
      </w:r>
      <w:r w:rsidR="00FD1C08">
        <w:rPr>
          <w:rFonts w:cs="Arial"/>
        </w:rPr>
        <w:t xml:space="preserve">que </w:t>
      </w:r>
      <w:r w:rsidR="003B6A34" w:rsidRPr="003B6A34">
        <w:rPr>
          <w:rFonts w:cs="Arial"/>
        </w:rPr>
        <w:t>atingi</w:t>
      </w:r>
      <w:r w:rsidR="00FD1C08">
        <w:rPr>
          <w:rFonts w:cs="Arial"/>
        </w:rPr>
        <w:t>u</w:t>
      </w:r>
      <w:r w:rsidR="003B6A34" w:rsidRPr="003B6A34">
        <w:rPr>
          <w:rFonts w:cs="Arial"/>
        </w:rPr>
        <w:t xml:space="preserve"> 30,9% no ano, impactada pelo aumento tanto da sinistralidade como das despesas gerais e administrativas. Em 2021, a receita operacional bruta totalizou R$119,5 milhões, equivalente a um acréscimo de 2,9% em relação ao ano anterior</w:t>
      </w:r>
      <w:r w:rsidR="00FD1C08">
        <w:rPr>
          <w:rFonts w:cs="Arial"/>
        </w:rPr>
        <w:t>, apesar da queda de 1,3% na quantidade de vidas seguradas.</w:t>
      </w:r>
    </w:p>
    <w:p w14:paraId="3A0037B1" w14:textId="77777777" w:rsidR="00A26587" w:rsidRPr="00FA31E9" w:rsidRDefault="00A26587" w:rsidP="00A26587">
      <w:pPr>
        <w:pStyle w:val="05-Textonormal"/>
        <w:rPr>
          <w:rFonts w:cs="Arial"/>
          <w:highlight w:val="yellow"/>
        </w:rPr>
      </w:pPr>
    </w:p>
    <w:p w14:paraId="35655016" w14:textId="77777777" w:rsidR="00A26587" w:rsidRPr="00552B23" w:rsidRDefault="00A26587" w:rsidP="00A26587">
      <w:pPr>
        <w:pStyle w:val="03-SubttulodeNota"/>
        <w:spacing w:line="276" w:lineRule="auto"/>
        <w:rPr>
          <w:color w:val="1F4E79" w:themeColor="accent1" w:themeShade="80"/>
        </w:rPr>
      </w:pPr>
      <w:r w:rsidRPr="00552B23">
        <w:rPr>
          <w:color w:val="1F4E79" w:themeColor="accent1" w:themeShade="80"/>
        </w:rPr>
        <w:t>BB Corretora</w:t>
      </w:r>
    </w:p>
    <w:p w14:paraId="4110EE69" w14:textId="4EC0BB31" w:rsidR="009122E9" w:rsidRDefault="009D60C3" w:rsidP="00A26587">
      <w:pPr>
        <w:pStyle w:val="01-Textonormal"/>
      </w:pPr>
      <w:r w:rsidRPr="009D60C3">
        <w:t xml:space="preserve">No acumulado do ano, o lucro líquido </w:t>
      </w:r>
      <w:r w:rsidR="00A239A0">
        <w:t xml:space="preserve">em bases recorrentes, que </w:t>
      </w:r>
      <w:r w:rsidR="003E23FC">
        <w:t>exclui</w:t>
      </w:r>
      <w:r w:rsidR="00A239A0">
        <w:t xml:space="preserve"> do resultado o efeito líquido da doação de R$40 milhões realizada em 2020,</w:t>
      </w:r>
      <w:r w:rsidRPr="009D60C3">
        <w:t xml:space="preserve"> </w:t>
      </w:r>
      <w:r w:rsidR="00A239A0">
        <w:t xml:space="preserve">cresceu </w:t>
      </w:r>
      <w:r w:rsidRPr="009D60C3">
        <w:t>8,3%, movimento explicado pelos crescimentos de 7,9% das receitas de corretagem e de 130,4% do resultado financeiro</w:t>
      </w:r>
      <w:r w:rsidR="009122E9">
        <w:t>, esse último em função de altas na taxa média Selic e no saldo médio de aplicações</w:t>
      </w:r>
      <w:r w:rsidRPr="009D60C3">
        <w:t xml:space="preserve">. </w:t>
      </w:r>
    </w:p>
    <w:p w14:paraId="4BD7D11C" w14:textId="1D498EC8" w:rsidR="00F307FC" w:rsidRDefault="009122E9" w:rsidP="00A26587">
      <w:pPr>
        <w:pStyle w:val="01-Textonormal"/>
      </w:pPr>
      <w:r>
        <w:t>Já a expansão da</w:t>
      </w:r>
      <w:r w:rsidR="00F307FC">
        <w:t xml:space="preserve"> </w:t>
      </w:r>
      <w:r>
        <w:t>corretagem é explicada por aumento nas receitas oriundas de seguros, pelo bom desempenho comercial do rural, vida e residencial no ano, e por alta de receitas</w:t>
      </w:r>
      <w:r w:rsidR="00A239A0">
        <w:t xml:space="preserve"> de comissões</w:t>
      </w:r>
      <w:r>
        <w:t xml:space="preserve"> vindas de previdência, </w:t>
      </w:r>
      <w:r w:rsidR="00F307FC">
        <w:t>com aumento das vendas e maior concentração do mix em produtos com comissionamento mais elevado.</w:t>
      </w:r>
    </w:p>
    <w:bookmarkEnd w:id="3"/>
    <w:p w14:paraId="22546695" w14:textId="1FF39EED" w:rsidR="00A26587" w:rsidRDefault="00A26587" w:rsidP="00402DCE">
      <w:pPr>
        <w:pStyle w:val="05-Textonormal"/>
        <w:rPr>
          <w:rFonts w:cs="Arial"/>
          <w:highlight w:val="yellow"/>
        </w:rPr>
      </w:pPr>
    </w:p>
    <w:p w14:paraId="08E31D5D"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DESEMPENHO DAS AÇÕES E RELACIONAMENTO COM O MERCADO</w:t>
      </w:r>
    </w:p>
    <w:p w14:paraId="0BEA1C74" w14:textId="5D4DF15B" w:rsidR="00C81A16" w:rsidRPr="00723526" w:rsidRDefault="00C81A16" w:rsidP="00C81A16">
      <w:pPr>
        <w:pStyle w:val="05-Textonormal"/>
        <w:rPr>
          <w:rFonts w:cs="Arial"/>
        </w:rPr>
      </w:pPr>
      <w:r w:rsidRPr="00723526">
        <w:rPr>
          <w:rFonts w:cs="Arial"/>
        </w:rPr>
        <w:t>As ações da BB Seguridade, negociadas na B3 – Brasil, Bolsa, Balcão (“B3”) sob o código BBSE3, encerraram o ano cotadas a R$</w:t>
      </w:r>
      <w:r w:rsidR="00723526" w:rsidRPr="00723526">
        <w:rPr>
          <w:rFonts w:cs="Arial"/>
        </w:rPr>
        <w:t>20,75</w:t>
      </w:r>
      <w:r w:rsidRPr="00723526">
        <w:rPr>
          <w:rFonts w:cs="Arial"/>
        </w:rPr>
        <w:t>. Com base na cotação de encerramento do exercício, o valor de mercado da BB Seguridade atingiu R$</w:t>
      </w:r>
      <w:r w:rsidR="00723526" w:rsidRPr="00723526">
        <w:rPr>
          <w:rFonts w:cs="Arial"/>
        </w:rPr>
        <w:t>41,5</w:t>
      </w:r>
      <w:r w:rsidRPr="00723526">
        <w:rPr>
          <w:rFonts w:cs="Arial"/>
        </w:rPr>
        <w:t xml:space="preserve"> bilhões, posicionando a Companhia como a </w:t>
      </w:r>
      <w:r w:rsidR="00723526" w:rsidRPr="00723526">
        <w:rPr>
          <w:rFonts w:cs="Arial"/>
        </w:rPr>
        <w:t>20</w:t>
      </w:r>
      <w:r w:rsidRPr="00723526">
        <w:rPr>
          <w:rFonts w:cs="Arial"/>
        </w:rPr>
        <w:t xml:space="preserve">ª maior empresa listada na bolsa brasileira pelo critério de valor de mercado. </w:t>
      </w:r>
    </w:p>
    <w:p w14:paraId="2F52534D" w14:textId="265DFB94" w:rsidR="00C81A16" w:rsidRPr="00723526" w:rsidRDefault="00C81A16" w:rsidP="00C81A16">
      <w:pPr>
        <w:pStyle w:val="05-Textonormal"/>
        <w:rPr>
          <w:rFonts w:cs="Arial"/>
        </w:rPr>
      </w:pPr>
      <w:r w:rsidRPr="00723526">
        <w:rPr>
          <w:rFonts w:cs="Arial"/>
        </w:rPr>
        <w:t>Em 202</w:t>
      </w:r>
      <w:r w:rsidR="00723526" w:rsidRPr="00723526">
        <w:rPr>
          <w:rFonts w:cs="Arial"/>
        </w:rPr>
        <w:t>1</w:t>
      </w:r>
      <w:r w:rsidRPr="00723526">
        <w:rPr>
          <w:rFonts w:cs="Arial"/>
        </w:rPr>
        <w:t>, o volume financeiro médio diário de negociação com ações da Companhia foi de R$1</w:t>
      </w:r>
      <w:r w:rsidR="00723526" w:rsidRPr="00723526">
        <w:rPr>
          <w:rFonts w:cs="Arial"/>
        </w:rPr>
        <w:t>25,9</w:t>
      </w:r>
      <w:r w:rsidRPr="00723526">
        <w:rPr>
          <w:rFonts w:cs="Arial"/>
        </w:rPr>
        <w:t xml:space="preserve"> milhões.</w:t>
      </w:r>
    </w:p>
    <w:p w14:paraId="04527D8E" w14:textId="36DE84C5" w:rsidR="00C81A16" w:rsidRPr="00DC3779" w:rsidRDefault="00C81A16" w:rsidP="00C81A16">
      <w:pPr>
        <w:pStyle w:val="05-Textonormal"/>
        <w:rPr>
          <w:rFonts w:cs="Arial"/>
        </w:rPr>
      </w:pPr>
      <w:r w:rsidRPr="00DC3779">
        <w:rPr>
          <w:rFonts w:cs="Arial"/>
        </w:rPr>
        <w:t>As ações da BB Seguridade encerraram o exercício integrando as carteiras teóricas do Ibovespa,</w:t>
      </w:r>
      <w:r w:rsidR="00723526" w:rsidRPr="00DC3779">
        <w:rPr>
          <w:rFonts w:cs="Arial"/>
        </w:rPr>
        <w:t xml:space="preserve"> </w:t>
      </w:r>
      <w:r w:rsidRPr="00DC3779">
        <w:rPr>
          <w:rFonts w:cs="Arial"/>
        </w:rPr>
        <w:t xml:space="preserve">IBrX 100, IBrA, Índice BM&amp;FBOVESPA Financeiro (IFNC), </w:t>
      </w:r>
      <w:r w:rsidRPr="00DC3779">
        <w:rPr>
          <w:rStyle w:val="nfase"/>
          <w:rFonts w:eastAsia="Calibri" w:cs="Arial"/>
          <w:bCs/>
        </w:rPr>
        <w:t xml:space="preserve">Índice de Ações com Governança Corporativa Diferenciada (IGC), </w:t>
      </w:r>
      <w:r w:rsidRPr="00DC3779">
        <w:rPr>
          <w:rFonts w:cs="Arial"/>
        </w:rPr>
        <w:t>Índice de Governança Corporativa Trade (IGCT), Índice de Ações com Governança Corporativa – Novo Mercado (IGC-NM), Índice de Ações com Tag Along Diferenciado (ITAG), Índice Dividendos BM&amp;FBovespa (IDIV), Índice MidLarge Cap (MLCX), Índice Valor BM&amp;FBovespa (IVBX), Índice MSCI Brazil, Índice de Equidade de Gênero da Bloomberg (Bloomberg Gender-Equality Index) e Índice FTSE4Good.</w:t>
      </w:r>
    </w:p>
    <w:p w14:paraId="6BA7561F" w14:textId="0A0DBEBD" w:rsidR="00C81A16" w:rsidRPr="00DC3779" w:rsidRDefault="00C81A16" w:rsidP="00C81A16">
      <w:pPr>
        <w:pStyle w:val="05-Textonormal"/>
        <w:rPr>
          <w:rFonts w:cs="Arial"/>
        </w:rPr>
      </w:pPr>
      <w:r w:rsidRPr="00DC3779">
        <w:rPr>
          <w:rFonts w:cs="Arial"/>
        </w:rPr>
        <w:lastRenderedPageBreak/>
        <w:t xml:space="preserve">Desde março de 2014, a BB Seguridade mantém Programa de </w:t>
      </w:r>
      <w:r w:rsidRPr="00DC3779">
        <w:rPr>
          <w:rFonts w:cs="Arial"/>
          <w:i/>
        </w:rPr>
        <w:t>American Depositary Receipts</w:t>
      </w:r>
      <w:r w:rsidRPr="00DC3779">
        <w:rPr>
          <w:rFonts w:cs="Arial"/>
        </w:rPr>
        <w:t xml:space="preserve"> (“ADR”) Nível I. Atualmente, os ADRs são emitidos pelo Citibank, com lastro nas ações ordinárias (ON) da Companhia, na relação de 1 ADR: 1 ON, e negociados em mercado de balcão norte-americano (O</w:t>
      </w:r>
      <w:r w:rsidRPr="00DC3779">
        <w:rPr>
          <w:rFonts w:cs="Arial"/>
          <w:i/>
        </w:rPr>
        <w:t>ver-The-Counter</w:t>
      </w:r>
      <w:r w:rsidRPr="00DC3779">
        <w:rPr>
          <w:rFonts w:cs="Arial"/>
        </w:rPr>
        <w:t>). Ao final do exercício, o programa contava com mais de 1</w:t>
      </w:r>
      <w:r w:rsidR="00DC3779" w:rsidRPr="00DC3779">
        <w:rPr>
          <w:rFonts w:cs="Arial"/>
        </w:rPr>
        <w:t>8,5</w:t>
      </w:r>
      <w:r w:rsidRPr="00DC3779">
        <w:rPr>
          <w:rFonts w:cs="Arial"/>
        </w:rPr>
        <w:t xml:space="preserve"> milhões de ADRs emitidos, cotados a US$</w:t>
      </w:r>
      <w:r w:rsidR="00DC3779" w:rsidRPr="00DC3779">
        <w:rPr>
          <w:rFonts w:cs="Arial"/>
        </w:rPr>
        <w:t>3,73</w:t>
      </w:r>
      <w:r w:rsidRPr="00DC3779">
        <w:rPr>
          <w:rFonts w:cs="Arial"/>
        </w:rPr>
        <w:t xml:space="preserve"> por recibo depositário.</w:t>
      </w:r>
    </w:p>
    <w:p w14:paraId="0D9FE38B" w14:textId="77777777" w:rsidR="00C81A16" w:rsidRPr="00860655" w:rsidRDefault="00C81A16" w:rsidP="00C81A16">
      <w:pPr>
        <w:pStyle w:val="05-Textonormal"/>
        <w:rPr>
          <w:rFonts w:cs="Arial"/>
        </w:rPr>
      </w:pPr>
      <w:r w:rsidRPr="00860655">
        <w:rPr>
          <w:rFonts w:cs="Arial"/>
        </w:rPr>
        <w:t>Abaixo, apresentamos os principais indicadores para o desempenho das ações da BB Seguridade nos últimos dois exercícios:</w:t>
      </w:r>
    </w:p>
    <w:p w14:paraId="49E8FDC6" w14:textId="77777777" w:rsidR="00C81A16" w:rsidRPr="00860655" w:rsidRDefault="00C81A16" w:rsidP="00C81A16">
      <w:pPr>
        <w:pStyle w:val="01-TtulodeNota"/>
        <w:rPr>
          <w:b w:val="0"/>
          <w:sz w:val="14"/>
        </w:rPr>
      </w:pPr>
      <w:r w:rsidRPr="00860655">
        <w:rPr>
          <w:rFonts w:cs="Arial"/>
          <w:b w:val="0"/>
          <w:sz w:val="14"/>
          <w:szCs w:val="14"/>
        </w:rPr>
        <w:t xml:space="preserve">Tabela </w:t>
      </w:r>
      <w:r w:rsidRPr="00860655">
        <w:rPr>
          <w:rFonts w:cs="Arial"/>
          <w:b w:val="0"/>
          <w:sz w:val="14"/>
          <w:szCs w:val="14"/>
        </w:rPr>
        <w:fldChar w:fldCharType="begin"/>
      </w:r>
      <w:r w:rsidRPr="00860655">
        <w:rPr>
          <w:rFonts w:cs="Arial"/>
          <w:b w:val="0"/>
          <w:sz w:val="14"/>
          <w:szCs w:val="14"/>
        </w:rPr>
        <w:instrText xml:space="preserve"> SEQ Tabela \* ARABIC </w:instrText>
      </w:r>
      <w:r w:rsidRPr="00860655">
        <w:rPr>
          <w:rFonts w:cs="Arial"/>
          <w:b w:val="0"/>
          <w:sz w:val="14"/>
          <w:szCs w:val="14"/>
        </w:rPr>
        <w:fldChar w:fldCharType="separate"/>
      </w:r>
      <w:r w:rsidRPr="00860655">
        <w:rPr>
          <w:rFonts w:cs="Arial"/>
          <w:b w:val="0"/>
          <w:noProof/>
          <w:sz w:val="14"/>
          <w:szCs w:val="14"/>
        </w:rPr>
        <w:t>4</w:t>
      </w:r>
      <w:r w:rsidRPr="00860655">
        <w:rPr>
          <w:rFonts w:cs="Arial"/>
          <w:b w:val="0"/>
          <w:noProof/>
          <w:sz w:val="14"/>
          <w:szCs w:val="14"/>
        </w:rPr>
        <w:fldChar w:fldCharType="end"/>
      </w:r>
      <w:r w:rsidRPr="00860655">
        <w:rPr>
          <w:b w:val="0"/>
          <w:sz w:val="14"/>
        </w:rPr>
        <w:t xml:space="preserve"> – </w:t>
      </w:r>
      <w:r w:rsidRPr="00860655">
        <w:rPr>
          <w:rFonts w:cs="Arial"/>
          <w:b w:val="0"/>
          <w:sz w:val="14"/>
        </w:rPr>
        <w:t>Desempenho das Ações</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C81A16" w:rsidRPr="00860655" w14:paraId="64D21C09" w14:textId="77777777" w:rsidTr="00C81A16">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8EAADB" w:themeColor="accent5" w:themeTint="99"/>
              <w:right w:val="nil"/>
            </w:tcBorders>
            <w:vAlign w:val="center"/>
          </w:tcPr>
          <w:p w14:paraId="0A5C6A34" w14:textId="77777777" w:rsidR="00C81A16" w:rsidRPr="00860655" w:rsidRDefault="00C81A16">
            <w:pPr>
              <w:pStyle w:val="08-Tabelageral"/>
              <w:jc w:val="left"/>
              <w:rPr>
                <w:rFonts w:cs="Arial"/>
                <w:bCs w:val="0"/>
                <w:szCs w:val="14"/>
                <w:lang w:eastAsia="en-US"/>
              </w:rPr>
            </w:pPr>
          </w:p>
        </w:tc>
        <w:tc>
          <w:tcPr>
            <w:tcW w:w="281" w:type="dxa"/>
            <w:tcBorders>
              <w:top w:val="nil"/>
              <w:left w:val="nil"/>
              <w:bottom w:val="single" w:sz="2" w:space="0" w:color="8EAADB" w:themeColor="accent5" w:themeTint="99"/>
              <w:right w:val="nil"/>
            </w:tcBorders>
            <w:vAlign w:val="center"/>
          </w:tcPr>
          <w:p w14:paraId="1662F521"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4" w:type="dxa"/>
            <w:tcBorders>
              <w:top w:val="nil"/>
              <w:left w:val="nil"/>
              <w:bottom w:val="single" w:sz="2" w:space="0" w:color="8EAADB" w:themeColor="accent5" w:themeTint="99"/>
              <w:right w:val="nil"/>
            </w:tcBorders>
            <w:vAlign w:val="center"/>
          </w:tcPr>
          <w:p w14:paraId="6D62BB37"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5" w:type="dxa"/>
            <w:gridSpan w:val="2"/>
            <w:tcBorders>
              <w:top w:val="nil"/>
              <w:left w:val="nil"/>
              <w:bottom w:val="single" w:sz="2" w:space="0" w:color="8EAADB" w:themeColor="accent5" w:themeTint="99"/>
              <w:right w:val="nil"/>
            </w:tcBorders>
            <w:vAlign w:val="center"/>
          </w:tcPr>
          <w:p w14:paraId="7FB53113"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2241" w:type="dxa"/>
            <w:gridSpan w:val="2"/>
            <w:tcBorders>
              <w:top w:val="nil"/>
              <w:left w:val="nil"/>
              <w:bottom w:val="single" w:sz="2" w:space="0" w:color="8EAADB" w:themeColor="accent5" w:themeTint="99"/>
              <w:right w:val="nil"/>
            </w:tcBorders>
            <w:vAlign w:val="center"/>
          </w:tcPr>
          <w:p w14:paraId="6528AF18" w14:textId="77777777" w:rsidR="00C81A16" w:rsidRPr="00860655" w:rsidRDefault="00C81A16">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DC3779" w:rsidRPr="00860655" w14:paraId="3FC241C0" w14:textId="77777777" w:rsidTr="00C81A16">
        <w:trPr>
          <w:cnfStyle w:val="000000100000" w:firstRow="0" w:lastRow="0" w:firstColumn="0" w:lastColumn="0" w:oddVBand="0" w:evenVBand="0" w:oddHBand="1" w:evenHBand="0"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left w:val="nil"/>
              <w:bottom w:val="nil"/>
              <w:right w:val="nil"/>
            </w:tcBorders>
            <w:vAlign w:val="center"/>
          </w:tcPr>
          <w:p w14:paraId="6B8A69D2" w14:textId="77777777" w:rsidR="00DC3779" w:rsidRPr="00860655" w:rsidRDefault="00DC3779" w:rsidP="00DC3779">
            <w:pPr>
              <w:pStyle w:val="08-Tabelageral"/>
              <w:jc w:val="left"/>
              <w:rPr>
                <w:rFonts w:cs="Arial"/>
                <w:b w:val="0"/>
                <w:snapToGrid w:val="0"/>
                <w:lang w:eastAsia="en-US"/>
              </w:rPr>
            </w:pPr>
          </w:p>
        </w:tc>
        <w:tc>
          <w:tcPr>
            <w:tcW w:w="281" w:type="dxa"/>
            <w:tcBorders>
              <w:top w:val="single" w:sz="2" w:space="0" w:color="8EAADB" w:themeColor="accent5" w:themeTint="99"/>
              <w:left w:val="nil"/>
              <w:bottom w:val="nil"/>
              <w:right w:val="nil"/>
            </w:tcBorders>
            <w:vAlign w:val="center"/>
          </w:tcPr>
          <w:p w14:paraId="380A945A" w14:textId="77777777"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gridSpan w:val="2"/>
            <w:tcBorders>
              <w:top w:val="single" w:sz="2" w:space="0" w:color="8EAADB" w:themeColor="accent5" w:themeTint="99"/>
              <w:left w:val="nil"/>
              <w:bottom w:val="nil"/>
              <w:right w:val="nil"/>
            </w:tcBorders>
            <w:vAlign w:val="center"/>
            <w:hideMark/>
          </w:tcPr>
          <w:p w14:paraId="08EA0C4D" w14:textId="77777777"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Unidade</w:t>
            </w:r>
          </w:p>
        </w:tc>
        <w:tc>
          <w:tcPr>
            <w:tcW w:w="1843" w:type="dxa"/>
            <w:gridSpan w:val="2"/>
            <w:tcBorders>
              <w:top w:val="single" w:sz="2" w:space="0" w:color="8EAADB" w:themeColor="accent5" w:themeTint="99"/>
              <w:left w:val="nil"/>
              <w:bottom w:val="nil"/>
              <w:right w:val="nil"/>
            </w:tcBorders>
            <w:vAlign w:val="center"/>
            <w:hideMark/>
          </w:tcPr>
          <w:p w14:paraId="15E6A404" w14:textId="7A27C582"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Exercício/2021</w:t>
            </w:r>
          </w:p>
        </w:tc>
        <w:tc>
          <w:tcPr>
            <w:tcW w:w="1844" w:type="dxa"/>
            <w:tcBorders>
              <w:top w:val="single" w:sz="2" w:space="0" w:color="8EAADB" w:themeColor="accent5" w:themeTint="99"/>
              <w:left w:val="nil"/>
              <w:bottom w:val="nil"/>
              <w:right w:val="nil"/>
            </w:tcBorders>
            <w:vAlign w:val="center"/>
            <w:hideMark/>
          </w:tcPr>
          <w:p w14:paraId="4C2EF037" w14:textId="424EA2C6"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Exercício/2020</w:t>
            </w:r>
          </w:p>
        </w:tc>
      </w:tr>
      <w:tr w:rsidR="00DC3779" w:rsidRPr="00860655" w14:paraId="76AFDF3D" w14:textId="77777777" w:rsidTr="00C81A16">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1A613F70" w14:textId="77777777" w:rsidR="00DC3779" w:rsidRPr="00860655" w:rsidRDefault="00DC3779" w:rsidP="00DC3779">
            <w:pPr>
              <w:pStyle w:val="08-Tabelageral"/>
              <w:jc w:val="left"/>
              <w:rPr>
                <w:rFonts w:cs="Arial"/>
                <w:b w:val="0"/>
                <w:snapToGrid w:val="0"/>
                <w:lang w:eastAsia="en-US"/>
              </w:rPr>
            </w:pPr>
            <w:r w:rsidRPr="00860655">
              <w:rPr>
                <w:rFonts w:cs="Arial"/>
                <w:b w:val="0"/>
                <w:lang w:eastAsia="en-US"/>
              </w:rPr>
              <w:t>Lucro ajustado por ação</w:t>
            </w:r>
          </w:p>
        </w:tc>
        <w:tc>
          <w:tcPr>
            <w:tcW w:w="281" w:type="dxa"/>
            <w:tcBorders>
              <w:top w:val="nil"/>
              <w:left w:val="nil"/>
              <w:bottom w:val="nil"/>
              <w:right w:val="nil"/>
            </w:tcBorders>
            <w:vAlign w:val="center"/>
          </w:tcPr>
          <w:p w14:paraId="1FCB799D" w14:textId="77777777" w:rsidR="00DC3779" w:rsidRPr="00860655"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5C055247" w14:textId="77777777" w:rsidR="00DC3779" w:rsidRPr="00860655"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eastAsia="en-US"/>
              </w:rPr>
              <w:t>R$</w:t>
            </w:r>
          </w:p>
        </w:tc>
        <w:tc>
          <w:tcPr>
            <w:tcW w:w="1843" w:type="dxa"/>
            <w:gridSpan w:val="2"/>
            <w:tcBorders>
              <w:top w:val="nil"/>
              <w:left w:val="nil"/>
              <w:bottom w:val="nil"/>
              <w:right w:val="nil"/>
            </w:tcBorders>
            <w:hideMark/>
          </w:tcPr>
          <w:p w14:paraId="53324A41" w14:textId="01069F3B" w:rsidR="00DC3779" w:rsidRPr="00860655" w:rsidRDefault="00DC3779" w:rsidP="00DC3779">
            <w:pPr>
              <w:pStyle w:val="08-Tabelageral"/>
              <w:ind w:left="708"/>
              <w:cnfStyle w:val="000000000000" w:firstRow="0" w:lastRow="0" w:firstColumn="0" w:lastColumn="0" w:oddVBand="0" w:evenVBand="0" w:oddHBand="0" w:evenHBand="0" w:firstRowFirstColumn="0" w:firstRowLastColumn="0" w:lastRowFirstColumn="0" w:lastRowLastColumn="0"/>
              <w:rPr>
                <w:rFonts w:cs="Arial"/>
                <w:color w:val="FF0000"/>
                <w:lang w:eastAsia="en-US"/>
              </w:rPr>
            </w:pPr>
            <w:r w:rsidRPr="00860655">
              <w:rPr>
                <w:rFonts w:cs="Arial"/>
                <w:lang w:eastAsia="en-US"/>
              </w:rPr>
              <w:t>1,9</w:t>
            </w:r>
            <w:r w:rsidR="00860655" w:rsidRPr="00860655">
              <w:rPr>
                <w:rFonts w:cs="Arial"/>
                <w:lang w:eastAsia="en-US"/>
              </w:rPr>
              <w:t>7</w:t>
            </w:r>
          </w:p>
        </w:tc>
        <w:tc>
          <w:tcPr>
            <w:tcW w:w="1844" w:type="dxa"/>
            <w:tcBorders>
              <w:top w:val="nil"/>
              <w:left w:val="nil"/>
              <w:bottom w:val="nil"/>
              <w:right w:val="nil"/>
            </w:tcBorders>
            <w:hideMark/>
          </w:tcPr>
          <w:p w14:paraId="4B577EFF" w14:textId="46F6801D" w:rsidR="00DC3779" w:rsidRPr="00860655"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eastAsia="en-US"/>
              </w:rPr>
              <w:t>1,94</w:t>
            </w:r>
          </w:p>
        </w:tc>
      </w:tr>
      <w:tr w:rsidR="00DC3779" w:rsidRPr="00FA31E9" w14:paraId="0DC0C39A"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41428DC" w14:textId="77777777" w:rsidR="00DC3779" w:rsidRPr="00860655" w:rsidRDefault="00DC3779" w:rsidP="00DC3779">
            <w:pPr>
              <w:pStyle w:val="08-Tabelageral"/>
              <w:jc w:val="left"/>
              <w:rPr>
                <w:rFonts w:cs="Arial"/>
                <w:b w:val="0"/>
                <w:snapToGrid w:val="0"/>
                <w:lang w:eastAsia="en-US"/>
              </w:rPr>
            </w:pPr>
            <w:r w:rsidRPr="00860655">
              <w:rPr>
                <w:rFonts w:cs="Arial"/>
                <w:b w:val="0"/>
                <w:lang w:eastAsia="en-US"/>
              </w:rPr>
              <w:t>Valor patrimonial por ação</w:t>
            </w:r>
          </w:p>
        </w:tc>
        <w:tc>
          <w:tcPr>
            <w:tcW w:w="281" w:type="dxa"/>
            <w:tcBorders>
              <w:top w:val="nil"/>
              <w:left w:val="nil"/>
              <w:bottom w:val="nil"/>
              <w:right w:val="nil"/>
            </w:tcBorders>
            <w:vAlign w:val="center"/>
          </w:tcPr>
          <w:p w14:paraId="247069F3" w14:textId="77777777"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079D4395" w14:textId="77777777"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R$</w:t>
            </w:r>
          </w:p>
        </w:tc>
        <w:tc>
          <w:tcPr>
            <w:tcW w:w="1843" w:type="dxa"/>
            <w:gridSpan w:val="2"/>
            <w:tcBorders>
              <w:top w:val="nil"/>
              <w:left w:val="nil"/>
              <w:bottom w:val="nil"/>
              <w:right w:val="nil"/>
            </w:tcBorders>
            <w:hideMark/>
          </w:tcPr>
          <w:p w14:paraId="3736565D" w14:textId="452FD2AB"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3,</w:t>
            </w:r>
            <w:r w:rsidR="00860655" w:rsidRPr="00860655">
              <w:rPr>
                <w:rFonts w:cs="Arial"/>
                <w:color w:val="auto"/>
                <w:lang w:eastAsia="en-US"/>
              </w:rPr>
              <w:t>64</w:t>
            </w:r>
          </w:p>
        </w:tc>
        <w:tc>
          <w:tcPr>
            <w:tcW w:w="1844" w:type="dxa"/>
            <w:tcBorders>
              <w:top w:val="nil"/>
              <w:left w:val="nil"/>
              <w:bottom w:val="nil"/>
              <w:right w:val="nil"/>
            </w:tcBorders>
            <w:hideMark/>
          </w:tcPr>
          <w:p w14:paraId="3A9C0035" w14:textId="337A4B68"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3,19</w:t>
            </w:r>
          </w:p>
        </w:tc>
      </w:tr>
      <w:tr w:rsidR="00DC3779" w:rsidRPr="00DC3779" w14:paraId="380A2E04" w14:textId="77777777" w:rsidTr="00C81A16">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371CB653" w14:textId="77777777" w:rsidR="00DC3779" w:rsidRPr="00DC3779" w:rsidRDefault="00DC3779" w:rsidP="00DC3779">
            <w:pPr>
              <w:pStyle w:val="08-Tabelageral"/>
              <w:jc w:val="left"/>
              <w:rPr>
                <w:rFonts w:cs="Arial"/>
                <w:b w:val="0"/>
                <w:snapToGrid w:val="0"/>
                <w:lang w:eastAsia="en-US"/>
              </w:rPr>
            </w:pPr>
            <w:r w:rsidRPr="00DC3779">
              <w:rPr>
                <w:rFonts w:cs="Arial"/>
                <w:b w:val="0"/>
                <w:lang w:eastAsia="en-US"/>
              </w:rPr>
              <w:t>Cotação de fechamento</w:t>
            </w:r>
          </w:p>
        </w:tc>
        <w:tc>
          <w:tcPr>
            <w:tcW w:w="281" w:type="dxa"/>
            <w:tcBorders>
              <w:top w:val="nil"/>
              <w:left w:val="nil"/>
              <w:bottom w:val="nil"/>
              <w:right w:val="nil"/>
            </w:tcBorders>
            <w:vAlign w:val="center"/>
          </w:tcPr>
          <w:p w14:paraId="638B5DA6" w14:textId="77777777"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74949ECA" w14:textId="77777777"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R$</w:t>
            </w:r>
          </w:p>
        </w:tc>
        <w:tc>
          <w:tcPr>
            <w:tcW w:w="1843" w:type="dxa"/>
            <w:gridSpan w:val="2"/>
            <w:tcBorders>
              <w:top w:val="nil"/>
              <w:left w:val="nil"/>
              <w:bottom w:val="nil"/>
              <w:right w:val="nil"/>
            </w:tcBorders>
            <w:hideMark/>
          </w:tcPr>
          <w:p w14:paraId="049CA465" w14:textId="18AFB0A3"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20,75</w:t>
            </w:r>
          </w:p>
        </w:tc>
        <w:tc>
          <w:tcPr>
            <w:tcW w:w="1844" w:type="dxa"/>
            <w:tcBorders>
              <w:top w:val="nil"/>
              <w:left w:val="nil"/>
              <w:bottom w:val="nil"/>
              <w:right w:val="nil"/>
            </w:tcBorders>
            <w:hideMark/>
          </w:tcPr>
          <w:p w14:paraId="085B77A8" w14:textId="56E0D53A"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29,63</w:t>
            </w:r>
          </w:p>
        </w:tc>
      </w:tr>
      <w:tr w:rsidR="00DC3779" w:rsidRPr="00DC3779" w14:paraId="7EB8BE17"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79941BF4" w14:textId="77777777" w:rsidR="00DC3779" w:rsidRPr="00DC3779" w:rsidRDefault="00DC3779" w:rsidP="00DC3779">
            <w:pPr>
              <w:pStyle w:val="08-Tabelageral"/>
              <w:jc w:val="left"/>
              <w:rPr>
                <w:rFonts w:cs="Arial"/>
                <w:b w:val="0"/>
                <w:snapToGrid w:val="0"/>
                <w:lang w:eastAsia="en-US"/>
              </w:rPr>
            </w:pPr>
            <w:r w:rsidRPr="00DC3779">
              <w:rPr>
                <w:rFonts w:cs="Arial"/>
                <w:b w:val="0"/>
                <w:lang w:eastAsia="en-US"/>
              </w:rPr>
              <w:t>Valor de mercado</w:t>
            </w:r>
          </w:p>
        </w:tc>
        <w:tc>
          <w:tcPr>
            <w:tcW w:w="281" w:type="dxa"/>
            <w:tcBorders>
              <w:top w:val="nil"/>
              <w:left w:val="nil"/>
              <w:bottom w:val="nil"/>
              <w:right w:val="nil"/>
            </w:tcBorders>
            <w:vAlign w:val="center"/>
          </w:tcPr>
          <w:p w14:paraId="42014AF0" w14:textId="77777777"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46A4B739" w14:textId="77777777"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bilhões</w:t>
            </w:r>
          </w:p>
        </w:tc>
        <w:tc>
          <w:tcPr>
            <w:tcW w:w="1843" w:type="dxa"/>
            <w:gridSpan w:val="2"/>
            <w:tcBorders>
              <w:top w:val="nil"/>
              <w:left w:val="nil"/>
              <w:bottom w:val="nil"/>
              <w:right w:val="nil"/>
            </w:tcBorders>
            <w:hideMark/>
          </w:tcPr>
          <w:p w14:paraId="3815DDF9" w14:textId="02C4389D"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41,50</w:t>
            </w:r>
          </w:p>
        </w:tc>
        <w:tc>
          <w:tcPr>
            <w:tcW w:w="1844" w:type="dxa"/>
            <w:tcBorders>
              <w:top w:val="nil"/>
              <w:left w:val="nil"/>
              <w:bottom w:val="nil"/>
              <w:right w:val="nil"/>
            </w:tcBorders>
            <w:hideMark/>
          </w:tcPr>
          <w:p w14:paraId="39F1723F" w14:textId="4255A62E"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59,26</w:t>
            </w:r>
          </w:p>
        </w:tc>
      </w:tr>
      <w:tr w:rsidR="00DC3779" w:rsidRPr="00DC3779" w14:paraId="5B187916" w14:textId="77777777" w:rsidTr="00C81A16">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10616514" w14:textId="77777777" w:rsidR="00DC3779" w:rsidRPr="00DC3779" w:rsidRDefault="00DC3779" w:rsidP="00DC3779">
            <w:pPr>
              <w:pStyle w:val="08-Tabelageral"/>
              <w:jc w:val="left"/>
              <w:rPr>
                <w:rFonts w:cs="Arial"/>
                <w:b w:val="0"/>
                <w:snapToGrid w:val="0"/>
                <w:lang w:eastAsia="en-US"/>
              </w:rPr>
            </w:pPr>
            <w:r w:rsidRPr="00DC3779">
              <w:rPr>
                <w:rFonts w:cs="Arial"/>
                <w:b w:val="0"/>
                <w:lang w:eastAsia="en-US"/>
              </w:rPr>
              <w:t>Quantidade de negócios realizados¹</w:t>
            </w:r>
          </w:p>
        </w:tc>
        <w:tc>
          <w:tcPr>
            <w:tcW w:w="281" w:type="dxa"/>
            <w:tcBorders>
              <w:top w:val="nil"/>
              <w:left w:val="nil"/>
              <w:bottom w:val="nil"/>
              <w:right w:val="nil"/>
            </w:tcBorders>
            <w:vAlign w:val="center"/>
          </w:tcPr>
          <w:p w14:paraId="036F7953" w14:textId="77777777"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668E1C73" w14:textId="77777777"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1843" w:type="dxa"/>
            <w:gridSpan w:val="2"/>
            <w:tcBorders>
              <w:top w:val="nil"/>
              <w:left w:val="nil"/>
              <w:bottom w:val="nil"/>
              <w:right w:val="nil"/>
            </w:tcBorders>
            <w:hideMark/>
          </w:tcPr>
          <w:p w14:paraId="74E64390" w14:textId="5ABA9078"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5.061.575</w:t>
            </w:r>
          </w:p>
        </w:tc>
        <w:tc>
          <w:tcPr>
            <w:tcW w:w="1844" w:type="dxa"/>
            <w:tcBorders>
              <w:top w:val="nil"/>
              <w:left w:val="nil"/>
              <w:bottom w:val="nil"/>
              <w:right w:val="nil"/>
            </w:tcBorders>
            <w:hideMark/>
          </w:tcPr>
          <w:p w14:paraId="40BAD8B5" w14:textId="0A608E1F"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5.249.372</w:t>
            </w:r>
          </w:p>
        </w:tc>
      </w:tr>
      <w:tr w:rsidR="00DC3779" w:rsidRPr="00DC3779" w14:paraId="2594AF89"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4EA18F5" w14:textId="77777777" w:rsidR="00DC3779" w:rsidRPr="00DC3779" w:rsidRDefault="00DC3779" w:rsidP="00DC3779">
            <w:pPr>
              <w:pStyle w:val="08-Tabelageral"/>
              <w:jc w:val="left"/>
              <w:rPr>
                <w:rFonts w:cs="Arial"/>
                <w:b w:val="0"/>
                <w:snapToGrid w:val="0"/>
                <w:vertAlign w:val="superscript"/>
                <w:lang w:eastAsia="en-US"/>
              </w:rPr>
            </w:pPr>
            <w:r w:rsidRPr="00DC3779">
              <w:rPr>
                <w:rFonts w:cs="Arial"/>
                <w:b w:val="0"/>
                <w:lang w:eastAsia="en-US"/>
              </w:rPr>
              <w:t>Volume médio diário negociado¹</w:t>
            </w:r>
          </w:p>
        </w:tc>
        <w:tc>
          <w:tcPr>
            <w:tcW w:w="281" w:type="dxa"/>
            <w:tcBorders>
              <w:top w:val="nil"/>
              <w:left w:val="nil"/>
              <w:bottom w:val="nil"/>
              <w:right w:val="nil"/>
            </w:tcBorders>
            <w:vAlign w:val="center"/>
          </w:tcPr>
          <w:p w14:paraId="33CC5249" w14:textId="77777777"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407D87D9" w14:textId="77777777"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milhões</w:t>
            </w:r>
          </w:p>
        </w:tc>
        <w:tc>
          <w:tcPr>
            <w:tcW w:w="1843" w:type="dxa"/>
            <w:gridSpan w:val="2"/>
            <w:tcBorders>
              <w:top w:val="nil"/>
              <w:left w:val="nil"/>
              <w:bottom w:val="nil"/>
              <w:right w:val="nil"/>
            </w:tcBorders>
            <w:hideMark/>
          </w:tcPr>
          <w:p w14:paraId="2AD154B1" w14:textId="183F76CB"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125,9</w:t>
            </w:r>
          </w:p>
        </w:tc>
        <w:tc>
          <w:tcPr>
            <w:tcW w:w="1844" w:type="dxa"/>
            <w:tcBorders>
              <w:top w:val="nil"/>
              <w:left w:val="nil"/>
              <w:bottom w:val="nil"/>
              <w:right w:val="nil"/>
            </w:tcBorders>
            <w:hideMark/>
          </w:tcPr>
          <w:p w14:paraId="3BAAE15E" w14:textId="66258392" w:rsidR="00DC3779" w:rsidRPr="00DC3779"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135,19</w:t>
            </w:r>
          </w:p>
        </w:tc>
      </w:tr>
      <w:tr w:rsidR="00DC3779" w:rsidRPr="00DC3779" w14:paraId="78180233" w14:textId="77777777" w:rsidTr="00C81A16">
        <w:trPr>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9CC2E5" w:themeColor="accent1" w:themeTint="99"/>
              <w:right w:val="nil"/>
            </w:tcBorders>
            <w:hideMark/>
          </w:tcPr>
          <w:p w14:paraId="541EF32F" w14:textId="77777777" w:rsidR="00DC3779" w:rsidRPr="00DC3779" w:rsidRDefault="00DC3779" w:rsidP="00DC3779">
            <w:pPr>
              <w:pStyle w:val="08-Tabelageral"/>
              <w:jc w:val="left"/>
              <w:rPr>
                <w:rFonts w:cs="Arial"/>
                <w:b w:val="0"/>
                <w:snapToGrid w:val="0"/>
                <w:lang w:eastAsia="en-US"/>
              </w:rPr>
            </w:pPr>
            <w:r w:rsidRPr="00DC3779">
              <w:rPr>
                <w:rFonts w:cs="Arial"/>
                <w:b w:val="0"/>
                <w:lang w:eastAsia="en-US"/>
              </w:rPr>
              <w:t>Participação no volume médio diário da B3</w:t>
            </w:r>
          </w:p>
        </w:tc>
        <w:tc>
          <w:tcPr>
            <w:tcW w:w="281" w:type="dxa"/>
            <w:tcBorders>
              <w:top w:val="nil"/>
              <w:left w:val="nil"/>
              <w:bottom w:val="single" w:sz="2" w:space="0" w:color="9CC2E5" w:themeColor="accent1" w:themeTint="99"/>
              <w:right w:val="nil"/>
            </w:tcBorders>
            <w:vAlign w:val="center"/>
          </w:tcPr>
          <w:p w14:paraId="426438CD" w14:textId="77777777"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single" w:sz="2" w:space="0" w:color="9CC2E5" w:themeColor="accent1" w:themeTint="99"/>
              <w:right w:val="nil"/>
            </w:tcBorders>
            <w:hideMark/>
          </w:tcPr>
          <w:p w14:paraId="19E3EB70" w14:textId="77777777"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1843" w:type="dxa"/>
            <w:gridSpan w:val="2"/>
            <w:tcBorders>
              <w:top w:val="nil"/>
              <w:left w:val="nil"/>
              <w:bottom w:val="single" w:sz="2" w:space="0" w:color="9CC2E5" w:themeColor="accent1" w:themeTint="99"/>
              <w:right w:val="nil"/>
            </w:tcBorders>
            <w:hideMark/>
          </w:tcPr>
          <w:p w14:paraId="57CBEECB" w14:textId="1E3D83D3"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0,44</w:t>
            </w:r>
          </w:p>
        </w:tc>
        <w:tc>
          <w:tcPr>
            <w:tcW w:w="1844" w:type="dxa"/>
            <w:tcBorders>
              <w:top w:val="nil"/>
              <w:left w:val="nil"/>
              <w:bottom w:val="single" w:sz="2" w:space="0" w:color="9CC2E5" w:themeColor="accent1" w:themeTint="99"/>
              <w:right w:val="nil"/>
            </w:tcBorders>
            <w:hideMark/>
          </w:tcPr>
          <w:p w14:paraId="4594CA0C" w14:textId="410BB0FB" w:rsidR="00DC3779" w:rsidRPr="00DC3779" w:rsidRDefault="00DC3779"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0,52</w:t>
            </w:r>
          </w:p>
        </w:tc>
      </w:tr>
    </w:tbl>
    <w:p w14:paraId="4C19688B" w14:textId="77777777" w:rsidR="00C81A16" w:rsidRPr="00DC3779" w:rsidRDefault="00C81A16" w:rsidP="00C81A16">
      <w:pPr>
        <w:pStyle w:val="07-Legenda"/>
        <w:rPr>
          <w:rFonts w:cs="Arial"/>
        </w:rPr>
      </w:pPr>
      <w:r w:rsidRPr="00DC3779">
        <w:rPr>
          <w:rFonts w:cs="Arial"/>
        </w:rPr>
        <w:t>(1) Referem-se ao Lote-padrão</w:t>
      </w:r>
    </w:p>
    <w:p w14:paraId="05CC8CD1" w14:textId="77777777" w:rsidR="00C81A16" w:rsidRPr="00FA31E9" w:rsidRDefault="00C81A16" w:rsidP="00C81A16">
      <w:pPr>
        <w:spacing w:after="0" w:line="240" w:lineRule="auto"/>
        <w:rPr>
          <w:rFonts w:eastAsia="Times New Roman" w:cs="Arial"/>
          <w:b/>
          <w:spacing w:val="-2"/>
          <w:sz w:val="20"/>
          <w:szCs w:val="20"/>
          <w:highlight w:val="yellow"/>
          <w:lang w:eastAsia="pt-BR"/>
        </w:rPr>
      </w:pPr>
    </w:p>
    <w:p w14:paraId="1342EC1F" w14:textId="77777777" w:rsidR="00C81A16" w:rsidRPr="00860655" w:rsidRDefault="00C81A16" w:rsidP="00C81A16">
      <w:pPr>
        <w:pStyle w:val="03-SubttulodeNota"/>
        <w:spacing w:line="276" w:lineRule="auto"/>
        <w:rPr>
          <w:color w:val="1F4E79" w:themeColor="accent1" w:themeShade="80"/>
        </w:rPr>
      </w:pPr>
      <w:r w:rsidRPr="00860655">
        <w:rPr>
          <w:color w:val="1F4E79" w:themeColor="accent1" w:themeShade="80"/>
        </w:rPr>
        <w:t>Remuneração aos acionistas</w:t>
      </w:r>
    </w:p>
    <w:p w14:paraId="09690B9A" w14:textId="3C4CA226" w:rsidR="00C81A16" w:rsidRPr="00140617" w:rsidRDefault="00140617" w:rsidP="00C81A16">
      <w:pPr>
        <w:pStyle w:val="01-Textonormal"/>
        <w:rPr>
          <w:rFonts w:cs="Arial"/>
        </w:rPr>
      </w:pPr>
      <w:r w:rsidRPr="00860655">
        <w:rPr>
          <w:rFonts w:cs="Arial"/>
        </w:rPr>
        <w:t>A</w:t>
      </w:r>
      <w:r w:rsidR="00C81A16" w:rsidRPr="00860655">
        <w:rPr>
          <w:rFonts w:cs="Arial"/>
        </w:rPr>
        <w:t xml:space="preserve"> BB Seguridade </w:t>
      </w:r>
      <w:r w:rsidRPr="00860655">
        <w:rPr>
          <w:rFonts w:cs="Arial"/>
        </w:rPr>
        <w:t xml:space="preserve">destinou </w:t>
      </w:r>
      <w:r w:rsidR="00C81A16" w:rsidRPr="00860655">
        <w:rPr>
          <w:rFonts w:cs="Arial"/>
        </w:rPr>
        <w:t>aproximadamente 7</w:t>
      </w:r>
      <w:r w:rsidRPr="00860655">
        <w:rPr>
          <w:rFonts w:cs="Arial"/>
        </w:rPr>
        <w:t>3</w:t>
      </w:r>
      <w:r w:rsidR="00C81A16" w:rsidRPr="00860655">
        <w:rPr>
          <w:rFonts w:cs="Arial"/>
        </w:rPr>
        <w:t>,0% do lucro líquido aos acionistas na forma de dividendos em 202</w:t>
      </w:r>
      <w:r w:rsidRPr="00860655">
        <w:rPr>
          <w:rFonts w:cs="Arial"/>
        </w:rPr>
        <w:t>1</w:t>
      </w:r>
      <w:r w:rsidR="00C81A16" w:rsidRPr="00860655">
        <w:rPr>
          <w:rFonts w:cs="Arial"/>
        </w:rPr>
        <w:t>, o que totaliza R$</w:t>
      </w:r>
      <w:r w:rsidR="00860655" w:rsidRPr="00860655">
        <w:rPr>
          <w:rFonts w:cs="Arial"/>
        </w:rPr>
        <w:t>2,9</w:t>
      </w:r>
      <w:r w:rsidR="00C81A16" w:rsidRPr="00860655">
        <w:rPr>
          <w:rFonts w:cs="Arial"/>
        </w:rPr>
        <w:t xml:space="preserve"> bilhões, equivalente a R$1,</w:t>
      </w:r>
      <w:r w:rsidR="00860655" w:rsidRPr="00860655">
        <w:rPr>
          <w:rFonts w:cs="Arial"/>
        </w:rPr>
        <w:t>44</w:t>
      </w:r>
      <w:r w:rsidR="00C81A16" w:rsidRPr="00860655">
        <w:rPr>
          <w:rFonts w:cs="Arial"/>
        </w:rPr>
        <w:t xml:space="preserve"> por ação. Em 20</w:t>
      </w:r>
      <w:r w:rsidRPr="00860655">
        <w:rPr>
          <w:rFonts w:cs="Arial"/>
        </w:rPr>
        <w:t>20</w:t>
      </w:r>
      <w:r w:rsidR="00C81A16" w:rsidRPr="00860655">
        <w:rPr>
          <w:rFonts w:cs="Arial"/>
        </w:rPr>
        <w:t>, o dividendo</w:t>
      </w:r>
      <w:r w:rsidR="00C81A16" w:rsidRPr="00140617">
        <w:rPr>
          <w:rFonts w:cs="Arial"/>
        </w:rPr>
        <w:t xml:space="preserve"> referente ao lucro líquido do exercício foi de R$</w:t>
      </w:r>
      <w:r w:rsidRPr="00140617">
        <w:rPr>
          <w:rFonts w:cs="Arial"/>
        </w:rPr>
        <w:t>1,35</w:t>
      </w:r>
      <w:r w:rsidR="00C81A16" w:rsidRPr="00140617">
        <w:rPr>
          <w:rFonts w:cs="Arial"/>
        </w:rPr>
        <w:t xml:space="preserve"> por ação. </w:t>
      </w:r>
    </w:p>
    <w:p w14:paraId="1DEEB81D" w14:textId="77777777" w:rsidR="00C81A16" w:rsidRPr="00FA31E9" w:rsidRDefault="00C81A16" w:rsidP="00C81A16">
      <w:pPr>
        <w:pStyle w:val="01-Textonormal"/>
        <w:rPr>
          <w:rFonts w:cs="Arial"/>
          <w:color w:val="FF0000"/>
          <w:highlight w:val="yellow"/>
        </w:rPr>
      </w:pPr>
    </w:p>
    <w:p w14:paraId="6A19E79B" w14:textId="77777777" w:rsidR="00C81A16" w:rsidRPr="00B85BEE" w:rsidRDefault="00C81A16" w:rsidP="00C81A16">
      <w:pPr>
        <w:pStyle w:val="03-SubttulodeNota"/>
        <w:spacing w:line="276" w:lineRule="auto"/>
        <w:rPr>
          <w:color w:val="1F4E79" w:themeColor="accent1" w:themeShade="80"/>
        </w:rPr>
      </w:pPr>
      <w:r w:rsidRPr="00B85BEE">
        <w:rPr>
          <w:color w:val="1F4E79" w:themeColor="accent1" w:themeShade="80"/>
        </w:rPr>
        <w:t>Recompra de ações</w:t>
      </w:r>
    </w:p>
    <w:p w14:paraId="7ED7128D" w14:textId="060C0ED7" w:rsidR="00C81A16" w:rsidRPr="00B85BEE" w:rsidRDefault="00C81A16" w:rsidP="00C81A16">
      <w:pPr>
        <w:pStyle w:val="05-Textonormal"/>
        <w:rPr>
          <w:rFonts w:cs="Arial"/>
        </w:rPr>
      </w:pPr>
      <w:r w:rsidRPr="00B85BEE">
        <w:rPr>
          <w:rFonts w:cs="Arial"/>
        </w:rPr>
        <w:t>Durante o ano de 202</w:t>
      </w:r>
      <w:r w:rsidR="00140617" w:rsidRPr="00B85BEE">
        <w:rPr>
          <w:rFonts w:cs="Arial"/>
        </w:rPr>
        <w:t>1</w:t>
      </w:r>
      <w:r w:rsidRPr="00B85BEE">
        <w:rPr>
          <w:rFonts w:cs="Arial"/>
        </w:rPr>
        <w:t xml:space="preserve">, não houve programa de recompra de ações aberto. Conforme aprovado pela Assembleia Geral Extraordinária (“AGE”), realizada em 30.10.2019, as ações em tesouraria </w:t>
      </w:r>
      <w:bookmarkStart w:id="4" w:name="_Hlk62115926"/>
      <w:r w:rsidRPr="00B85BEE">
        <w:rPr>
          <w:rFonts w:cs="Arial"/>
        </w:rPr>
        <w:t xml:space="preserve">referentes a recompras realizadas em exercícios anteriores </w:t>
      </w:r>
      <w:bookmarkEnd w:id="4"/>
      <w:r w:rsidRPr="00B85BEE">
        <w:rPr>
          <w:rFonts w:cs="Arial"/>
        </w:rPr>
        <w:t xml:space="preserve">podem ser utilizadas especificamente em programas de premiação aos empregados e remuneração variável de diretores, até o limite de 3.359.550 ações, cabendo ao Conselho de Administração a definição da melhor forma e momento para implementar a alienação dessas ações. </w:t>
      </w:r>
    </w:p>
    <w:p w14:paraId="1BEFA4FC" w14:textId="17A1F90B" w:rsidR="00C81A16" w:rsidRDefault="00E96EF7" w:rsidP="00C81A16">
      <w:pPr>
        <w:pStyle w:val="05-Textonormal"/>
        <w:rPr>
          <w:rFonts w:cs="Arial"/>
        </w:rPr>
      </w:pPr>
      <w:r w:rsidRPr="00B85BEE">
        <w:rPr>
          <w:rFonts w:cs="Arial"/>
        </w:rPr>
        <w:t>E</w:t>
      </w:r>
      <w:r w:rsidR="00C81A16" w:rsidRPr="00B85BEE">
        <w:rPr>
          <w:rFonts w:cs="Arial"/>
        </w:rPr>
        <w:t xml:space="preserve">m </w:t>
      </w:r>
      <w:r w:rsidRPr="00B85BEE">
        <w:rPr>
          <w:rFonts w:cs="Arial"/>
        </w:rPr>
        <w:t>202</w:t>
      </w:r>
      <w:r w:rsidR="00FB5458">
        <w:rPr>
          <w:rFonts w:cs="Arial"/>
        </w:rPr>
        <w:t>1</w:t>
      </w:r>
      <w:r w:rsidRPr="00B85BEE">
        <w:rPr>
          <w:rFonts w:cs="Arial"/>
        </w:rPr>
        <w:t xml:space="preserve"> </w:t>
      </w:r>
      <w:r w:rsidR="00C81A16" w:rsidRPr="00B85BEE">
        <w:rPr>
          <w:rFonts w:cs="Arial"/>
        </w:rPr>
        <w:t xml:space="preserve">foram transferidas </w:t>
      </w:r>
      <w:r w:rsidR="00B85BEE" w:rsidRPr="00B85BEE">
        <w:rPr>
          <w:rFonts w:cs="Arial"/>
        </w:rPr>
        <w:t>38.263</w:t>
      </w:r>
      <w:r w:rsidR="00C81A16" w:rsidRPr="00B85BEE">
        <w:rPr>
          <w:rFonts w:cs="Arial"/>
        </w:rPr>
        <w:t xml:space="preserve"> ações para o Programa de Premiação por Resultado (PPR), destinado a reconhecer o desempenho individual dos funcionários que superaram suas metas em 20</w:t>
      </w:r>
      <w:r w:rsidR="00B85BEE" w:rsidRPr="00B85BEE">
        <w:rPr>
          <w:rFonts w:cs="Arial"/>
        </w:rPr>
        <w:t>20 e 22.460 ações para o Programa de Remuneração Variável de diretores</w:t>
      </w:r>
      <w:r w:rsidR="00C81A16" w:rsidRPr="00B85BEE">
        <w:rPr>
          <w:rFonts w:cs="Arial"/>
        </w:rPr>
        <w:t>.</w:t>
      </w:r>
    </w:p>
    <w:p w14:paraId="53991177" w14:textId="77777777" w:rsidR="00C81A16" w:rsidRDefault="00C81A16" w:rsidP="00C81A16">
      <w:pPr>
        <w:pStyle w:val="05-Textonormal"/>
        <w:rPr>
          <w:rFonts w:cs="Arial"/>
        </w:rPr>
      </w:pPr>
    </w:p>
    <w:p w14:paraId="239B7EBC" w14:textId="7BE038D4"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ESTRATÉGIA</w:t>
      </w:r>
    </w:p>
    <w:p w14:paraId="2408DC29" w14:textId="1975F568" w:rsidR="0071689C" w:rsidRDefault="00F8715C" w:rsidP="00F8715C">
      <w:pPr>
        <w:pStyle w:val="01-Textonormal"/>
      </w:pPr>
      <w:r>
        <w:t xml:space="preserve">A estratégia </w:t>
      </w:r>
      <w:r w:rsidR="0071689C">
        <w:t xml:space="preserve">da BB Seguridade </w:t>
      </w:r>
      <w:r>
        <w:t xml:space="preserve">busca garantir a perenidade da empresa, equilibrando esforços de curto, médio e longo prazo e preparando-a para enfrentar diferentes cenários prospectivos. </w:t>
      </w:r>
    </w:p>
    <w:p w14:paraId="7706036A" w14:textId="0DA5C616" w:rsidR="00F8715C" w:rsidRDefault="00F8715C" w:rsidP="00F8715C">
      <w:pPr>
        <w:pStyle w:val="01-Textonormal"/>
      </w:pPr>
      <w:r>
        <w:t>O modelo de estratégia de longo prazo da BB Seguridade é composto pelos seguintes elementos</w:t>
      </w:r>
      <w:r w:rsidR="00B71850">
        <w:t>, os quais são revisados anualmente ou a qualquer momento em decorrência de fatos que provoquem alterações relevantes nos cenários, o que amplia a capacidade de antecipação e resposta estratégica da organização face às mudanças</w:t>
      </w:r>
      <w:r>
        <w:t>:</w:t>
      </w:r>
    </w:p>
    <w:p w14:paraId="3CBDE33B" w14:textId="77777777" w:rsidR="00F8715C" w:rsidRDefault="00F8715C" w:rsidP="00F8715C">
      <w:pPr>
        <w:pStyle w:val="01-Textonormal"/>
        <w:numPr>
          <w:ilvl w:val="0"/>
          <w:numId w:val="10"/>
        </w:numPr>
      </w:pPr>
      <w:r>
        <w:t>os cenários prospectivos, que contemplam os arquétipos que traduzem os vetores de maior incerteza inerentes ao mercado de atuação e ao modelo de negócios da BB Seguridade;</w:t>
      </w:r>
    </w:p>
    <w:p w14:paraId="5BC333A9" w14:textId="77777777" w:rsidR="00F8715C" w:rsidRDefault="00F8715C" w:rsidP="00F8715C">
      <w:pPr>
        <w:pStyle w:val="01-Textonormal"/>
        <w:numPr>
          <w:ilvl w:val="0"/>
          <w:numId w:val="10"/>
        </w:numPr>
      </w:pPr>
      <w:r>
        <w:t>o modelo de detecção e filtragem de sinais e de temas e aplicações de tecnologia emergentes para os negócios de seguridade;</w:t>
      </w:r>
    </w:p>
    <w:p w14:paraId="6AA1C371" w14:textId="77777777" w:rsidR="00F8715C" w:rsidRDefault="00F8715C" w:rsidP="00F8715C">
      <w:pPr>
        <w:pStyle w:val="01-Textonormal"/>
        <w:numPr>
          <w:ilvl w:val="0"/>
          <w:numId w:val="10"/>
        </w:numPr>
      </w:pPr>
      <w:r>
        <w:t>a matriz SWOT, que consolida fatores internos e externos e descreve o ambiente competitivo em que a empresa atua;</w:t>
      </w:r>
    </w:p>
    <w:p w14:paraId="5AD3B937" w14:textId="77777777" w:rsidR="00F8715C" w:rsidRDefault="00F8715C" w:rsidP="00F8715C">
      <w:pPr>
        <w:pStyle w:val="01-Textonormal"/>
        <w:numPr>
          <w:ilvl w:val="0"/>
          <w:numId w:val="10"/>
        </w:numPr>
      </w:pPr>
      <w:r>
        <w:t>a avaliação estratégica, ou seja, a análise do posicionamento estratégico da BB Seguridade em razão das suas atuais forças e fraquezas;</w:t>
      </w:r>
    </w:p>
    <w:p w14:paraId="077553CB" w14:textId="77777777" w:rsidR="00F8715C" w:rsidRDefault="00F8715C" w:rsidP="00F8715C">
      <w:pPr>
        <w:pStyle w:val="01-Textonormal"/>
        <w:numPr>
          <w:ilvl w:val="0"/>
          <w:numId w:val="10"/>
        </w:numPr>
      </w:pPr>
      <w:r>
        <w:t>a missão: “Proteger bens, conquistas e projetos”;</w:t>
      </w:r>
    </w:p>
    <w:p w14:paraId="3B1C39EF" w14:textId="77777777" w:rsidR="00F8715C" w:rsidRDefault="00F8715C" w:rsidP="00F8715C">
      <w:pPr>
        <w:pStyle w:val="01-Textonormal"/>
        <w:numPr>
          <w:ilvl w:val="0"/>
          <w:numId w:val="10"/>
        </w:numPr>
      </w:pPr>
      <w:r>
        <w:t>a visão: “Transformamos a vida das pessoas por meio do melhor ecossistema de proteção. Somos uma empresa leve que gera valor sustentável”;</w:t>
      </w:r>
    </w:p>
    <w:p w14:paraId="44E75F97" w14:textId="77777777" w:rsidR="00F8715C" w:rsidRDefault="00F8715C" w:rsidP="00F8715C">
      <w:pPr>
        <w:pStyle w:val="01-Textonormal"/>
        <w:numPr>
          <w:ilvl w:val="0"/>
          <w:numId w:val="10"/>
        </w:numPr>
      </w:pPr>
      <w:r>
        <w:t>os valores, conjunto de comportamentos e atitudes mentais que pautam nossas ações; e</w:t>
      </w:r>
    </w:p>
    <w:p w14:paraId="7B4AEE8E" w14:textId="77777777" w:rsidR="00F8715C" w:rsidRDefault="00F8715C" w:rsidP="00F8715C">
      <w:pPr>
        <w:pStyle w:val="01-Textonormal"/>
        <w:numPr>
          <w:ilvl w:val="0"/>
          <w:numId w:val="10"/>
        </w:numPr>
      </w:pPr>
      <w:r>
        <w:lastRenderedPageBreak/>
        <w:t>os objetivos estratégicos, que promovem o alinhamento estratégico com o Banco do Brasil e investidas e definem como e quando os desafios serão superados; otimizam a compreensão, o foco e a execução da estratégia na BB Seguridade; e apresentam métricas, indicadores e resultados chave, que medem os resultados alcançados e o desempenho da BB Seguridade frente aos objetivos.</w:t>
      </w:r>
    </w:p>
    <w:p w14:paraId="2BB01F7A" w14:textId="7152D7FF" w:rsidR="00B71850" w:rsidRDefault="00F70BB3" w:rsidP="00F8715C">
      <w:pPr>
        <w:pStyle w:val="01-Textonormal"/>
      </w:pPr>
      <w:r>
        <w:t xml:space="preserve">Em 2021, após o processo de revisão realizado </w:t>
      </w:r>
      <w:r w:rsidR="00B71850">
        <w:t>a</w:t>
      </w:r>
      <w:r>
        <w:t xml:space="preserve">o final do ano anterior para contemplar o </w:t>
      </w:r>
      <w:r w:rsidR="00B71850">
        <w:t xml:space="preserve">quinquênio </w:t>
      </w:r>
      <w:r>
        <w:t xml:space="preserve">2021-2025, os seguintes </w:t>
      </w:r>
      <w:r w:rsidR="00B71850">
        <w:t>objetivos estratégicos</w:t>
      </w:r>
      <w:r w:rsidR="00F02F80">
        <w:t xml:space="preserve"> guiaram as ações da BB Seguridade</w:t>
      </w:r>
      <w:r w:rsidR="00B71850">
        <w:t>:</w:t>
      </w:r>
    </w:p>
    <w:p w14:paraId="112925DD" w14:textId="77777777" w:rsidR="00681655" w:rsidRDefault="00681655" w:rsidP="00681655">
      <w:pPr>
        <w:pStyle w:val="01-Textonormal"/>
        <w:numPr>
          <w:ilvl w:val="0"/>
          <w:numId w:val="29"/>
        </w:numPr>
      </w:pPr>
      <w:r>
        <w:t>ser leve e eficiente, contando com uma estrutura enxuta e processos simples, com alta geração de valor;</w:t>
      </w:r>
    </w:p>
    <w:p w14:paraId="729E50C5" w14:textId="77777777" w:rsidR="00681655" w:rsidRDefault="00681655" w:rsidP="00681655">
      <w:pPr>
        <w:pStyle w:val="01-Textonormal"/>
        <w:numPr>
          <w:ilvl w:val="0"/>
          <w:numId w:val="29"/>
        </w:numPr>
      </w:pPr>
      <w:r>
        <w:t>transformar clientes em fãs, gerando encantamento com seus produtos, serviços, jornadas e relacionamento;</w:t>
      </w:r>
    </w:p>
    <w:p w14:paraId="3E8D8C54" w14:textId="2F66F465" w:rsidR="00681655" w:rsidRDefault="0032249A" w:rsidP="00681655">
      <w:pPr>
        <w:pStyle w:val="01-Textonormal"/>
        <w:numPr>
          <w:ilvl w:val="0"/>
          <w:numId w:val="29"/>
        </w:numPr>
      </w:pPr>
      <w:r>
        <w:t xml:space="preserve">combinar </w:t>
      </w:r>
      <w:r w:rsidRPr="00055252">
        <w:rPr>
          <w:i/>
          <w:iCs/>
        </w:rPr>
        <w:t>online</w:t>
      </w:r>
      <w:r>
        <w:t xml:space="preserve"> e </w:t>
      </w:r>
      <w:r w:rsidRPr="00055252">
        <w:rPr>
          <w:i/>
          <w:iCs/>
        </w:rPr>
        <w:t>offline</w:t>
      </w:r>
      <w:r>
        <w:t xml:space="preserve"> para vender sempre mais, </w:t>
      </w:r>
      <w:r w:rsidR="00681655">
        <w:t xml:space="preserve">transformando a BB Corretora </w:t>
      </w:r>
      <w:r>
        <w:t xml:space="preserve">em </w:t>
      </w:r>
      <w:r w:rsidR="00681655">
        <w:t>uma máquina eficiente e independente de vendas;</w:t>
      </w:r>
    </w:p>
    <w:p w14:paraId="574D489B" w14:textId="1BBAA46E" w:rsidR="00681655" w:rsidRDefault="00681655" w:rsidP="00681655">
      <w:pPr>
        <w:pStyle w:val="01-Textonormal"/>
        <w:numPr>
          <w:ilvl w:val="0"/>
          <w:numId w:val="29"/>
        </w:numPr>
      </w:pPr>
      <w:r>
        <w:t xml:space="preserve">conectar e acelerar o digital, </w:t>
      </w:r>
      <w:r w:rsidR="0032249A">
        <w:t xml:space="preserve">otimizando </w:t>
      </w:r>
      <w:r>
        <w:t xml:space="preserve">a transformação digital como alavancas de crescimento e experiência; e </w:t>
      </w:r>
    </w:p>
    <w:p w14:paraId="7A1A7140" w14:textId="37A681F8" w:rsidR="00B71850" w:rsidRDefault="00681655" w:rsidP="00591873">
      <w:pPr>
        <w:pStyle w:val="01-Textonormal"/>
        <w:numPr>
          <w:ilvl w:val="0"/>
          <w:numId w:val="29"/>
        </w:numPr>
      </w:pPr>
      <w:r>
        <w:t xml:space="preserve">experimentar sem medo para acertar em cheio, </w:t>
      </w:r>
      <w:r w:rsidR="0032249A">
        <w:t>transformando o futuro, o novo e o desconhecido em aliados da nossa estratégia.</w:t>
      </w:r>
    </w:p>
    <w:p w14:paraId="1E29149B" w14:textId="09339BE6" w:rsidR="008E7417" w:rsidRDefault="0070509B" w:rsidP="008E7417">
      <w:pPr>
        <w:jc w:val="both"/>
      </w:pPr>
      <w:r>
        <w:t xml:space="preserve">Tais objetivos podem ser consolidados em três pilares </w:t>
      </w:r>
      <w:r w:rsidR="008E7417">
        <w:t>que foram o foco das iniciativas de 2021</w:t>
      </w:r>
      <w:r>
        <w:t xml:space="preserve">: </w:t>
      </w:r>
      <w:r w:rsidR="008E7417">
        <w:t>m</w:t>
      </w:r>
      <w:r>
        <w:t xml:space="preserve">odernização </w:t>
      </w:r>
      <w:r w:rsidR="008E7417">
        <w:t>t</w:t>
      </w:r>
      <w:r>
        <w:t xml:space="preserve">ecnológica e </w:t>
      </w:r>
      <w:r w:rsidR="008E7417">
        <w:t xml:space="preserve">transformação digital; diversificação de canais; e melhoria </w:t>
      </w:r>
      <w:r w:rsidR="001A3719">
        <w:t>d</w:t>
      </w:r>
      <w:r w:rsidR="008E7417">
        <w:t>a experiência</w:t>
      </w:r>
      <w:r w:rsidR="001A3719">
        <w:t xml:space="preserve"> de clientes e vendedores</w:t>
      </w:r>
      <w:r w:rsidR="008E7417">
        <w:t xml:space="preserve">. </w:t>
      </w:r>
    </w:p>
    <w:p w14:paraId="0F0CD0CE" w14:textId="4C23D625" w:rsidR="00F5692C" w:rsidRPr="00591873" w:rsidRDefault="00F5692C" w:rsidP="00F5692C">
      <w:pPr>
        <w:pStyle w:val="03-SubttulodeNota"/>
        <w:rPr>
          <w:color w:val="1F4E79" w:themeColor="accent1" w:themeShade="80"/>
        </w:rPr>
      </w:pPr>
      <w:r w:rsidRPr="00591873">
        <w:rPr>
          <w:color w:val="1F4E79" w:themeColor="accent1" w:themeShade="80"/>
        </w:rPr>
        <w:t>Modernização Tecnológica e Transformação Digital</w:t>
      </w:r>
    </w:p>
    <w:p w14:paraId="04755D60" w14:textId="2D7E0B42" w:rsidR="00F5692C" w:rsidRDefault="00F5692C" w:rsidP="00F5692C">
      <w:pPr>
        <w:pStyle w:val="01-Textonormal"/>
      </w:pPr>
      <w:r>
        <w:t xml:space="preserve">A BB Seguridade entende que o processo de transformação digital é um dos pilares viabilizadores da estratégia corporativa. </w:t>
      </w:r>
      <w:r w:rsidR="00D37286">
        <w:t xml:space="preserve">O </w:t>
      </w:r>
      <w:r>
        <w:t>modelo de transformação digital</w:t>
      </w:r>
      <w:r w:rsidR="00D37286">
        <w:t xml:space="preserve"> da empresa</w:t>
      </w:r>
      <w:r>
        <w:t xml:space="preserve"> se baseia na aplicação balanceada do arquétipo de otimização dos processos existentes, com foco na geração de valor, melhoria da experiência dos clientes e ampliação da geração dos negócios, e na transformação e inovação de impacto, com reflexo no posicionamento da Companhia e no seu modelo de negócios, tendo sempre a experiência do cliente, o crescimento sustentável, ganhos de eficiência, atuação como plataforma e o crescimento do resultado como princípios norteadores desta jornada.</w:t>
      </w:r>
    </w:p>
    <w:p w14:paraId="258BD1B7" w14:textId="6D5C48C9" w:rsidR="00F5692C" w:rsidRDefault="00F5692C" w:rsidP="00F5692C">
      <w:pPr>
        <w:pStyle w:val="01-Textonormal"/>
      </w:pPr>
      <w:r>
        <w:t xml:space="preserve">Na BB Seguridade, os temas inovação e transformação digital estão inseridos na estratégia e na cultura da empresa. Todos os pilares do </w:t>
      </w:r>
      <w:r w:rsidR="00D37286">
        <w:t>p</w:t>
      </w:r>
      <w:r>
        <w:t xml:space="preserve">ainel de </w:t>
      </w:r>
      <w:r w:rsidR="00D37286">
        <w:t>m</w:t>
      </w:r>
      <w:r>
        <w:t xml:space="preserve">etas </w:t>
      </w:r>
      <w:r w:rsidR="00D37286">
        <w:t>c</w:t>
      </w:r>
      <w:r>
        <w:t xml:space="preserve">orporativas, vinculado ao </w:t>
      </w:r>
      <w:r w:rsidR="00D37286">
        <w:t>p</w:t>
      </w:r>
      <w:r>
        <w:t xml:space="preserve">lanejamento </w:t>
      </w:r>
      <w:r w:rsidR="00D37286">
        <w:t>e</w:t>
      </w:r>
      <w:r>
        <w:t xml:space="preserve">stratégico para o ano de 2021, </w:t>
      </w:r>
      <w:r w:rsidR="00D37286">
        <w:t xml:space="preserve">possuíam </w:t>
      </w:r>
      <w:r>
        <w:t>indicadores relacionados à transformação digital e inovação.</w:t>
      </w:r>
    </w:p>
    <w:p w14:paraId="7FF928E7" w14:textId="47F3D4EB" w:rsidR="00F5692C" w:rsidRDefault="00D37286" w:rsidP="00F5692C">
      <w:pPr>
        <w:pStyle w:val="01-Textonormal"/>
      </w:pPr>
      <w:r>
        <w:t xml:space="preserve">Em </w:t>
      </w:r>
      <w:r w:rsidR="00F5692C">
        <w:t xml:space="preserve">2021, </w:t>
      </w:r>
      <w:r>
        <w:t xml:space="preserve">foi acelerado </w:t>
      </w:r>
      <w:r w:rsidR="00F5692C">
        <w:t xml:space="preserve">o desenvolvimento de soluções e ecossistemas de </w:t>
      </w:r>
      <w:r>
        <w:t>p</w:t>
      </w:r>
      <w:r w:rsidR="00F5692C">
        <w:t xml:space="preserve">lataforma para consolidação da estrutura tecnológica e integração do conglomerado com novos canais </w:t>
      </w:r>
      <w:r>
        <w:t>a partir de uma arquitetura orientada a serviço e baseada em nuvem</w:t>
      </w:r>
      <w:r w:rsidR="00F5692C">
        <w:t xml:space="preserve">, </w:t>
      </w:r>
      <w:r>
        <w:t>a</w:t>
      </w:r>
      <w:r w:rsidR="00F5692C">
        <w:t xml:space="preserve"> exemplo dos </w:t>
      </w:r>
      <w:r>
        <w:t>s</w:t>
      </w:r>
      <w:r w:rsidR="00F5692C">
        <w:t xml:space="preserve">eguros </w:t>
      </w:r>
      <w:r>
        <w:t>r</w:t>
      </w:r>
      <w:r w:rsidR="00F5692C">
        <w:t>esidencial</w:t>
      </w:r>
      <w:r w:rsidR="00537D3A">
        <w:t>,</w:t>
      </w:r>
      <w:r w:rsidR="00F5692C">
        <w:t xml:space="preserve"> </w:t>
      </w:r>
      <w:r>
        <w:t>e</w:t>
      </w:r>
      <w:r w:rsidR="00F5692C">
        <w:t>mpresarial</w:t>
      </w:r>
      <w:r w:rsidR="00537D3A">
        <w:t xml:space="preserve">, de viagem e de celular, além dos </w:t>
      </w:r>
      <w:r w:rsidR="00DE4110">
        <w:t>títulos de c</w:t>
      </w:r>
      <w:r w:rsidR="00F5692C">
        <w:t>apitalização</w:t>
      </w:r>
      <w:r w:rsidR="00DE4110">
        <w:t xml:space="preserve">. A expectativa é que até o final de 2022 todos os principais negócios do conglomerado BB Seguridade </w:t>
      </w:r>
      <w:r w:rsidR="00537D3A">
        <w:t xml:space="preserve">operem nesse tipo de ambiente tecnológico </w:t>
      </w:r>
      <w:r w:rsidR="00F5692C">
        <w:t>mais flexível, que permite uma gestão d</w:t>
      </w:r>
      <w:r w:rsidR="00054BF7">
        <w:t>a</w:t>
      </w:r>
      <w:r w:rsidR="00F5692C">
        <w:t xml:space="preserve"> </w:t>
      </w:r>
      <w:r w:rsidR="00054BF7">
        <w:t>carteira de produtos</w:t>
      </w:r>
      <w:r w:rsidR="00F5692C">
        <w:t xml:space="preserve"> mais eficiente e com </w:t>
      </w:r>
      <w:r w:rsidR="00DE4110">
        <w:t xml:space="preserve">menor tempo de </w:t>
      </w:r>
      <w:r w:rsidR="00537D3A">
        <w:t xml:space="preserve">desenvolvimento e é habilitador de </w:t>
      </w:r>
      <w:r w:rsidR="00F5692C">
        <w:t xml:space="preserve">novas e melhores experiências para os usuários e </w:t>
      </w:r>
      <w:r w:rsidR="00537D3A">
        <w:t>d</w:t>
      </w:r>
      <w:r w:rsidR="00F5692C">
        <w:t>a expansão da estratégia de distribuição p</w:t>
      </w:r>
      <w:r w:rsidR="007443CB">
        <w:t>a</w:t>
      </w:r>
      <w:r w:rsidR="00F5692C">
        <w:t xml:space="preserve">ra novos canais.  </w:t>
      </w:r>
    </w:p>
    <w:p w14:paraId="14A31471" w14:textId="703C0A0B" w:rsidR="00F5692C" w:rsidRDefault="00BE79E4" w:rsidP="00F5692C">
      <w:pPr>
        <w:pStyle w:val="01-Textonormal"/>
      </w:pPr>
      <w:r>
        <w:t>O</w:t>
      </w:r>
      <w:r w:rsidR="00F5692C">
        <w:t xml:space="preserve"> processo de automatização do atendimento</w:t>
      </w:r>
      <w:r>
        <w:t>, tanto na venda como no pós</w:t>
      </w:r>
      <w:r w:rsidR="00B32495">
        <w:t>-</w:t>
      </w:r>
      <w:r>
        <w:t>venda</w:t>
      </w:r>
      <w:r w:rsidR="00836F72">
        <w:t>,</w:t>
      </w:r>
      <w:r>
        <w:t xml:space="preserve"> também esteve no foco em 2021</w:t>
      </w:r>
      <w:r w:rsidR="00DE4110">
        <w:t>,</w:t>
      </w:r>
      <w:r>
        <w:t xml:space="preserve"> com</w:t>
      </w:r>
      <w:r w:rsidR="00F5692C">
        <w:t xml:space="preserve"> o lançamento da central de seguros no App Banco do Brasil e </w:t>
      </w:r>
      <w:r w:rsidR="00DE4110">
        <w:t>d</w:t>
      </w:r>
      <w:r w:rsidR="00F5692C">
        <w:t xml:space="preserve">o novo portal da BB Seguros na internet (https://www4.bbseguros.com.br/), onde foi implantada uma </w:t>
      </w:r>
      <w:r w:rsidR="0000734A">
        <w:t>nova jornada</w:t>
      </w:r>
      <w:r w:rsidR="00F5692C">
        <w:t xml:space="preserve"> para o usuário e novas funcionalidades, como consulta de apólices e acionamento de assistências e serviços. </w:t>
      </w:r>
      <w:r w:rsidR="007069AA">
        <w:t xml:space="preserve">As vendas realizadas em canais digitais cresceram 24% em relação a 2020 em termos de quantidade, </w:t>
      </w:r>
      <w:r w:rsidR="007069AA" w:rsidRPr="00836F72">
        <w:t>superando R$1,5 bilhão em faturamento</w:t>
      </w:r>
      <w:r w:rsidR="00F5692C" w:rsidRPr="00836F72">
        <w:t xml:space="preserve">. </w:t>
      </w:r>
      <w:r w:rsidR="00DE4110" w:rsidRPr="00836F72">
        <w:t xml:space="preserve">No pós-venda, </w:t>
      </w:r>
      <w:r w:rsidR="00F5692C" w:rsidRPr="00836F72">
        <w:t xml:space="preserve">mais de 50% dos acionamentos de assistências e sinistros </w:t>
      </w:r>
      <w:r w:rsidR="007069AA" w:rsidRPr="00836F72">
        <w:t xml:space="preserve">ocorreram </w:t>
      </w:r>
      <w:r w:rsidR="00F5692C" w:rsidRPr="00836F72">
        <w:t>via canais digitais e 800 mil atendimentos via Bot no WhatsApp. Superamos a marca de mais de 5 milhões de clientes digitais (65% de nossa base).</w:t>
      </w:r>
    </w:p>
    <w:p w14:paraId="4F53E387" w14:textId="02F870A4" w:rsidR="00F5692C" w:rsidRDefault="00E559A7" w:rsidP="00F5692C">
      <w:pPr>
        <w:pStyle w:val="01-Textonormal"/>
      </w:pPr>
      <w:r>
        <w:t>Foram entregues</w:t>
      </w:r>
      <w:r w:rsidR="00F5692C">
        <w:t xml:space="preserve"> mais de 2 novas funcionalidades por mês nos canais digitais </w:t>
      </w:r>
      <w:r>
        <w:t xml:space="preserve">do Banco do Brasil </w:t>
      </w:r>
      <w:r w:rsidR="00F5692C">
        <w:t>no esforço de</w:t>
      </w:r>
      <w:r w:rsidR="00EA11A4">
        <w:t xml:space="preserve"> implementar jornadas digitais para todos os produtos d</w:t>
      </w:r>
      <w:r w:rsidR="00054BF7">
        <w:t>a carteira</w:t>
      </w:r>
      <w:r w:rsidR="00F5692C">
        <w:t xml:space="preserve"> da BB Seguridade</w:t>
      </w:r>
      <w:r>
        <w:t xml:space="preserve"> no principal balcão de vendas da Companhia</w:t>
      </w:r>
      <w:r w:rsidR="00F5692C">
        <w:t>, garanti</w:t>
      </w:r>
      <w:r w:rsidR="00EA11A4">
        <w:t>ndo u</w:t>
      </w:r>
      <w:r w:rsidR="00F5692C">
        <w:t xml:space="preserve">ma boa experiência do usuário </w:t>
      </w:r>
      <w:r w:rsidR="00EA11A4">
        <w:t>para torná-la um diferencial d</w:t>
      </w:r>
      <w:r w:rsidR="00F5692C">
        <w:t xml:space="preserve">o negócio. </w:t>
      </w:r>
    </w:p>
    <w:p w14:paraId="604C9FE3" w14:textId="37EEF589" w:rsidR="00F5692C" w:rsidRDefault="00E559A7" w:rsidP="00F5692C">
      <w:pPr>
        <w:pStyle w:val="01-Textonormal"/>
      </w:pPr>
      <w:r>
        <w:t>O</w:t>
      </w:r>
      <w:r w:rsidR="00F5692C">
        <w:t xml:space="preserve"> programa de </w:t>
      </w:r>
      <w:r w:rsidR="00F5692C" w:rsidRPr="00055252">
        <w:rPr>
          <w:i/>
          <w:iCs/>
        </w:rPr>
        <w:t>Beta Testers</w:t>
      </w:r>
      <w:r>
        <w:t xml:space="preserve"> </w:t>
      </w:r>
      <w:r w:rsidR="00F5692C">
        <w:t xml:space="preserve">de produtos de seguridade ultrapassou a marca de 4 mil clientes ativos que, com mais de 3 mil avaliações, </w:t>
      </w:r>
      <w:r w:rsidR="00836F72">
        <w:t>contribuíram para a</w:t>
      </w:r>
      <w:r w:rsidR="00F5692C">
        <w:t xml:space="preserve"> construção de 14 jornadas de produtos e teste de 12 hipóteses de conceito, economizando mais de mil horas de pesquisas de campo. </w:t>
      </w:r>
    </w:p>
    <w:p w14:paraId="4042AC20" w14:textId="7463B6D7" w:rsidR="00F5692C" w:rsidRDefault="00836F72" w:rsidP="00F5692C">
      <w:pPr>
        <w:pStyle w:val="01-Textonormal"/>
      </w:pPr>
      <w:r>
        <w:t>A</w:t>
      </w:r>
      <w:r w:rsidR="00F5692C">
        <w:t xml:space="preserve"> estratégia de dados é baseada nos pilares de engenharia, ciência e governança de dados, além do aculturamento do conglomerado sobre o tema. O principal objetivo é tornar dados o principal indutor de negócios na empresa</w:t>
      </w:r>
      <w:r w:rsidR="006C0920">
        <w:t>.</w:t>
      </w:r>
      <w:r w:rsidR="00F5692C">
        <w:t xml:space="preserve"> Em 2021, </w:t>
      </w:r>
      <w:r w:rsidR="006C0920">
        <w:t>foram lançadas 7</w:t>
      </w:r>
      <w:r w:rsidR="00F5692C">
        <w:t xml:space="preserve">2 iniciativas voltadas para geração de valor utilizando ferramentas e modelos de inteligência de dados, com destaque para os modelos de aumento de receita que, no ano, geraram faturamento adicional na ordem de R$ 149 milhões e a realocação de mais de R$ 79 bilhões de recursos de clientes em fundos de investimentos de planos de previdência. </w:t>
      </w:r>
    </w:p>
    <w:p w14:paraId="64F1E7A5" w14:textId="66FA732B" w:rsidR="0070509B" w:rsidRDefault="006C0920" w:rsidP="00F5692C">
      <w:pPr>
        <w:pStyle w:val="01-Textonormal"/>
      </w:pPr>
      <w:r>
        <w:t xml:space="preserve">Em 2021, foram despendidos </w:t>
      </w:r>
      <w:r w:rsidR="00BE162E">
        <w:t xml:space="preserve">cerca </w:t>
      </w:r>
      <w:r>
        <w:t>de R$33</w:t>
      </w:r>
      <w:r w:rsidR="00BE162E">
        <w:t>3</w:t>
      </w:r>
      <w:r>
        <w:t xml:space="preserve"> milhões em iniciativas que t</w:t>
      </w:r>
      <w:r w:rsidR="0000734A">
        <w:t>ê</w:t>
      </w:r>
      <w:r>
        <w:t>m como objetivo realizar a modernização tecnológica e a transformação digital das empresas do conglomerado</w:t>
      </w:r>
      <w:r w:rsidR="00D37872">
        <w:t xml:space="preserve"> BB Seguridade</w:t>
      </w:r>
      <w:r>
        <w:t>, considerando uma visão consolidada da holding e suas investidas</w:t>
      </w:r>
      <w:r w:rsidR="00724A2F">
        <w:t xml:space="preserve">, e a expectativa é de expandir </w:t>
      </w:r>
      <w:r w:rsidR="00EE7103">
        <w:t xml:space="preserve">o </w:t>
      </w:r>
      <w:r w:rsidR="00724A2F">
        <w:t xml:space="preserve">volume para acelerar </w:t>
      </w:r>
      <w:r w:rsidR="00A94AE9">
        <w:t>ess</w:t>
      </w:r>
      <w:r w:rsidR="00724A2F">
        <w:t>a agenda.</w:t>
      </w:r>
    </w:p>
    <w:p w14:paraId="6DB1B95F" w14:textId="1909D284" w:rsidR="00662995" w:rsidRPr="00591873" w:rsidRDefault="00662995" w:rsidP="00591873">
      <w:pPr>
        <w:pStyle w:val="03-SubttulodeNota"/>
        <w:rPr>
          <w:color w:val="1F4E79" w:themeColor="accent1" w:themeShade="80"/>
        </w:rPr>
      </w:pPr>
      <w:r w:rsidRPr="00591873">
        <w:rPr>
          <w:color w:val="1F4E79" w:themeColor="accent1" w:themeShade="80"/>
        </w:rPr>
        <w:lastRenderedPageBreak/>
        <w:t>Diversificação de Canais</w:t>
      </w:r>
    </w:p>
    <w:p w14:paraId="68982763" w14:textId="330C406D" w:rsidR="008142B1" w:rsidRDefault="00167CF0">
      <w:pPr>
        <w:pStyle w:val="01-Textonormal"/>
      </w:pPr>
      <w:r>
        <w:t>O</w:t>
      </w:r>
      <w:r w:rsidR="008142B1">
        <w:t xml:space="preserve"> mercado</w:t>
      </w:r>
      <w:r>
        <w:t xml:space="preserve"> de</w:t>
      </w:r>
      <w:r w:rsidR="008142B1">
        <w:t xml:space="preserve"> segur</w:t>
      </w:r>
      <w:r>
        <w:t>idade</w:t>
      </w:r>
      <w:r w:rsidR="008142B1">
        <w:t xml:space="preserve"> brasileiro </w:t>
      </w:r>
      <w:r>
        <w:t xml:space="preserve">apresenta concentração em </w:t>
      </w:r>
      <w:r w:rsidR="00771231">
        <w:t xml:space="preserve">empresas </w:t>
      </w:r>
      <w:r>
        <w:t>que possuem algum tipo de relação societária ou comercial com grandes bancos tradicionais</w:t>
      </w:r>
      <w:r w:rsidR="00104483">
        <w:t>,</w:t>
      </w:r>
      <w:r>
        <w:t xml:space="preserve"> que lhe</w:t>
      </w:r>
      <w:r w:rsidR="00104483">
        <w:t>s</w:t>
      </w:r>
      <w:r>
        <w:t xml:space="preserve"> confere acesso aos seus canais físicos e digitais, em um modelo conhecido como </w:t>
      </w:r>
      <w:r w:rsidRPr="00591873">
        <w:rPr>
          <w:i/>
          <w:iCs/>
        </w:rPr>
        <w:t>bancassurance</w:t>
      </w:r>
      <w:r>
        <w:t>.</w:t>
      </w:r>
      <w:r w:rsidR="008142B1">
        <w:t xml:space="preserve"> </w:t>
      </w:r>
      <w:r w:rsidR="00771231">
        <w:t xml:space="preserve">Tal fator está ligado à falta de cultura </w:t>
      </w:r>
      <w:r w:rsidR="003C56B0">
        <w:t xml:space="preserve">de proteção de bens e renda </w:t>
      </w:r>
      <w:r w:rsidR="00771231">
        <w:t>do brasileiro</w:t>
      </w:r>
      <w:r w:rsidR="003C56B0">
        <w:t>, o que</w:t>
      </w:r>
      <w:r w:rsidR="00104483">
        <w:t xml:space="preserve"> demanda uma rede de distribuição que conte com uma força de vendas ampla e qualificada para realizar a oferta ativa de produtos aos clientes.</w:t>
      </w:r>
      <w:r w:rsidR="003C56B0">
        <w:t xml:space="preserve"> </w:t>
      </w:r>
    </w:p>
    <w:p w14:paraId="0F9BA984" w14:textId="5CB2F873" w:rsidR="008142B1" w:rsidRDefault="00936758">
      <w:pPr>
        <w:pStyle w:val="01-Textonormal"/>
      </w:pPr>
      <w:r>
        <w:t>Nesse contexto, a</w:t>
      </w:r>
      <w:r w:rsidR="007308D3">
        <w:t xml:space="preserve"> grande fortaleza do modelo de negócios da BB Seguridade</w:t>
      </w:r>
      <w:r w:rsidR="008142B1">
        <w:t xml:space="preserve"> é poder contar com a rede de distribuição do Banco do Brasil, responsável pela maior parte das vendas dos produtos de seguridade do conglomerado</w:t>
      </w:r>
      <w:r w:rsidR="00104483">
        <w:t>.</w:t>
      </w:r>
      <w:r w:rsidR="008142B1">
        <w:t xml:space="preserve"> </w:t>
      </w:r>
    </w:p>
    <w:p w14:paraId="2464EBA8" w14:textId="0F2C8DEB" w:rsidR="008142B1" w:rsidRDefault="00375231">
      <w:pPr>
        <w:pStyle w:val="01-Textonormal"/>
      </w:pPr>
      <w:r>
        <w:t>Contando com</w:t>
      </w:r>
      <w:r w:rsidR="008142B1">
        <w:t xml:space="preserve"> esse importante </w:t>
      </w:r>
      <w:r w:rsidR="00321EC5">
        <w:t>porto seguro</w:t>
      </w:r>
      <w:r w:rsidR="008142B1">
        <w:t>,</w:t>
      </w:r>
      <w:r w:rsidR="00104483">
        <w:t xml:space="preserve"> que garante volumes de faturamento</w:t>
      </w:r>
      <w:r w:rsidR="00321EC5">
        <w:t xml:space="preserve"> e margens</w:t>
      </w:r>
      <w:r w:rsidR="00104483">
        <w:t xml:space="preserve"> elevad</w:t>
      </w:r>
      <w:r w:rsidR="00321EC5">
        <w:t>a</w:t>
      </w:r>
      <w:r w:rsidR="00104483">
        <w:t>s para as empresas investidas,</w:t>
      </w:r>
      <w:r w:rsidR="008142B1">
        <w:t xml:space="preserve"> mas também atenta aos sinais de </w:t>
      </w:r>
      <w:r w:rsidR="00104483">
        <w:t xml:space="preserve">possíveis </w:t>
      </w:r>
      <w:r w:rsidR="008142B1">
        <w:t>mudança</w:t>
      </w:r>
      <w:r w:rsidR="00321EC5">
        <w:t xml:space="preserve">s que possam ocorrer na indústria a médio e longo prazo, </w:t>
      </w:r>
      <w:r w:rsidR="00936758">
        <w:t>a</w:t>
      </w:r>
      <w:r w:rsidR="00321EC5">
        <w:t xml:space="preserve"> BB Seguridade tem como um dos pilares de sua estratégia a prospecção e desenvolvimento de novos modelos e canais para comercialização de seus produtos</w:t>
      </w:r>
      <w:r w:rsidR="00936758">
        <w:t>, em um esforço coletivo entre a BB Corretora e todas as outras empresas do grupo</w:t>
      </w:r>
      <w:r w:rsidR="00603247">
        <w:t>.</w:t>
      </w:r>
      <w:r w:rsidR="00936758">
        <w:t xml:space="preserve"> </w:t>
      </w:r>
    </w:p>
    <w:p w14:paraId="600B2307" w14:textId="6106D9E9" w:rsidR="00936758" w:rsidRDefault="00936758">
      <w:pPr>
        <w:pStyle w:val="01-Textonormal"/>
      </w:pPr>
      <w:r>
        <w:t xml:space="preserve">Em 2021, </w:t>
      </w:r>
      <w:r w:rsidR="009328E7">
        <w:t>o</w:t>
      </w:r>
      <w:r>
        <w:t xml:space="preserve"> </w:t>
      </w:r>
      <w:r w:rsidR="00804A6C">
        <w:t xml:space="preserve">movimento </w:t>
      </w:r>
      <w:r>
        <w:t xml:space="preserve">mais estruturante foi a criação de uma </w:t>
      </w:r>
      <w:r w:rsidR="00375231">
        <w:t xml:space="preserve">área </w:t>
      </w:r>
      <w:r>
        <w:t>dedicada</w:t>
      </w:r>
      <w:r w:rsidR="009328E7">
        <w:t xml:space="preserve"> a</w:t>
      </w:r>
      <w:r>
        <w:t xml:space="preserve"> </w:t>
      </w:r>
      <w:r w:rsidR="00804A6C">
        <w:t xml:space="preserve">identificar e desenvolver novas fontes de receita e canais de oferta, que apesar de recente já começou a </w:t>
      </w:r>
      <w:r w:rsidR="009328E7">
        <w:t xml:space="preserve">entregar resultados que aumentam o potencial de faturamento em </w:t>
      </w:r>
      <w:r w:rsidR="002F6917">
        <w:t xml:space="preserve">novos </w:t>
      </w:r>
      <w:r w:rsidR="009328E7">
        <w:t>canais não Banco do Brasil para 2022</w:t>
      </w:r>
      <w:r w:rsidR="00804A6C">
        <w:t>.</w:t>
      </w:r>
    </w:p>
    <w:p w14:paraId="34592C6C" w14:textId="1A90000E" w:rsidR="009328E7" w:rsidRDefault="00D95BBE">
      <w:pPr>
        <w:pStyle w:val="01-Textonormal"/>
      </w:pPr>
      <w:r>
        <w:t>N</w:t>
      </w:r>
      <w:r w:rsidR="00804A6C">
        <w:t>o ano foram credenciados mais de 200 correspondentes bancários para oferta especializada de seguros rurais.</w:t>
      </w:r>
      <w:r w:rsidR="009328E7">
        <w:t xml:space="preserve"> Ainda com foco no agronegócio, um dos principais segmentos da Companhia, foi firmada parceria com a Agrogalaxy, </w:t>
      </w:r>
      <w:r w:rsidR="009328E7" w:rsidRPr="009328E7">
        <w:t>uma das maiores plataformas de varejo de insumos agrícolas e serviços voltados para o agronegócio, para oferta de seguros rurais, patrimoniais e de vida aos produtores</w:t>
      </w:r>
      <w:r w:rsidR="009328E7">
        <w:t>.</w:t>
      </w:r>
    </w:p>
    <w:p w14:paraId="4588786A" w14:textId="5A940AE0" w:rsidR="00804A6C" w:rsidRDefault="009328E7">
      <w:pPr>
        <w:pStyle w:val="01-Textonormal"/>
      </w:pPr>
      <w:r>
        <w:t xml:space="preserve">Também no final de 2021, </w:t>
      </w:r>
      <w:r w:rsidR="00804A6C">
        <w:t xml:space="preserve">foi firmado acordo com a Rede Promotiva </w:t>
      </w:r>
      <w:r w:rsidR="00804A6C" w:rsidRPr="00804A6C">
        <w:t xml:space="preserve">para promover </w:t>
      </w:r>
      <w:r w:rsidR="0056534D">
        <w:t xml:space="preserve">a </w:t>
      </w:r>
      <w:r w:rsidR="00804A6C" w:rsidRPr="00804A6C">
        <w:t>divulgação, angariação de clientes, distribuição, oferta e comercialização dos produtos de seguros</w:t>
      </w:r>
      <w:r w:rsidR="00804A6C">
        <w:t>, iniciando pelo prestamista</w:t>
      </w:r>
      <w:r w:rsidR="004D75D7">
        <w:t>.</w:t>
      </w:r>
    </w:p>
    <w:p w14:paraId="6C093C26" w14:textId="5EE2B069" w:rsidR="0056534D" w:rsidRDefault="0056534D">
      <w:pPr>
        <w:pStyle w:val="01-Textonormal"/>
      </w:pPr>
      <w:r>
        <w:t xml:space="preserve">Os esforços serão intensificados em 2022 e a expectativa da Companhia é encerrar o ano com mais de </w:t>
      </w:r>
      <w:r w:rsidR="00C0078D">
        <w:t>1</w:t>
      </w:r>
      <w:r w:rsidRPr="0036211D">
        <w:t>0</w:t>
      </w:r>
      <w:r>
        <w:t xml:space="preserve"> </w:t>
      </w:r>
      <w:r w:rsidR="00D84911">
        <w:t>iniciativas em operação.</w:t>
      </w:r>
    </w:p>
    <w:p w14:paraId="7FA44929" w14:textId="5CA73F12" w:rsidR="00662995" w:rsidRPr="00591873" w:rsidRDefault="009F7DA2" w:rsidP="00591873">
      <w:pPr>
        <w:pStyle w:val="03-SubttulodeNota"/>
        <w:rPr>
          <w:color w:val="1F4E79" w:themeColor="accent1" w:themeShade="80"/>
        </w:rPr>
      </w:pPr>
      <w:r w:rsidRPr="00591873">
        <w:rPr>
          <w:color w:val="1F4E79" w:themeColor="accent1" w:themeShade="80"/>
        </w:rPr>
        <w:t>Melhoria da Experiência de Clientes e Vendedores</w:t>
      </w:r>
      <w:r w:rsidR="007308D3" w:rsidRPr="00591873">
        <w:rPr>
          <w:color w:val="1F4E79" w:themeColor="accent1" w:themeShade="80"/>
        </w:rPr>
        <w:t xml:space="preserve"> </w:t>
      </w:r>
    </w:p>
    <w:p w14:paraId="29242FA9" w14:textId="0FF6CD94" w:rsidR="004D41EE" w:rsidRDefault="003C4E13" w:rsidP="003C4E13">
      <w:pPr>
        <w:pStyle w:val="01-Textonormal"/>
      </w:pPr>
      <w:r>
        <w:t>A BB Segur</w:t>
      </w:r>
      <w:r w:rsidR="00697D18">
        <w:t xml:space="preserve">idade </w:t>
      </w:r>
      <w:r>
        <w:t xml:space="preserve">tem como um de seus objetivos estratégicos </w:t>
      </w:r>
      <w:r w:rsidRPr="003C4E13">
        <w:t>transformar clientes em fãs, gerando encantamento com seus produtos, serviços, jornadas e relacionamento</w:t>
      </w:r>
      <w:r>
        <w:t>.</w:t>
      </w:r>
      <w:r w:rsidRPr="003C4E13">
        <w:t xml:space="preserve"> </w:t>
      </w:r>
      <w:r>
        <w:t xml:space="preserve">Para isso, </w:t>
      </w:r>
      <w:r w:rsidR="004D41EE">
        <w:t xml:space="preserve">busca constantemente </w:t>
      </w:r>
      <w:r>
        <w:t>a construção de uma relação composta por diálogo, transparência e cumplicidade</w:t>
      </w:r>
      <w:r w:rsidR="004D41EE">
        <w:t xml:space="preserve">, destinando esforços em conjunto com suas investidas para que o cliente se sinta acompanhado em todos os seus momentos de vida. </w:t>
      </w:r>
    </w:p>
    <w:p w14:paraId="4DA79F2C" w14:textId="118DB78A" w:rsidR="003C4E13" w:rsidRDefault="007023E1" w:rsidP="003C4E13">
      <w:pPr>
        <w:pStyle w:val="01-Textonormal"/>
      </w:pPr>
      <w:r>
        <w:t>Nessa linha, a Companhia</w:t>
      </w:r>
      <w:r w:rsidR="001C1964">
        <w:t xml:space="preserve"> vem intensificando o uso de </w:t>
      </w:r>
      <w:r w:rsidR="004D41EE">
        <w:t>canais digitais e atendimento de especialistas para manter um contato frequente que traga desde informações e orientação sobre os produtos e serviços adquiridos até dicas e conteúdos diversificados.</w:t>
      </w:r>
      <w:r w:rsidR="003C4E13">
        <w:t xml:space="preserve"> </w:t>
      </w:r>
      <w:r>
        <w:t>F</w:t>
      </w:r>
      <w:r w:rsidR="001C1964">
        <w:t>oi ampliad</w:t>
      </w:r>
      <w:r>
        <w:t>a</w:t>
      </w:r>
      <w:r w:rsidR="001C1964">
        <w:t xml:space="preserve"> p</w:t>
      </w:r>
      <w:r w:rsidR="003C4E13">
        <w:t xml:space="preserve">ara todos os produtos a estratégia de pós-venda utilizando canais digitais, </w:t>
      </w:r>
      <w:r w:rsidR="001C1964">
        <w:t xml:space="preserve">com </w:t>
      </w:r>
      <w:r w:rsidR="003C4E13">
        <w:t>entrega</w:t>
      </w:r>
      <w:r w:rsidR="001C1964">
        <w:t xml:space="preserve"> de</w:t>
      </w:r>
      <w:r w:rsidR="003C4E13">
        <w:t xml:space="preserve"> informações e orientação sobre produtos e serviços, além de dicas e conteúdos diversificados que auxiliam as pessoas a aproveitarem melhor as diversas soluções adquiridas.</w:t>
      </w:r>
      <w:r w:rsidR="00773CBB">
        <w:t xml:space="preserve"> </w:t>
      </w:r>
      <w:r w:rsidR="001C1964">
        <w:t>Ao todo, foram cerca de 2</w:t>
      </w:r>
      <w:r w:rsidR="00773CBB" w:rsidRPr="00773CBB">
        <w:t xml:space="preserve"> mil ações de pós</w:t>
      </w:r>
      <w:r w:rsidR="00C046C1">
        <w:t>-</w:t>
      </w:r>
      <w:r w:rsidR="00773CBB" w:rsidRPr="00773CBB">
        <w:t xml:space="preserve">venda realizadas via canais digitais, gerando mais de </w:t>
      </w:r>
      <w:r w:rsidR="00316347">
        <w:t>33</w:t>
      </w:r>
      <w:r w:rsidR="00773CBB" w:rsidRPr="00773CBB">
        <w:t xml:space="preserve"> milhões de contatos efetivos</w:t>
      </w:r>
      <w:r>
        <w:t xml:space="preserve"> </w:t>
      </w:r>
      <w:r w:rsidRPr="007023E1">
        <w:t>que alcançaram 4 milhões de clientes ao longo do ano</w:t>
      </w:r>
      <w:r>
        <w:t xml:space="preserve">. </w:t>
      </w:r>
    </w:p>
    <w:p w14:paraId="32923AE5" w14:textId="7769E24E" w:rsidR="003C4E13" w:rsidRDefault="003C4E13" w:rsidP="003C4E13">
      <w:pPr>
        <w:pStyle w:val="01-Textonormal"/>
      </w:pPr>
      <w:r>
        <w:t xml:space="preserve">Ainda respeitando o distanciamento social, </w:t>
      </w:r>
      <w:r w:rsidR="007023E1">
        <w:t xml:space="preserve">foi mantida </w:t>
      </w:r>
      <w:r>
        <w:t xml:space="preserve">a realização de conselhos de clientes para obter a percepção </w:t>
      </w:r>
      <w:r w:rsidR="007023E1">
        <w:t xml:space="preserve">desse público </w:t>
      </w:r>
      <w:r>
        <w:t xml:space="preserve">sobre nossos produtos, serviços e jornadas. </w:t>
      </w:r>
      <w:r w:rsidR="00943313">
        <w:t xml:space="preserve">No total </w:t>
      </w:r>
      <w:r w:rsidR="007023E1">
        <w:t xml:space="preserve">foram 5 conselhos realizados no ano, com a coleta de 63 </w:t>
      </w:r>
      <w:r>
        <w:t xml:space="preserve">novos </w:t>
      </w:r>
      <w:r w:rsidRPr="00055252">
        <w:rPr>
          <w:i/>
          <w:iCs/>
        </w:rPr>
        <w:t>insights</w:t>
      </w:r>
      <w:r w:rsidR="002F0DC8">
        <w:t xml:space="preserve"> e a implementação de </w:t>
      </w:r>
      <w:r w:rsidR="007023E1">
        <w:t xml:space="preserve">13 melhorias </w:t>
      </w:r>
      <w:r w:rsidR="002F0DC8">
        <w:t>para aprimoramento d</w:t>
      </w:r>
      <w:r>
        <w:t>a experiência dos nossos clientes. A implementação de ferramentas para acompanhamento de sinistros em canais digitais para clientes dos Seguros de Vida e Previdência materializa melhoria implantada a partir da voz do cliente.</w:t>
      </w:r>
    </w:p>
    <w:p w14:paraId="3379CA1D" w14:textId="77777777" w:rsidR="000A04FE" w:rsidRDefault="000A04FE" w:rsidP="003C4E13">
      <w:pPr>
        <w:pStyle w:val="01-Textonormal"/>
      </w:pPr>
      <w:r>
        <w:t xml:space="preserve">A </w:t>
      </w:r>
      <w:r w:rsidR="003C4E13">
        <w:t>realização de fóruns mensais envolvendo todos os intervenientes que podem contribuir com a melhoria da experiência com nossas soluções</w:t>
      </w:r>
      <w:r>
        <w:t xml:space="preserve"> também foi mantida</w:t>
      </w:r>
      <w:r w:rsidR="003C4E13">
        <w:t xml:space="preserve">. </w:t>
      </w:r>
      <w:r>
        <w:t>O transbordo direto aos especialistas das centrais de atendimento de cada investida também contribuiu para o aumento da resolutividade e qualidade da informação prestada aos clientes.</w:t>
      </w:r>
    </w:p>
    <w:p w14:paraId="5285174D" w14:textId="3958E7C9" w:rsidR="00365F37" w:rsidRDefault="00697D18" w:rsidP="003C4E13">
      <w:pPr>
        <w:pStyle w:val="01-Textonormal"/>
      </w:pPr>
      <w:r>
        <w:t xml:space="preserve">Não somente o cliente tem voz na BB Seguridade. Os esforços da </w:t>
      </w:r>
      <w:r w:rsidR="00C15528">
        <w:t>Companhia também se concentram na melhoria da jornada da sua principal força de vendas, os colaboradores da rede de distribuição do Banco do Brasil, buscando manter a relevância da oferta dos produtos de seguridade no dia-a-dia do relacionamento com os clientes</w:t>
      </w:r>
      <w:r w:rsidR="00943313">
        <w:t xml:space="preserve"> do banco</w:t>
      </w:r>
      <w:r w:rsidR="00C15528">
        <w:t xml:space="preserve">. </w:t>
      </w:r>
    </w:p>
    <w:p w14:paraId="11C6C04C" w14:textId="308D113D" w:rsidR="00365F37" w:rsidRDefault="00B27C74" w:rsidP="003C4E13">
      <w:pPr>
        <w:pStyle w:val="01-Textonormal"/>
      </w:pPr>
      <w:r>
        <w:t>Em 2021, foi lançado o “Embaixadores</w:t>
      </w:r>
      <w:r w:rsidR="00C15528">
        <w:t xml:space="preserve"> </w:t>
      </w:r>
      <w:r>
        <w:t>da Marca”</w:t>
      </w:r>
      <w:r w:rsidR="00365F37">
        <w:t xml:space="preserve">, com ampliação de benefícios a funcionários do Banco do Brasil </w:t>
      </w:r>
      <w:r w:rsidR="00943313">
        <w:t>par</w:t>
      </w:r>
      <w:r w:rsidR="00365F37">
        <w:t xml:space="preserve">a compra de produtos da BB Seguridade, buscando aumento de engajamento da força de vendas. </w:t>
      </w:r>
    </w:p>
    <w:p w14:paraId="3405EAD6" w14:textId="50C01873" w:rsidR="00662995" w:rsidRDefault="00365F37" w:rsidP="003C4E13">
      <w:pPr>
        <w:pStyle w:val="01-Textonormal"/>
      </w:pPr>
      <w:r>
        <w:t xml:space="preserve">Além disso, o apoio à rede do Banco do Brasil para resolução de problemas foi melhorado, o que fica evidenciado pela redução de </w:t>
      </w:r>
      <w:r w:rsidRPr="005271F8">
        <w:t>33%</w:t>
      </w:r>
      <w:r>
        <w:t xml:space="preserve"> do tempo médio de atendimento e crescimento de</w:t>
      </w:r>
      <w:r w:rsidR="00A26587">
        <w:t xml:space="preserve"> 25,7%</w:t>
      </w:r>
      <w:r>
        <w:t xml:space="preserve"> da satisfação.</w:t>
      </w:r>
    </w:p>
    <w:p w14:paraId="2E222ED4" w14:textId="1093A955" w:rsidR="00F8715C" w:rsidRDefault="00F8715C" w:rsidP="00771F0E">
      <w:pPr>
        <w:pStyle w:val="01-Textonormal"/>
      </w:pPr>
    </w:p>
    <w:p w14:paraId="0BD3E3F8" w14:textId="5ADD6803" w:rsidR="00055252" w:rsidRDefault="00055252" w:rsidP="00771F0E">
      <w:pPr>
        <w:pStyle w:val="01-Textonormal"/>
      </w:pPr>
    </w:p>
    <w:p w14:paraId="7AEC2526" w14:textId="77777777" w:rsidR="00055252" w:rsidRPr="00F8715C" w:rsidRDefault="00055252" w:rsidP="00771F0E">
      <w:pPr>
        <w:pStyle w:val="01-Textonormal"/>
      </w:pPr>
    </w:p>
    <w:p w14:paraId="55896325" w14:textId="25C236A4"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lastRenderedPageBreak/>
        <w:t xml:space="preserve">COMERCIAL, </w:t>
      </w:r>
      <w:r w:rsidR="00606D03">
        <w:rPr>
          <w:color w:val="1F4E79" w:themeColor="accent1" w:themeShade="80"/>
        </w:rPr>
        <w:t xml:space="preserve">MARKETING E </w:t>
      </w:r>
      <w:r>
        <w:rPr>
          <w:color w:val="1F4E79" w:themeColor="accent1" w:themeShade="80"/>
        </w:rPr>
        <w:t xml:space="preserve">PRODUTOS </w:t>
      </w:r>
    </w:p>
    <w:p w14:paraId="590D63C2" w14:textId="765F163F" w:rsidR="00C81A16" w:rsidRDefault="00CD08F4" w:rsidP="00C81A16">
      <w:pPr>
        <w:jc w:val="both"/>
        <w:rPr>
          <w:rFonts w:eastAsia="Times New Roman" w:cs="Times New Roman"/>
          <w:szCs w:val="18"/>
          <w:lang w:eastAsia="pt-BR"/>
        </w:rPr>
      </w:pPr>
      <w:r>
        <w:rPr>
          <w:rFonts w:eastAsia="Times New Roman" w:cs="Times New Roman"/>
          <w:szCs w:val="18"/>
          <w:lang w:eastAsia="pt-BR"/>
        </w:rPr>
        <w:t xml:space="preserve">Para continuar sendo relevante para clientes e vendedores, a BB Seguridade </w:t>
      </w:r>
      <w:r w:rsidR="003E5B86">
        <w:rPr>
          <w:rFonts w:eastAsia="Times New Roman" w:cs="Times New Roman"/>
          <w:szCs w:val="18"/>
          <w:lang w:eastAsia="pt-BR"/>
        </w:rPr>
        <w:t xml:space="preserve">investiu esforços em 2021 para revitalizar </w:t>
      </w:r>
      <w:r w:rsidR="00054BF7">
        <w:rPr>
          <w:rFonts w:eastAsia="Times New Roman" w:cs="Times New Roman"/>
          <w:szCs w:val="18"/>
          <w:lang w:eastAsia="pt-BR"/>
        </w:rPr>
        <w:t>a sua carteira</w:t>
      </w:r>
      <w:r w:rsidR="00B2571B">
        <w:rPr>
          <w:rFonts w:eastAsia="Times New Roman" w:cs="Times New Roman"/>
          <w:szCs w:val="18"/>
          <w:lang w:eastAsia="pt-BR"/>
        </w:rPr>
        <w:t xml:space="preserve"> produtos, com ampliação das soluções digitais e melhorias nas jornadas, buscando oferecer a</w:t>
      </w:r>
      <w:r w:rsidR="00A0595F">
        <w:rPr>
          <w:rFonts w:eastAsia="Times New Roman" w:cs="Times New Roman"/>
          <w:szCs w:val="18"/>
          <w:lang w:eastAsia="pt-BR"/>
        </w:rPr>
        <w:t>s</w:t>
      </w:r>
      <w:r w:rsidR="00B2571B">
        <w:rPr>
          <w:rFonts w:eastAsia="Times New Roman" w:cs="Times New Roman"/>
          <w:szCs w:val="18"/>
          <w:lang w:eastAsia="pt-BR"/>
        </w:rPr>
        <w:t xml:space="preserve"> melhores soluções para proteção de bens, conquistas e projetos.</w:t>
      </w:r>
    </w:p>
    <w:p w14:paraId="4BA966FF" w14:textId="5780E8CC" w:rsidR="00AC2BB9" w:rsidRDefault="00AC2BB9" w:rsidP="00C81A16">
      <w:pPr>
        <w:jc w:val="both"/>
        <w:rPr>
          <w:rFonts w:eastAsia="Times New Roman" w:cs="Times New Roman"/>
          <w:szCs w:val="18"/>
          <w:lang w:eastAsia="pt-BR"/>
        </w:rPr>
      </w:pPr>
      <w:r>
        <w:rPr>
          <w:rFonts w:eastAsia="Times New Roman" w:cs="Times New Roman"/>
          <w:szCs w:val="18"/>
          <w:lang w:eastAsia="pt-BR"/>
        </w:rPr>
        <w:t>No primeiro trimestre foi implantado um novo seguro residencial, com o modelo simplificado de oferta de planos e contando com novos pacotes de assistência e de benefícios premium, elevando em 221% o tíquete médio do produto</w:t>
      </w:r>
      <w:r w:rsidR="008A4094">
        <w:rPr>
          <w:rFonts w:eastAsia="Times New Roman" w:cs="Times New Roman"/>
          <w:szCs w:val="18"/>
          <w:lang w:eastAsia="pt-BR"/>
        </w:rPr>
        <w:t xml:space="preserve">, melhorando o NPS e contribuindo para aumento das vendas em canais digitais. </w:t>
      </w:r>
      <w:r>
        <w:rPr>
          <w:rFonts w:eastAsia="Times New Roman" w:cs="Times New Roman"/>
          <w:szCs w:val="18"/>
          <w:lang w:eastAsia="pt-BR"/>
        </w:rPr>
        <w:t xml:space="preserve">Cabe ressaltar que esse produto já foi implementado </w:t>
      </w:r>
      <w:r w:rsidR="00A0595F">
        <w:rPr>
          <w:rFonts w:eastAsia="Times New Roman" w:cs="Times New Roman"/>
          <w:szCs w:val="18"/>
          <w:lang w:eastAsia="pt-BR"/>
        </w:rPr>
        <w:t xml:space="preserve">na </w:t>
      </w:r>
      <w:r>
        <w:rPr>
          <w:rFonts w:eastAsia="Times New Roman" w:cs="Times New Roman"/>
          <w:szCs w:val="18"/>
          <w:lang w:eastAsia="pt-BR"/>
        </w:rPr>
        <w:t>nova arquitetura de tecnologia orientada a serviço, o que, dentre outros benefícios, torna a venda em outros canais de distribuição mais ágil de ser implementada</w:t>
      </w:r>
      <w:r w:rsidR="008A4094">
        <w:rPr>
          <w:rFonts w:eastAsia="Times New Roman" w:cs="Times New Roman"/>
          <w:szCs w:val="18"/>
          <w:lang w:eastAsia="pt-BR"/>
        </w:rPr>
        <w:t>.</w:t>
      </w:r>
    </w:p>
    <w:p w14:paraId="7A8F9EC3" w14:textId="4D58F735" w:rsidR="00B2571B" w:rsidRDefault="008A4094" w:rsidP="00C81A16">
      <w:pPr>
        <w:jc w:val="both"/>
        <w:rPr>
          <w:rFonts w:eastAsia="Times New Roman" w:cs="Times New Roman"/>
          <w:szCs w:val="18"/>
          <w:lang w:eastAsia="pt-BR"/>
        </w:rPr>
      </w:pPr>
      <w:r>
        <w:rPr>
          <w:rFonts w:eastAsia="Times New Roman" w:cs="Times New Roman"/>
          <w:szCs w:val="18"/>
          <w:lang w:eastAsia="pt-BR"/>
        </w:rPr>
        <w:t>No segmento de pessoas, a</w:t>
      </w:r>
      <w:r w:rsidR="003E5B86" w:rsidRPr="003E5B86">
        <w:rPr>
          <w:rFonts w:eastAsia="Times New Roman" w:cs="Times New Roman"/>
          <w:szCs w:val="18"/>
          <w:lang w:eastAsia="pt-BR"/>
        </w:rPr>
        <w:t xml:space="preserve"> comercialização do novo</w:t>
      </w:r>
      <w:r w:rsidR="003E5B86">
        <w:rPr>
          <w:rFonts w:eastAsia="Times New Roman" w:cs="Times New Roman"/>
          <w:szCs w:val="18"/>
          <w:lang w:eastAsia="pt-BR"/>
        </w:rPr>
        <w:t xml:space="preserve"> seguro prestamista </w:t>
      </w:r>
      <w:r w:rsidR="003E5B86" w:rsidRPr="003E5B86">
        <w:rPr>
          <w:rFonts w:eastAsia="Times New Roman" w:cs="Times New Roman"/>
          <w:szCs w:val="18"/>
          <w:lang w:eastAsia="pt-BR"/>
        </w:rPr>
        <w:t xml:space="preserve">no </w:t>
      </w:r>
      <w:r w:rsidR="003E5B86">
        <w:rPr>
          <w:rFonts w:eastAsia="Times New Roman" w:cs="Times New Roman"/>
          <w:szCs w:val="18"/>
          <w:lang w:eastAsia="pt-BR"/>
        </w:rPr>
        <w:t>aplicativo BB</w:t>
      </w:r>
      <w:r w:rsidR="00AC2BB9">
        <w:rPr>
          <w:rFonts w:eastAsia="Times New Roman" w:cs="Times New Roman"/>
          <w:szCs w:val="18"/>
          <w:lang w:eastAsia="pt-BR"/>
        </w:rPr>
        <w:t xml:space="preserve"> </w:t>
      </w:r>
      <w:r>
        <w:rPr>
          <w:rFonts w:eastAsia="Times New Roman" w:cs="Times New Roman"/>
          <w:szCs w:val="18"/>
          <w:lang w:eastAsia="pt-BR"/>
        </w:rPr>
        <w:t xml:space="preserve">foi colocada em produção em maio e </w:t>
      </w:r>
      <w:r w:rsidR="00AC2BB9">
        <w:rPr>
          <w:rFonts w:eastAsia="Times New Roman" w:cs="Times New Roman"/>
          <w:szCs w:val="18"/>
          <w:lang w:eastAsia="pt-BR"/>
        </w:rPr>
        <w:t xml:space="preserve">teve como objetivo </w:t>
      </w:r>
      <w:r w:rsidR="003E5B86" w:rsidRPr="003E5B86">
        <w:rPr>
          <w:rFonts w:eastAsia="Times New Roman" w:cs="Times New Roman"/>
          <w:szCs w:val="18"/>
          <w:lang w:eastAsia="pt-BR"/>
        </w:rPr>
        <w:t xml:space="preserve">trazer de forma simples e efetiva </w:t>
      </w:r>
      <w:r w:rsidR="00346CEF">
        <w:rPr>
          <w:rFonts w:eastAsia="Times New Roman" w:cs="Times New Roman"/>
          <w:szCs w:val="18"/>
          <w:lang w:eastAsia="pt-BR"/>
        </w:rPr>
        <w:t>um</w:t>
      </w:r>
      <w:r w:rsidR="003E5B86" w:rsidRPr="003E5B86">
        <w:rPr>
          <w:rFonts w:eastAsia="Times New Roman" w:cs="Times New Roman"/>
          <w:szCs w:val="18"/>
          <w:lang w:eastAsia="pt-BR"/>
        </w:rPr>
        <w:t xml:space="preserve">a melhor experiência </w:t>
      </w:r>
      <w:r w:rsidR="003E5B86">
        <w:rPr>
          <w:rFonts w:eastAsia="Times New Roman" w:cs="Times New Roman"/>
          <w:szCs w:val="18"/>
          <w:lang w:eastAsia="pt-BR"/>
        </w:rPr>
        <w:t xml:space="preserve">de autosserviço </w:t>
      </w:r>
      <w:r w:rsidR="003E5B86" w:rsidRPr="003E5B86">
        <w:rPr>
          <w:rFonts w:eastAsia="Times New Roman" w:cs="Times New Roman"/>
          <w:szCs w:val="18"/>
          <w:lang w:eastAsia="pt-BR"/>
        </w:rPr>
        <w:t>ao cliente</w:t>
      </w:r>
      <w:r>
        <w:rPr>
          <w:rFonts w:eastAsia="Times New Roman" w:cs="Times New Roman"/>
          <w:szCs w:val="18"/>
          <w:lang w:eastAsia="pt-BR"/>
        </w:rPr>
        <w:t xml:space="preserve">. Com isso, houve </w:t>
      </w:r>
      <w:r w:rsidR="003E5B86">
        <w:rPr>
          <w:rFonts w:eastAsia="Times New Roman" w:cs="Times New Roman"/>
          <w:szCs w:val="18"/>
          <w:lang w:eastAsia="pt-BR"/>
        </w:rPr>
        <w:t>cerca de 242 mil contratações até dezembro</w:t>
      </w:r>
      <w:r w:rsidR="00D64500">
        <w:rPr>
          <w:rFonts w:eastAsia="Times New Roman" w:cs="Times New Roman"/>
          <w:szCs w:val="18"/>
          <w:lang w:eastAsia="pt-BR"/>
        </w:rPr>
        <w:t xml:space="preserve"> </w:t>
      </w:r>
      <w:r w:rsidR="00E6109F">
        <w:rPr>
          <w:rFonts w:eastAsia="Times New Roman" w:cs="Times New Roman"/>
          <w:szCs w:val="18"/>
          <w:lang w:eastAsia="pt-BR"/>
        </w:rPr>
        <w:t>por meio de c</w:t>
      </w:r>
      <w:r w:rsidR="00D64500">
        <w:rPr>
          <w:rFonts w:eastAsia="Times New Roman" w:cs="Times New Roman"/>
          <w:szCs w:val="18"/>
          <w:lang w:eastAsia="pt-BR"/>
        </w:rPr>
        <w:t>anais digitais</w:t>
      </w:r>
      <w:r w:rsidR="003E5B86">
        <w:rPr>
          <w:rFonts w:eastAsia="Times New Roman" w:cs="Times New Roman"/>
          <w:szCs w:val="18"/>
          <w:lang w:eastAsia="pt-BR"/>
        </w:rPr>
        <w:t>.</w:t>
      </w:r>
      <w:r>
        <w:rPr>
          <w:rFonts w:eastAsia="Times New Roman" w:cs="Times New Roman"/>
          <w:szCs w:val="18"/>
          <w:lang w:eastAsia="pt-BR"/>
        </w:rPr>
        <w:t xml:space="preserve"> Em seguida</w:t>
      </w:r>
      <w:r w:rsidR="00346CEF">
        <w:rPr>
          <w:rFonts w:eastAsia="Times New Roman" w:cs="Times New Roman"/>
          <w:szCs w:val="18"/>
          <w:lang w:eastAsia="pt-BR"/>
        </w:rPr>
        <w:t>, no mês de julho,</w:t>
      </w:r>
      <w:r>
        <w:rPr>
          <w:rFonts w:eastAsia="Times New Roman" w:cs="Times New Roman"/>
          <w:szCs w:val="18"/>
          <w:lang w:eastAsia="pt-BR"/>
        </w:rPr>
        <w:t xml:space="preserve"> foi lançado o novo seguro vida em grupo personalizado, com melhorias significativas na jornada do vendedor</w:t>
      </w:r>
      <w:r w:rsidR="00346CEF">
        <w:rPr>
          <w:rFonts w:eastAsia="Times New Roman" w:cs="Times New Roman"/>
          <w:szCs w:val="18"/>
          <w:lang w:eastAsia="pt-BR"/>
        </w:rPr>
        <w:t xml:space="preserve"> para tornar os processos de cotação e contratação mais simples, e em outubro foi lançado o piloto </w:t>
      </w:r>
      <w:r w:rsidR="00D37872">
        <w:rPr>
          <w:rFonts w:eastAsia="Times New Roman" w:cs="Times New Roman"/>
          <w:szCs w:val="18"/>
          <w:lang w:eastAsia="pt-BR"/>
        </w:rPr>
        <w:t>d</w:t>
      </w:r>
      <w:r w:rsidR="00346CEF">
        <w:rPr>
          <w:rFonts w:eastAsia="Times New Roman" w:cs="Times New Roman"/>
          <w:szCs w:val="18"/>
          <w:lang w:eastAsia="pt-BR"/>
        </w:rPr>
        <w:t>o seguro de vida para micro e pequenas empresas, permitindo maior personalização da oferta para atender as particularidades desse público.</w:t>
      </w:r>
    </w:p>
    <w:p w14:paraId="75210884" w14:textId="42942711" w:rsidR="00346CEF" w:rsidRDefault="00531205" w:rsidP="00C81A16">
      <w:pPr>
        <w:jc w:val="both"/>
        <w:rPr>
          <w:rFonts w:eastAsia="Times New Roman" w:cs="Times New Roman"/>
          <w:szCs w:val="18"/>
          <w:lang w:eastAsia="pt-BR"/>
        </w:rPr>
      </w:pPr>
      <w:r>
        <w:rPr>
          <w:rFonts w:eastAsia="Times New Roman" w:cs="Times New Roman"/>
          <w:szCs w:val="18"/>
          <w:lang w:eastAsia="pt-BR"/>
        </w:rPr>
        <w:t xml:space="preserve">Em previdência, o ano iniciou com </w:t>
      </w:r>
      <w:r w:rsidR="00054BF7">
        <w:rPr>
          <w:rFonts w:eastAsia="Times New Roman" w:cs="Times New Roman"/>
          <w:szCs w:val="18"/>
          <w:lang w:eastAsia="pt-BR"/>
        </w:rPr>
        <w:t xml:space="preserve">a carteira </w:t>
      </w:r>
      <w:r>
        <w:rPr>
          <w:rFonts w:eastAsia="Times New Roman" w:cs="Times New Roman"/>
          <w:szCs w:val="18"/>
          <w:lang w:eastAsia="pt-BR"/>
        </w:rPr>
        <w:t>revitalizad</w:t>
      </w:r>
      <w:r w:rsidR="00054BF7">
        <w:rPr>
          <w:rFonts w:eastAsia="Times New Roman" w:cs="Times New Roman"/>
          <w:szCs w:val="18"/>
          <w:lang w:eastAsia="pt-BR"/>
        </w:rPr>
        <w:t>a</w:t>
      </w:r>
      <w:r>
        <w:rPr>
          <w:rFonts w:eastAsia="Times New Roman" w:cs="Times New Roman"/>
          <w:szCs w:val="18"/>
          <w:lang w:eastAsia="pt-BR"/>
        </w:rPr>
        <w:t xml:space="preserve">, com a simplificação da oferta em todos os canais, inclusão de alternativas de fundos de maior valor agregado e criação de novas teses de investimentos para melhorar a alocação dos recursos dos clientes sob gestão da Brasilprev. Em junho e novembro, </w:t>
      </w:r>
      <w:r w:rsidRPr="00531205">
        <w:rPr>
          <w:rFonts w:eastAsia="Times New Roman" w:cs="Times New Roman"/>
          <w:szCs w:val="18"/>
          <w:lang w:eastAsia="pt-BR"/>
        </w:rPr>
        <w:t>o produto Brasil</w:t>
      </w:r>
      <w:r w:rsidR="00212FCB">
        <w:rPr>
          <w:rFonts w:eastAsia="Times New Roman" w:cs="Times New Roman"/>
          <w:szCs w:val="18"/>
          <w:lang w:eastAsia="pt-BR"/>
        </w:rPr>
        <w:t>p</w:t>
      </w:r>
      <w:r w:rsidRPr="00531205">
        <w:rPr>
          <w:rFonts w:eastAsia="Times New Roman" w:cs="Times New Roman"/>
          <w:szCs w:val="18"/>
          <w:lang w:eastAsia="pt-BR"/>
        </w:rPr>
        <w:t>rev Multigestores ganhou reforço</w:t>
      </w:r>
      <w:r>
        <w:rPr>
          <w:rFonts w:eastAsia="Times New Roman" w:cs="Times New Roman"/>
          <w:szCs w:val="18"/>
          <w:lang w:eastAsia="pt-BR"/>
        </w:rPr>
        <w:t>,</w:t>
      </w:r>
      <w:r w:rsidRPr="00531205">
        <w:rPr>
          <w:rFonts w:eastAsia="Times New Roman" w:cs="Times New Roman"/>
          <w:szCs w:val="18"/>
          <w:lang w:eastAsia="pt-BR"/>
        </w:rPr>
        <w:t xml:space="preserve"> com a inclusão de </w:t>
      </w:r>
      <w:r>
        <w:rPr>
          <w:rFonts w:eastAsia="Times New Roman" w:cs="Times New Roman"/>
          <w:szCs w:val="18"/>
          <w:lang w:eastAsia="pt-BR"/>
        </w:rPr>
        <w:t xml:space="preserve">três novos </w:t>
      </w:r>
      <w:r w:rsidRPr="00531205">
        <w:rPr>
          <w:rFonts w:eastAsia="Times New Roman" w:cs="Times New Roman"/>
          <w:szCs w:val="18"/>
          <w:lang w:eastAsia="pt-BR"/>
        </w:rPr>
        <w:t>gestores</w:t>
      </w:r>
      <w:r>
        <w:rPr>
          <w:rFonts w:eastAsia="Times New Roman" w:cs="Times New Roman"/>
          <w:szCs w:val="18"/>
          <w:lang w:eastAsia="pt-BR"/>
        </w:rPr>
        <w:t xml:space="preserve">, encerrando o ano com </w:t>
      </w:r>
      <w:r w:rsidRPr="00531205">
        <w:rPr>
          <w:rFonts w:eastAsia="Times New Roman" w:cs="Times New Roman"/>
          <w:szCs w:val="18"/>
          <w:lang w:eastAsia="pt-BR"/>
        </w:rPr>
        <w:t xml:space="preserve">13 estratégias de gestores externos e novas casas </w:t>
      </w:r>
      <w:r w:rsidR="00052B25">
        <w:rPr>
          <w:rFonts w:eastAsia="Times New Roman" w:cs="Times New Roman"/>
          <w:szCs w:val="18"/>
          <w:lang w:eastAsia="pt-BR"/>
        </w:rPr>
        <w:t xml:space="preserve">em </w:t>
      </w:r>
      <w:r w:rsidRPr="00531205">
        <w:rPr>
          <w:rFonts w:eastAsia="Times New Roman" w:cs="Times New Roman"/>
          <w:szCs w:val="18"/>
          <w:lang w:eastAsia="pt-BR"/>
        </w:rPr>
        <w:t>avaliação</w:t>
      </w:r>
      <w:r w:rsidR="00052B25">
        <w:rPr>
          <w:rFonts w:eastAsia="Times New Roman" w:cs="Times New Roman"/>
          <w:szCs w:val="18"/>
          <w:lang w:eastAsia="pt-BR"/>
        </w:rPr>
        <w:t>.</w:t>
      </w:r>
    </w:p>
    <w:p w14:paraId="53CFB32C" w14:textId="48AB997B" w:rsidR="00212FCB" w:rsidRDefault="00212FCB" w:rsidP="00C81A16">
      <w:pPr>
        <w:jc w:val="both"/>
        <w:rPr>
          <w:rFonts w:eastAsia="Times New Roman" w:cs="Times New Roman"/>
          <w:szCs w:val="18"/>
          <w:lang w:eastAsia="pt-BR"/>
        </w:rPr>
      </w:pPr>
      <w:r>
        <w:rPr>
          <w:rFonts w:eastAsia="Times New Roman" w:cs="Times New Roman"/>
          <w:szCs w:val="18"/>
          <w:lang w:eastAsia="pt-BR"/>
        </w:rPr>
        <w:t>Ainda em previdência, destaque para o lançamento, em outubro, do Brasilprev Flex, produto que combina componentes de acumulação e proteção (vida), para atender uma demanda dos clientes e da rede BB.</w:t>
      </w:r>
    </w:p>
    <w:p w14:paraId="0060911F" w14:textId="09188D76" w:rsidR="00212FCB" w:rsidRDefault="00212FCB" w:rsidP="00C81A16">
      <w:pPr>
        <w:jc w:val="both"/>
        <w:rPr>
          <w:rFonts w:eastAsia="Times New Roman" w:cs="Times New Roman"/>
          <w:szCs w:val="18"/>
          <w:lang w:eastAsia="pt-BR"/>
        </w:rPr>
      </w:pPr>
      <w:r>
        <w:rPr>
          <w:rFonts w:eastAsia="Times New Roman" w:cs="Times New Roman"/>
          <w:szCs w:val="18"/>
          <w:lang w:eastAsia="pt-BR"/>
        </w:rPr>
        <w:t xml:space="preserve">Nos seguros rurais, em abril houve a expansão nacional do seguro pecuário faturamento, complementando </w:t>
      </w:r>
      <w:r w:rsidR="00054BF7">
        <w:rPr>
          <w:rFonts w:eastAsia="Times New Roman" w:cs="Times New Roman"/>
          <w:szCs w:val="18"/>
          <w:lang w:eastAsia="pt-BR"/>
        </w:rPr>
        <w:t>a carteira</w:t>
      </w:r>
      <w:r>
        <w:rPr>
          <w:rFonts w:eastAsia="Times New Roman" w:cs="Times New Roman"/>
          <w:szCs w:val="18"/>
          <w:lang w:eastAsia="pt-BR"/>
        </w:rPr>
        <w:t xml:space="preserve"> de seguros destinados à proteção da produtividade </w:t>
      </w:r>
      <w:r w:rsidR="000A42FF">
        <w:rPr>
          <w:rFonts w:eastAsia="Times New Roman" w:cs="Times New Roman"/>
          <w:szCs w:val="18"/>
          <w:lang w:eastAsia="pt-BR"/>
        </w:rPr>
        <w:t xml:space="preserve">e faturamento </w:t>
      </w:r>
      <w:r>
        <w:rPr>
          <w:rFonts w:eastAsia="Times New Roman" w:cs="Times New Roman"/>
          <w:szCs w:val="18"/>
          <w:lang w:eastAsia="pt-BR"/>
        </w:rPr>
        <w:t xml:space="preserve">do setor </w:t>
      </w:r>
      <w:r w:rsidR="000A42FF">
        <w:rPr>
          <w:rFonts w:eastAsia="Times New Roman" w:cs="Times New Roman"/>
          <w:szCs w:val="18"/>
          <w:lang w:eastAsia="pt-BR"/>
        </w:rPr>
        <w:t>agropecuário.</w:t>
      </w:r>
      <w:r>
        <w:rPr>
          <w:rFonts w:eastAsia="Times New Roman" w:cs="Times New Roman"/>
          <w:szCs w:val="18"/>
          <w:lang w:eastAsia="pt-BR"/>
        </w:rPr>
        <w:t xml:space="preserve"> </w:t>
      </w:r>
      <w:r w:rsidR="000A42FF">
        <w:rPr>
          <w:rFonts w:eastAsia="Times New Roman" w:cs="Times New Roman"/>
          <w:szCs w:val="18"/>
          <w:lang w:eastAsia="pt-BR"/>
        </w:rPr>
        <w:t>Em maio, o seguro Vida Agricultura Familiar foi liberad</w:t>
      </w:r>
      <w:r w:rsidR="00D37872">
        <w:rPr>
          <w:rFonts w:eastAsia="Times New Roman" w:cs="Times New Roman"/>
          <w:szCs w:val="18"/>
          <w:lang w:eastAsia="pt-BR"/>
        </w:rPr>
        <w:t>a</w:t>
      </w:r>
      <w:r w:rsidR="000A42FF">
        <w:rPr>
          <w:rFonts w:eastAsia="Times New Roman" w:cs="Times New Roman"/>
          <w:szCs w:val="18"/>
          <w:lang w:eastAsia="pt-BR"/>
        </w:rPr>
        <w:t xml:space="preserve"> para contratação </w:t>
      </w:r>
      <w:r w:rsidR="006E3626">
        <w:rPr>
          <w:rFonts w:eastAsia="Times New Roman" w:cs="Times New Roman"/>
          <w:szCs w:val="18"/>
          <w:lang w:eastAsia="pt-BR"/>
        </w:rPr>
        <w:t xml:space="preserve">nas </w:t>
      </w:r>
      <w:r w:rsidR="000A42FF">
        <w:rPr>
          <w:rFonts w:eastAsia="Times New Roman" w:cs="Times New Roman"/>
          <w:szCs w:val="18"/>
          <w:lang w:eastAsia="pt-BR"/>
        </w:rPr>
        <w:t>operaç</w:t>
      </w:r>
      <w:r w:rsidR="00D37872">
        <w:rPr>
          <w:rFonts w:eastAsia="Times New Roman" w:cs="Times New Roman"/>
          <w:szCs w:val="18"/>
          <w:lang w:eastAsia="pt-BR"/>
        </w:rPr>
        <w:t>ões</w:t>
      </w:r>
      <w:r w:rsidR="000A42FF">
        <w:rPr>
          <w:rFonts w:eastAsia="Times New Roman" w:cs="Times New Roman"/>
          <w:szCs w:val="18"/>
          <w:lang w:eastAsia="pt-BR"/>
        </w:rPr>
        <w:t xml:space="preserve"> de crédito</w:t>
      </w:r>
      <w:r w:rsidR="006E3626">
        <w:rPr>
          <w:rFonts w:eastAsia="Times New Roman" w:cs="Times New Roman"/>
          <w:szCs w:val="18"/>
          <w:lang w:eastAsia="pt-BR"/>
        </w:rPr>
        <w:t xml:space="preserve"> em estoque</w:t>
      </w:r>
      <w:r w:rsidR="000A42FF">
        <w:rPr>
          <w:rFonts w:eastAsia="Times New Roman" w:cs="Times New Roman"/>
          <w:szCs w:val="18"/>
          <w:lang w:eastAsia="pt-BR"/>
        </w:rPr>
        <w:t>, garantindo a possibilidade d</w:t>
      </w:r>
      <w:r w:rsidR="00982503">
        <w:rPr>
          <w:rFonts w:eastAsia="Times New Roman" w:cs="Times New Roman"/>
          <w:szCs w:val="18"/>
          <w:lang w:eastAsia="pt-BR"/>
        </w:rPr>
        <w:t xml:space="preserve">e </w:t>
      </w:r>
      <w:r w:rsidR="000A42FF">
        <w:rPr>
          <w:rFonts w:eastAsia="Times New Roman" w:cs="Times New Roman"/>
          <w:szCs w:val="18"/>
          <w:lang w:eastAsia="pt-BR"/>
        </w:rPr>
        <w:t xml:space="preserve">os clientes adquirirem uma proteção a qualquer momento. No seguro agrícola, as contratações para a Safra 2021/2022 </w:t>
      </w:r>
      <w:r w:rsidR="00B63985">
        <w:rPr>
          <w:rFonts w:eastAsia="Times New Roman" w:cs="Times New Roman"/>
          <w:szCs w:val="18"/>
          <w:lang w:eastAsia="pt-BR"/>
        </w:rPr>
        <w:t>contaram com a ampliação em 30% da importância segurada e a expansão das culturas seguráveis no produto destinado ao público do Programa Nacional de Fortalecimento da Agricultura Familiar (Pronaf).</w:t>
      </w:r>
    </w:p>
    <w:p w14:paraId="6C4756F0" w14:textId="6536EFD1" w:rsidR="004959B9" w:rsidRPr="004959B9" w:rsidRDefault="004959B9" w:rsidP="004959B9">
      <w:pPr>
        <w:jc w:val="both"/>
        <w:rPr>
          <w:rFonts w:eastAsia="Times New Roman" w:cs="Times New Roman"/>
          <w:szCs w:val="18"/>
          <w:lang w:eastAsia="pt-BR"/>
        </w:rPr>
      </w:pPr>
      <w:r>
        <w:rPr>
          <w:rFonts w:eastAsia="Times New Roman" w:cs="Times New Roman"/>
          <w:szCs w:val="18"/>
          <w:lang w:eastAsia="pt-BR"/>
        </w:rPr>
        <w:t xml:space="preserve">No âmbito comercial, </w:t>
      </w:r>
      <w:r w:rsidRPr="004959B9">
        <w:rPr>
          <w:rFonts w:eastAsia="Times New Roman" w:cs="Times New Roman"/>
          <w:szCs w:val="18"/>
          <w:lang w:eastAsia="pt-BR"/>
        </w:rPr>
        <w:t xml:space="preserve">foi </w:t>
      </w:r>
      <w:r>
        <w:rPr>
          <w:rFonts w:eastAsia="Times New Roman" w:cs="Times New Roman"/>
          <w:szCs w:val="18"/>
          <w:lang w:eastAsia="pt-BR"/>
        </w:rPr>
        <w:t xml:space="preserve">mantida </w:t>
      </w:r>
      <w:r w:rsidRPr="004959B9">
        <w:rPr>
          <w:rFonts w:eastAsia="Times New Roman" w:cs="Times New Roman"/>
          <w:szCs w:val="18"/>
          <w:lang w:eastAsia="pt-BR"/>
        </w:rPr>
        <w:t>a estratégia de estímulo à força de vendas do BB por meio de premiações atreladas diretamente à venda de seguros, previdência, capitalização e planos odontológicos, com incentivos imediatos, mensais e semestrais</w:t>
      </w:r>
      <w:r>
        <w:rPr>
          <w:rFonts w:eastAsia="Times New Roman" w:cs="Times New Roman"/>
          <w:szCs w:val="18"/>
          <w:lang w:eastAsia="pt-BR"/>
        </w:rPr>
        <w:t>, o programa Seg+.</w:t>
      </w:r>
    </w:p>
    <w:p w14:paraId="2C1CFDC1" w14:textId="2209CC2D" w:rsidR="004959B9" w:rsidRPr="004959B9" w:rsidRDefault="007102C0" w:rsidP="004959B9">
      <w:pPr>
        <w:jc w:val="both"/>
        <w:rPr>
          <w:rFonts w:eastAsia="Times New Roman" w:cs="Times New Roman"/>
          <w:szCs w:val="18"/>
          <w:lang w:eastAsia="pt-BR"/>
        </w:rPr>
      </w:pPr>
      <w:r>
        <w:rPr>
          <w:rFonts w:eastAsia="Times New Roman" w:cs="Times New Roman"/>
          <w:szCs w:val="18"/>
          <w:lang w:eastAsia="pt-BR"/>
        </w:rPr>
        <w:t>E</w:t>
      </w:r>
      <w:r w:rsidR="004959B9" w:rsidRPr="004959B9">
        <w:rPr>
          <w:rFonts w:eastAsia="Times New Roman" w:cs="Times New Roman"/>
          <w:szCs w:val="18"/>
          <w:lang w:eastAsia="pt-BR"/>
        </w:rPr>
        <w:t xml:space="preserve">m previdência, </w:t>
      </w:r>
      <w:r w:rsidR="001B0F14">
        <w:rPr>
          <w:rFonts w:eastAsia="Times New Roman" w:cs="Times New Roman"/>
          <w:szCs w:val="18"/>
          <w:lang w:eastAsia="pt-BR"/>
        </w:rPr>
        <w:t xml:space="preserve">a estratégia de melhorar a alocação dos clientes com produtos de maior valor agregado teve como destaque a oferta do </w:t>
      </w:r>
      <w:r w:rsidR="004959B9" w:rsidRPr="004959B9">
        <w:rPr>
          <w:rFonts w:eastAsia="Times New Roman" w:cs="Times New Roman"/>
          <w:szCs w:val="18"/>
          <w:lang w:eastAsia="pt-BR"/>
        </w:rPr>
        <w:t>produto Brasilprev Carteiras, que tem como conceito buscar uma volatilidade alvo a partir do perfil do investidor e ajustar a composição da carteira de acordo com o cenário</w:t>
      </w:r>
      <w:r w:rsidR="001B0F14">
        <w:rPr>
          <w:rFonts w:eastAsia="Times New Roman" w:cs="Times New Roman"/>
          <w:szCs w:val="18"/>
          <w:lang w:eastAsia="pt-BR"/>
        </w:rPr>
        <w:t xml:space="preserve">. Com isso, </w:t>
      </w:r>
      <w:r w:rsidR="00743DD8">
        <w:rPr>
          <w:rFonts w:eastAsia="Times New Roman" w:cs="Times New Roman"/>
          <w:szCs w:val="18"/>
          <w:lang w:eastAsia="pt-BR"/>
        </w:rPr>
        <w:t xml:space="preserve">a participação </w:t>
      </w:r>
      <w:r w:rsidR="004959B9" w:rsidRPr="004959B9">
        <w:rPr>
          <w:rFonts w:eastAsia="Times New Roman" w:cs="Times New Roman"/>
          <w:szCs w:val="18"/>
          <w:lang w:eastAsia="pt-BR"/>
        </w:rPr>
        <w:t>de fundos multimercado nos ativos sob gestão</w:t>
      </w:r>
      <w:r w:rsidR="001B0F14">
        <w:rPr>
          <w:rFonts w:eastAsia="Times New Roman" w:cs="Times New Roman"/>
          <w:szCs w:val="18"/>
          <w:lang w:eastAsia="pt-BR"/>
        </w:rPr>
        <w:t xml:space="preserve"> passou de </w:t>
      </w:r>
      <w:r w:rsidR="004959B9" w:rsidRPr="004959B9">
        <w:rPr>
          <w:rFonts w:eastAsia="Times New Roman" w:cs="Times New Roman"/>
          <w:szCs w:val="18"/>
          <w:lang w:eastAsia="pt-BR"/>
        </w:rPr>
        <w:t>1</w:t>
      </w:r>
      <w:r w:rsidR="00783390">
        <w:rPr>
          <w:rFonts w:eastAsia="Times New Roman" w:cs="Times New Roman"/>
          <w:szCs w:val="18"/>
          <w:lang w:eastAsia="pt-BR"/>
        </w:rPr>
        <w:t>1</w:t>
      </w:r>
      <w:r w:rsidR="004959B9" w:rsidRPr="004959B9">
        <w:rPr>
          <w:rFonts w:eastAsia="Times New Roman" w:cs="Times New Roman"/>
          <w:szCs w:val="18"/>
          <w:lang w:eastAsia="pt-BR"/>
        </w:rPr>
        <w:t>% no final de 2020 para 3</w:t>
      </w:r>
      <w:r w:rsidR="001B0F14">
        <w:rPr>
          <w:rFonts w:eastAsia="Times New Roman" w:cs="Times New Roman"/>
          <w:szCs w:val="18"/>
          <w:lang w:eastAsia="pt-BR"/>
        </w:rPr>
        <w:t>2</w:t>
      </w:r>
      <w:r w:rsidR="004959B9" w:rsidRPr="004959B9">
        <w:rPr>
          <w:rFonts w:eastAsia="Times New Roman" w:cs="Times New Roman"/>
          <w:szCs w:val="18"/>
          <w:lang w:eastAsia="pt-BR"/>
        </w:rPr>
        <w:t>% no final de 2021.</w:t>
      </w:r>
    </w:p>
    <w:p w14:paraId="61822F79" w14:textId="0DF78FA8" w:rsidR="004959B9" w:rsidRPr="004959B9" w:rsidRDefault="004959B9" w:rsidP="004959B9">
      <w:pPr>
        <w:jc w:val="both"/>
        <w:rPr>
          <w:rFonts w:eastAsia="Times New Roman" w:cs="Times New Roman"/>
          <w:szCs w:val="18"/>
          <w:lang w:eastAsia="pt-BR"/>
        </w:rPr>
      </w:pPr>
      <w:r w:rsidRPr="004959B9">
        <w:rPr>
          <w:rFonts w:eastAsia="Times New Roman" w:cs="Times New Roman"/>
          <w:szCs w:val="18"/>
          <w:lang w:eastAsia="pt-BR"/>
        </w:rPr>
        <w:t xml:space="preserve">Em 2021, </w:t>
      </w:r>
      <w:r w:rsidR="00472D3C">
        <w:rPr>
          <w:rFonts w:eastAsia="Times New Roman" w:cs="Times New Roman"/>
          <w:szCs w:val="18"/>
          <w:lang w:eastAsia="pt-BR"/>
        </w:rPr>
        <w:t xml:space="preserve">foi lançado o </w:t>
      </w:r>
      <w:r w:rsidRPr="004959B9">
        <w:rPr>
          <w:rFonts w:eastAsia="Times New Roman" w:cs="Times New Roman"/>
          <w:szCs w:val="18"/>
          <w:lang w:eastAsia="pt-BR"/>
        </w:rPr>
        <w:t>novo posicionamento d</w:t>
      </w:r>
      <w:r w:rsidR="00472D3C">
        <w:rPr>
          <w:rFonts w:eastAsia="Times New Roman" w:cs="Times New Roman"/>
          <w:szCs w:val="18"/>
          <w:lang w:eastAsia="pt-BR"/>
        </w:rPr>
        <w:t>a</w:t>
      </w:r>
      <w:r w:rsidRPr="004959B9">
        <w:rPr>
          <w:rFonts w:eastAsia="Times New Roman" w:cs="Times New Roman"/>
          <w:szCs w:val="18"/>
          <w:lang w:eastAsia="pt-BR"/>
        </w:rPr>
        <w:t xml:space="preserve"> marca </w:t>
      </w:r>
      <w:r w:rsidR="00472D3C">
        <w:rPr>
          <w:rFonts w:eastAsia="Times New Roman" w:cs="Times New Roman"/>
          <w:szCs w:val="18"/>
          <w:lang w:eastAsia="pt-BR"/>
        </w:rPr>
        <w:t xml:space="preserve">BB Seguros, </w:t>
      </w:r>
      <w:r w:rsidRPr="004959B9">
        <w:rPr>
          <w:rFonts w:eastAsia="Times New Roman" w:cs="Times New Roman"/>
          <w:szCs w:val="18"/>
          <w:lang w:eastAsia="pt-BR"/>
        </w:rPr>
        <w:t xml:space="preserve">com a </w:t>
      </w:r>
      <w:r w:rsidRPr="00055252">
        <w:rPr>
          <w:rFonts w:eastAsia="Times New Roman" w:cs="Times New Roman"/>
          <w:i/>
          <w:iCs/>
          <w:szCs w:val="18"/>
          <w:lang w:eastAsia="pt-BR"/>
        </w:rPr>
        <w:t>tagline</w:t>
      </w:r>
      <w:r w:rsidRPr="004959B9">
        <w:rPr>
          <w:rFonts w:eastAsia="Times New Roman" w:cs="Times New Roman"/>
          <w:szCs w:val="18"/>
          <w:lang w:eastAsia="pt-BR"/>
        </w:rPr>
        <w:t xml:space="preserve"> “Pra tudo que importa”. Para o lançamento, foi realizada campanha publicitária em TV e mídias digitais, que apresentou todas as soluções oferecidas pela marca (seguros, previdência, capitalização e dental)</w:t>
      </w:r>
      <w:r w:rsidR="00D37872">
        <w:rPr>
          <w:rFonts w:eastAsia="Times New Roman" w:cs="Times New Roman"/>
          <w:szCs w:val="18"/>
          <w:lang w:eastAsia="pt-BR"/>
        </w:rPr>
        <w:t xml:space="preserve"> e</w:t>
      </w:r>
      <w:r w:rsidRPr="004959B9">
        <w:rPr>
          <w:rFonts w:eastAsia="Times New Roman" w:cs="Times New Roman"/>
          <w:szCs w:val="18"/>
          <w:lang w:eastAsia="pt-BR"/>
        </w:rPr>
        <w:t xml:space="preserve"> reforçou que cada etapa da vida tem um desafio e preocupação diferente e </w:t>
      </w:r>
      <w:r w:rsidR="00D37872">
        <w:rPr>
          <w:rFonts w:eastAsia="Times New Roman" w:cs="Times New Roman"/>
          <w:szCs w:val="18"/>
          <w:lang w:eastAsia="pt-BR"/>
        </w:rPr>
        <w:t xml:space="preserve">que </w:t>
      </w:r>
      <w:r w:rsidRPr="004959B9">
        <w:rPr>
          <w:rFonts w:eastAsia="Times New Roman" w:cs="Times New Roman"/>
          <w:szCs w:val="18"/>
          <w:lang w:eastAsia="pt-BR"/>
        </w:rPr>
        <w:t xml:space="preserve">a </w:t>
      </w:r>
      <w:r w:rsidR="00787055">
        <w:rPr>
          <w:rFonts w:eastAsia="Times New Roman" w:cs="Times New Roman"/>
          <w:szCs w:val="18"/>
          <w:lang w:eastAsia="pt-BR"/>
        </w:rPr>
        <w:t xml:space="preserve">Companhia </w:t>
      </w:r>
      <w:r w:rsidRPr="004959B9">
        <w:rPr>
          <w:rFonts w:eastAsia="Times New Roman" w:cs="Times New Roman"/>
          <w:szCs w:val="18"/>
          <w:lang w:eastAsia="pt-BR"/>
        </w:rPr>
        <w:t>t</w:t>
      </w:r>
      <w:r w:rsidR="00787055">
        <w:rPr>
          <w:rFonts w:eastAsia="Times New Roman" w:cs="Times New Roman"/>
          <w:szCs w:val="18"/>
          <w:lang w:eastAsia="pt-BR"/>
        </w:rPr>
        <w:t>e</w:t>
      </w:r>
      <w:r w:rsidRPr="004959B9">
        <w:rPr>
          <w:rFonts w:eastAsia="Times New Roman" w:cs="Times New Roman"/>
          <w:szCs w:val="18"/>
          <w:lang w:eastAsia="pt-BR"/>
        </w:rPr>
        <w:t xml:space="preserve">m soluções para </w:t>
      </w:r>
      <w:r w:rsidR="00787055">
        <w:rPr>
          <w:rFonts w:eastAsia="Times New Roman" w:cs="Times New Roman"/>
          <w:szCs w:val="18"/>
          <w:lang w:eastAsia="pt-BR"/>
        </w:rPr>
        <w:t>todas os momentos</w:t>
      </w:r>
      <w:r w:rsidRPr="004959B9">
        <w:rPr>
          <w:rFonts w:eastAsia="Times New Roman" w:cs="Times New Roman"/>
          <w:szCs w:val="18"/>
          <w:lang w:eastAsia="pt-BR"/>
        </w:rPr>
        <w:t xml:space="preserve">. </w:t>
      </w:r>
    </w:p>
    <w:p w14:paraId="0088C607" w14:textId="50A31FB7" w:rsidR="004959B9" w:rsidRDefault="004959B9" w:rsidP="004959B9">
      <w:pPr>
        <w:jc w:val="both"/>
        <w:rPr>
          <w:rFonts w:eastAsia="Times New Roman" w:cs="Times New Roman"/>
          <w:szCs w:val="18"/>
          <w:lang w:eastAsia="pt-BR"/>
        </w:rPr>
      </w:pPr>
      <w:r w:rsidRPr="004959B9">
        <w:rPr>
          <w:rFonts w:eastAsia="Times New Roman" w:cs="Times New Roman"/>
          <w:szCs w:val="18"/>
          <w:lang w:eastAsia="pt-BR"/>
        </w:rPr>
        <w:t>A atuação em marketing digital com uso de inteligência analítica utilizou-se de duas verticais de veiculação, uma delas com a operação da plataforma de mídias digitais pagas, gerando mais de 1,8 bilhão de impactos, com engajamento 400% superior ao ano de 2020; e a outra, com a utilização dos canais digitais proprietários do BB, com mais de 90 campanhas, cerca de 56 milhões de abordagens e gerando R$ 1,76 bilhão em negócios.</w:t>
      </w:r>
    </w:p>
    <w:p w14:paraId="71B8FCA3" w14:textId="08B9F51D" w:rsidR="00C81A16" w:rsidRDefault="00C81A16" w:rsidP="00AC2BB9">
      <w:pPr>
        <w:pStyle w:val="01-TtulodeNota"/>
        <w:rPr>
          <w:color w:val="1F4E79" w:themeColor="accent1" w:themeShade="80"/>
        </w:rPr>
      </w:pPr>
    </w:p>
    <w:p w14:paraId="2CF6383C" w14:textId="30ADA2A1" w:rsidR="00E84DAB" w:rsidRDefault="00E84DAB" w:rsidP="00C81A16">
      <w:pPr>
        <w:pStyle w:val="01-TtulodeNota"/>
        <w:numPr>
          <w:ilvl w:val="0"/>
          <w:numId w:val="16"/>
        </w:numPr>
        <w:ind w:left="357" w:hanging="357"/>
        <w:rPr>
          <w:color w:val="1F4E79" w:themeColor="accent1" w:themeShade="80"/>
        </w:rPr>
      </w:pPr>
      <w:r>
        <w:rPr>
          <w:color w:val="1F4E79" w:themeColor="accent1" w:themeShade="80"/>
        </w:rPr>
        <w:t>ASPECTOS AMBIENTAIS, SOCIAIS E DE GOVERNANÇA</w:t>
      </w:r>
    </w:p>
    <w:p w14:paraId="614632F0" w14:textId="3A721E53" w:rsidR="003C513B" w:rsidRDefault="00053E4D" w:rsidP="00E84DAB">
      <w:pPr>
        <w:spacing w:before="120" w:after="120"/>
        <w:jc w:val="both"/>
        <w:rPr>
          <w:lang w:eastAsia="pt-BR"/>
        </w:rPr>
      </w:pPr>
      <w:r>
        <w:rPr>
          <w:lang w:eastAsia="pt-BR"/>
        </w:rPr>
        <w:t xml:space="preserve">Trazendo luz aos aspectos ambientais, sociais e de governança (ASG) do negócio, considerando que a BB Seguridade é uma empresa relativamente nova, que se originou a partir da segregação dos negócios em seguros, previdência e capitalização </w:t>
      </w:r>
      <w:r w:rsidR="003C513B">
        <w:rPr>
          <w:lang w:eastAsia="pt-BR"/>
        </w:rPr>
        <w:t xml:space="preserve">anteriormente conduzidos dentro da estrutura organizacional </w:t>
      </w:r>
      <w:r>
        <w:rPr>
          <w:lang w:eastAsia="pt-BR"/>
        </w:rPr>
        <w:t>do seu controlador, o Banco do Brasil,</w:t>
      </w:r>
      <w:r w:rsidR="003C513B">
        <w:rPr>
          <w:lang w:eastAsia="pt-BR"/>
        </w:rPr>
        <w:t xml:space="preserve"> </w:t>
      </w:r>
      <w:r>
        <w:rPr>
          <w:lang w:eastAsia="pt-BR"/>
        </w:rPr>
        <w:t>os primeiros ano</w:t>
      </w:r>
      <w:r w:rsidR="003C513B">
        <w:rPr>
          <w:lang w:eastAsia="pt-BR"/>
        </w:rPr>
        <w:t>s d</w:t>
      </w:r>
      <w:r w:rsidR="00E84DAB">
        <w:rPr>
          <w:lang w:eastAsia="pt-BR"/>
        </w:rPr>
        <w:t xml:space="preserve">a Companhia </w:t>
      </w:r>
      <w:r w:rsidR="003C513B">
        <w:rPr>
          <w:lang w:eastAsia="pt-BR"/>
        </w:rPr>
        <w:t>foram dedicados a</w:t>
      </w:r>
      <w:r w:rsidR="00E84DAB">
        <w:rPr>
          <w:lang w:eastAsia="pt-BR"/>
        </w:rPr>
        <w:t xml:space="preserve">o amadurecimento e consolidação da Governança como meio para garantir </w:t>
      </w:r>
      <w:r w:rsidR="003C513B">
        <w:rPr>
          <w:lang w:eastAsia="pt-BR"/>
        </w:rPr>
        <w:t>a adoção de melhores práticas de gestão empresarial na condução dos negócios e na gestão dos seus investimentos.</w:t>
      </w:r>
    </w:p>
    <w:p w14:paraId="6E583ED1" w14:textId="6D4EE4D0" w:rsidR="003C513B" w:rsidRDefault="00E84DAB" w:rsidP="00E84DAB">
      <w:pPr>
        <w:spacing w:before="120" w:after="120"/>
        <w:jc w:val="both"/>
        <w:rPr>
          <w:lang w:eastAsia="pt-BR"/>
        </w:rPr>
      </w:pPr>
      <w:r>
        <w:rPr>
          <w:lang w:eastAsia="pt-BR"/>
        </w:rPr>
        <w:t>Es</w:t>
      </w:r>
      <w:r w:rsidR="003C513B">
        <w:rPr>
          <w:lang w:eastAsia="pt-BR"/>
        </w:rPr>
        <w:t>s</w:t>
      </w:r>
      <w:r>
        <w:rPr>
          <w:lang w:eastAsia="pt-BR"/>
        </w:rPr>
        <w:t xml:space="preserve">e amadurecimento, aliado à voz das partes interessadas, estimulou o incremento da atenção aos aspectos ambientais e sociais, o que culminou </w:t>
      </w:r>
      <w:r w:rsidR="003C513B">
        <w:rPr>
          <w:lang w:eastAsia="pt-BR"/>
        </w:rPr>
        <w:t>em 2021 na</w:t>
      </w:r>
      <w:r>
        <w:rPr>
          <w:lang w:eastAsia="pt-BR"/>
        </w:rPr>
        <w:t xml:space="preserve"> criação do Projeto Estratégico Agenda ASG, com o propósito de aproximar, consolidar e acelerar as agendas ambientais, sociais e de governança no âmbito do </w:t>
      </w:r>
      <w:r w:rsidR="00D37872">
        <w:rPr>
          <w:lang w:eastAsia="pt-BR"/>
        </w:rPr>
        <w:t>G</w:t>
      </w:r>
      <w:r>
        <w:rPr>
          <w:lang w:eastAsia="pt-BR"/>
        </w:rPr>
        <w:t>rupo BB Seguridade.</w:t>
      </w:r>
    </w:p>
    <w:p w14:paraId="07B15E6A" w14:textId="522745B3" w:rsidR="003C513B" w:rsidRDefault="00297B22" w:rsidP="00E84DAB">
      <w:pPr>
        <w:spacing w:before="120" w:after="120"/>
        <w:jc w:val="both"/>
        <w:rPr>
          <w:lang w:eastAsia="pt-BR"/>
        </w:rPr>
      </w:pPr>
      <w:r>
        <w:rPr>
          <w:rFonts w:eastAsia="Times New Roman" w:cs="Arial"/>
          <w:spacing w:val="-2"/>
          <w:szCs w:val="18"/>
          <w:lang w:eastAsia="pt-BR"/>
        </w:rPr>
        <w:lastRenderedPageBreak/>
        <w:t xml:space="preserve">O relato completo das </w:t>
      </w:r>
      <w:r w:rsidRPr="00117C0C">
        <w:rPr>
          <w:rFonts w:eastAsia="Times New Roman" w:cs="Arial"/>
          <w:spacing w:val="-2"/>
          <w:szCs w:val="18"/>
          <w:lang w:eastAsia="pt-BR"/>
        </w:rPr>
        <w:t>práticas ASG adotadas podem ser obtidas no Relatório</w:t>
      </w:r>
      <w:r>
        <w:rPr>
          <w:rFonts w:eastAsia="Times New Roman" w:cs="Arial"/>
          <w:spacing w:val="-2"/>
          <w:szCs w:val="18"/>
          <w:lang w:eastAsia="pt-BR"/>
        </w:rPr>
        <w:t xml:space="preserve"> Anual</w:t>
      </w:r>
      <w:r w:rsidRPr="00117C0C">
        <w:rPr>
          <w:rFonts w:eastAsia="Times New Roman" w:cs="Arial"/>
          <w:spacing w:val="-2"/>
          <w:szCs w:val="18"/>
          <w:lang w:eastAsia="pt-BR"/>
        </w:rPr>
        <w:t xml:space="preserve"> de Sustentabilidade da Companhia, disponível no endereço eletrônico </w:t>
      </w:r>
      <w:hyperlink r:id="rId14" w:history="1">
        <w:r w:rsidRPr="00741546">
          <w:rPr>
            <w:rStyle w:val="Hyperlink"/>
          </w:rPr>
          <w:t>www.bbseguridaderi.com.br/sustentabilidade-e-governanca/sustentabilidade/</w:t>
        </w:r>
      </w:hyperlink>
      <w:r>
        <w:t xml:space="preserve"> e elaborado de acordo com as orientações do </w:t>
      </w:r>
      <w:r>
        <w:rPr>
          <w:lang w:eastAsia="pt-BR"/>
        </w:rPr>
        <w:t>Global Reporting Iniciative (GRI).</w:t>
      </w:r>
    </w:p>
    <w:p w14:paraId="0C99F65D" w14:textId="346724C3" w:rsidR="003C513B" w:rsidRDefault="00297B22" w:rsidP="00E84DAB">
      <w:pPr>
        <w:spacing w:before="120" w:after="120"/>
        <w:jc w:val="both"/>
        <w:rPr>
          <w:lang w:eastAsia="pt-BR"/>
        </w:rPr>
      </w:pPr>
      <w:r>
        <w:rPr>
          <w:lang w:eastAsia="pt-BR"/>
        </w:rPr>
        <w:t xml:space="preserve">Neste </w:t>
      </w:r>
      <w:r w:rsidR="005A1528">
        <w:rPr>
          <w:lang w:eastAsia="pt-BR"/>
        </w:rPr>
        <w:t>Relatório da Administração</w:t>
      </w:r>
      <w:r>
        <w:rPr>
          <w:lang w:eastAsia="pt-BR"/>
        </w:rPr>
        <w:t xml:space="preserve"> s</w:t>
      </w:r>
      <w:r w:rsidR="0000734A">
        <w:rPr>
          <w:lang w:eastAsia="pt-BR"/>
        </w:rPr>
        <w:t>ão</w:t>
      </w:r>
      <w:r>
        <w:rPr>
          <w:lang w:eastAsia="pt-BR"/>
        </w:rPr>
        <w:t xml:space="preserve"> apresentadas algumas informações sobre temas que estão contemplados nos aspectos ASG em relação ao exercício 2021. </w:t>
      </w:r>
      <w:r w:rsidR="00597253">
        <w:rPr>
          <w:lang w:eastAsia="pt-BR"/>
        </w:rPr>
        <w:t xml:space="preserve">O relato completo das práticas em relação aos temas considerados materiais para a Companhia </w:t>
      </w:r>
      <w:r w:rsidR="00D37872">
        <w:rPr>
          <w:lang w:eastAsia="pt-BR"/>
        </w:rPr>
        <w:t>n</w:t>
      </w:r>
      <w:r w:rsidR="00597253">
        <w:rPr>
          <w:lang w:eastAsia="pt-BR"/>
        </w:rPr>
        <w:t xml:space="preserve">o exercício, de acordo com a metodologia do GRI, será apresentado no Relatório Anual de Sustentabilidade 2021, a ser divulgado </w:t>
      </w:r>
      <w:r w:rsidR="00602327">
        <w:rPr>
          <w:lang w:eastAsia="pt-BR"/>
        </w:rPr>
        <w:t xml:space="preserve">no primeiro semestre de </w:t>
      </w:r>
      <w:r w:rsidR="00597253">
        <w:rPr>
          <w:lang w:eastAsia="pt-BR"/>
        </w:rPr>
        <w:t>2022.</w:t>
      </w:r>
    </w:p>
    <w:p w14:paraId="7E3FE171" w14:textId="337677C3" w:rsidR="00E84DAB" w:rsidRPr="00053E4D" w:rsidRDefault="00E84DAB" w:rsidP="00053E4D">
      <w:pPr>
        <w:pStyle w:val="03-SubttulodeNota"/>
        <w:spacing w:line="276" w:lineRule="auto"/>
        <w:rPr>
          <w:color w:val="1F4E79" w:themeColor="accent1" w:themeShade="80"/>
        </w:rPr>
      </w:pPr>
      <w:r w:rsidRPr="00053E4D">
        <w:rPr>
          <w:color w:val="1F4E79" w:themeColor="accent1" w:themeShade="80"/>
        </w:rPr>
        <w:t>G</w:t>
      </w:r>
      <w:r w:rsidR="00053E4D">
        <w:rPr>
          <w:color w:val="1F4E79" w:themeColor="accent1" w:themeShade="80"/>
        </w:rPr>
        <w:t xml:space="preserve">overnança, Gestão de Riscos e </w:t>
      </w:r>
      <w:r w:rsidR="00053E4D" w:rsidRPr="003253D6">
        <w:rPr>
          <w:i/>
          <w:iCs/>
          <w:color w:val="1F4E79" w:themeColor="accent1" w:themeShade="80"/>
        </w:rPr>
        <w:t>Compliance</w:t>
      </w:r>
    </w:p>
    <w:p w14:paraId="10A3751F" w14:textId="77777777" w:rsidR="00E84DAB" w:rsidRPr="00783390" w:rsidRDefault="00E84DAB" w:rsidP="00E84DAB">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Governança</w:t>
      </w:r>
    </w:p>
    <w:p w14:paraId="69D0CE0C" w14:textId="77777777" w:rsidR="00E84DAB" w:rsidRPr="00006A20" w:rsidRDefault="00E84DAB" w:rsidP="00E84DAB">
      <w:pPr>
        <w:jc w:val="both"/>
        <w:rPr>
          <w:rFonts w:eastAsia="Times New Roman" w:cs="Arial"/>
          <w:spacing w:val="-2"/>
          <w:szCs w:val="18"/>
          <w:lang w:eastAsia="pt-BR"/>
        </w:rPr>
      </w:pPr>
      <w:r w:rsidRPr="00006A20">
        <w:rPr>
          <w:rFonts w:eastAsia="Times New Roman" w:cs="Arial"/>
          <w:spacing w:val="-2"/>
          <w:szCs w:val="18"/>
          <w:lang w:eastAsia="pt-BR"/>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0DAA8454" w14:textId="77777777" w:rsidR="00E84DAB" w:rsidRPr="00006A20" w:rsidRDefault="00E84DAB" w:rsidP="00E84DAB">
      <w:pPr>
        <w:jc w:val="both"/>
        <w:rPr>
          <w:rFonts w:eastAsia="Times New Roman" w:cs="Arial"/>
          <w:spacing w:val="-2"/>
          <w:szCs w:val="18"/>
          <w:lang w:eastAsia="pt-BR"/>
        </w:rPr>
      </w:pPr>
      <w:r>
        <w:rPr>
          <w:rFonts w:eastAsia="Times New Roman" w:cs="Arial"/>
          <w:spacing w:val="-2"/>
          <w:szCs w:val="18"/>
          <w:lang w:eastAsia="pt-BR"/>
        </w:rPr>
        <w:t>Em 2021, a</w:t>
      </w:r>
      <w:r w:rsidRPr="00006A20">
        <w:rPr>
          <w:rFonts w:eastAsia="Times New Roman" w:cs="Arial"/>
          <w:spacing w:val="-2"/>
          <w:szCs w:val="18"/>
          <w:lang w:eastAsia="pt-BR"/>
        </w:rPr>
        <w:t xml:space="preserve"> BB Seguridade atingiu novamente o Nível 1 da Certificação do Indicador de Governança IG-SEST, instrumento de avaliação contínua das estatais federais, que verifica o cumprimento de diversos dispositivos legais, infralegais e de boas práticas de governança corporativa. A título de comparação, em um universo de 60 empresas avaliadas, apenas 16 Companhias foram classificadas no Nível 1, considerado o índice mais alto da certificação.</w:t>
      </w:r>
    </w:p>
    <w:p w14:paraId="61A344A9" w14:textId="77777777" w:rsidR="00E84DAB" w:rsidRPr="00006A20" w:rsidRDefault="00E84DAB" w:rsidP="00E84DAB">
      <w:pPr>
        <w:jc w:val="both"/>
        <w:rPr>
          <w:rFonts w:eastAsia="Times New Roman" w:cs="Arial"/>
          <w:spacing w:val="-2"/>
          <w:szCs w:val="18"/>
          <w:lang w:eastAsia="pt-BR"/>
        </w:rPr>
      </w:pPr>
      <w:r w:rsidRPr="00006A20">
        <w:rPr>
          <w:rFonts w:eastAsia="Times New Roman" w:cs="Arial"/>
          <w:spacing w:val="-2"/>
          <w:szCs w:val="18"/>
          <w:lang w:eastAsia="pt-BR"/>
        </w:rPr>
        <w:t>Dentre os aprimoramentos na estrutura de governança, destaca-se a iniciativa inédita na companhia de realização da Assembleia Geral de Acionistas totalmente digital, o que demonstrou além do cuidado da empresa com as iniciativas de prevenção à disseminação do Covid-19, a agilidade em se adaptar às mudanças decorrentes da nova realidade, aliando eficiência com a segurança adequada para garantir a entrega de melhor experiência aos acionistas.</w:t>
      </w:r>
    </w:p>
    <w:p w14:paraId="4F8DDF6F" w14:textId="77777777" w:rsidR="00E84DAB" w:rsidRPr="00006A20" w:rsidRDefault="00E84DAB" w:rsidP="00E84DAB">
      <w:pPr>
        <w:jc w:val="both"/>
        <w:rPr>
          <w:rFonts w:eastAsia="Times New Roman" w:cs="Arial"/>
          <w:spacing w:val="-2"/>
          <w:szCs w:val="18"/>
          <w:lang w:eastAsia="pt-BR"/>
        </w:rPr>
      </w:pPr>
      <w:r w:rsidRPr="00006A20">
        <w:rPr>
          <w:rFonts w:eastAsia="Times New Roman" w:cs="Arial"/>
          <w:spacing w:val="-2"/>
          <w:szCs w:val="18"/>
          <w:lang w:eastAsia="pt-BR"/>
        </w:rPr>
        <w:t>Ainda dentro do sistema de governança corporativa, merece menção o processo de adequação do Estatuto da BB Seguridade ao modelo padrão divulgado pela Secretaria de Coordenação e Governança das Empresas Estatais (SEST), que buscou promover a adoção das melhores práticas, além de estar alinhado às diretrizes da Organização para Cooperação e Desenvolvimento Econômico (OCDE). Entre as principais inovações do modelo, destacam-se o tratamento adequado às hipóteses de conflito de interesse dos administradores, aprimoramento do processo de seleção de administradores, dentre outras.</w:t>
      </w:r>
    </w:p>
    <w:p w14:paraId="6F3423D3" w14:textId="77777777" w:rsidR="00E84DAB" w:rsidRPr="00783390" w:rsidRDefault="00E84DAB" w:rsidP="00E84DAB">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Gestão de Riscos e Compliance</w:t>
      </w:r>
    </w:p>
    <w:p w14:paraId="3E4F43CC" w14:textId="68A9E474" w:rsidR="00E84DAB" w:rsidRDefault="00E84DAB" w:rsidP="00E84DAB">
      <w:pPr>
        <w:pStyle w:val="01-Textonormal"/>
      </w:pPr>
      <w:r>
        <w:t xml:space="preserve">Além de órgãos estatutários de governança, fiscalização e controle, como o Comitê de Auditoria e o Conselho Fiscal, a BB Seguridade conta em sua estrutura organizacional com uma área técnica segregada das funções de negócio, a </w:t>
      </w:r>
      <w:r w:rsidR="00AB1BFC">
        <w:t>Superintendência Executiva de Governança, Riscos e Compliance</w:t>
      </w:r>
      <w:r>
        <w:t xml:space="preserve">, vinculada diretamente à presidência da Companhia, o que assegura a necessária independência de atuação. </w:t>
      </w:r>
    </w:p>
    <w:p w14:paraId="01E8C38D" w14:textId="118B234C" w:rsidR="00E84DAB" w:rsidRDefault="00E84DAB" w:rsidP="00E84DAB">
      <w:pPr>
        <w:pStyle w:val="01-Textonormal"/>
      </w:pPr>
      <w:r>
        <w:t xml:space="preserve">Tal superintendência tem a responsabilidade de desenvolver e normatizar metodologias de gerenciamento de riscos, controles internos e conformidade, além de orientar a adoção de melhores práticas relacionadas ao tema. As diretrizes aprovadas pelo Conselho de Administração, que orientam o gerenciamento de riscos, controles internos e conformidade, estão contidas na Declaração de Apetite a Riscos, Política de Gerenciamento de Riscos, Controles Internos e Conformidade, </w:t>
      </w:r>
      <w:r w:rsidRPr="000A5AEB">
        <w:t>Política de Prevenção e Combate à Lavagem de Dinheiro e ao Financiamento do Terrorismo e Política de Prevenção e Combate à Corrupção.</w:t>
      </w:r>
      <w:r>
        <w:t xml:space="preserve"> </w:t>
      </w:r>
    </w:p>
    <w:p w14:paraId="59A2B4EA" w14:textId="77777777" w:rsidR="00E84DAB" w:rsidRDefault="00E84DAB" w:rsidP="00E84DAB">
      <w:pPr>
        <w:pStyle w:val="01-Textonormal"/>
      </w:pPr>
      <w:r>
        <w:t xml:space="preserve">O Modelo de Gerenciamento de Riscos, Controles Internos e Conformidade, aprovado pela Diretoria Colegiada, apresenta alinhamento com a estratégia da Companhia e considera os cenários corporativos na identificação, análise, avaliação e tratamento de eventos capazes de influenciar negativamente o atingimento dos objetivos. </w:t>
      </w:r>
    </w:p>
    <w:p w14:paraId="520353CB" w14:textId="73FA2BD9" w:rsidR="00E84DAB" w:rsidRDefault="00E84DAB" w:rsidP="00E84DAB">
      <w:pPr>
        <w:pStyle w:val="01-Textonormal"/>
      </w:pPr>
      <w:r>
        <w:t xml:space="preserve">O resultado do monitoramento contínuo do sistema de controles internos e o estado de conformidade corporativo é reportado trimestralmente à administração por meio do Painel de Controles Internos e Conformidade, que inclui informações relevantes sobre trabalhos realizados não somente pela área técnica dedicada </w:t>
      </w:r>
      <w:r w:rsidR="002F6917">
        <w:t>à gestão de</w:t>
      </w:r>
      <w:r>
        <w:t xml:space="preserve"> riscos e controles, mas também pela Auditoria Interna, Auditoria Externa e demais órgãos supervisores. </w:t>
      </w:r>
    </w:p>
    <w:p w14:paraId="64B27AF8" w14:textId="20D1A4DE" w:rsidR="00E84DAB" w:rsidRDefault="00E84DAB" w:rsidP="00E84DAB">
      <w:pPr>
        <w:pStyle w:val="01-Textonormal"/>
      </w:pPr>
      <w:r>
        <w:t>Ainda, a manutenção e avaliação periódica de um Programa de Integridade fomenta uma cultura organizacional ética e reforça a responsabilidade de todos com a prática de controles internos de gestão e de conformidade adotadas para o cumprimento da missão e realização do propósito da empresa.</w:t>
      </w:r>
    </w:p>
    <w:p w14:paraId="2E246F56" w14:textId="0E97EC06" w:rsidR="00E84DAB" w:rsidRDefault="00E84DAB" w:rsidP="00E84DAB">
      <w:pPr>
        <w:jc w:val="both"/>
        <w:rPr>
          <w:rFonts w:eastAsia="Times New Roman" w:cs="Arial"/>
          <w:spacing w:val="-2"/>
          <w:szCs w:val="18"/>
          <w:lang w:eastAsia="pt-BR"/>
        </w:rPr>
      </w:pPr>
      <w:r>
        <w:t xml:space="preserve">Dentre as ações realizadas ao longo de 2021, a companhia revisou as estruturas de gerenciamento de riscos, controles internos e conformidade, promovendo os seguintes aprimoramentos que entrarão em operação em 2022: i) </w:t>
      </w:r>
      <w:r w:rsidR="00D37872">
        <w:t>c</w:t>
      </w:r>
      <w:r>
        <w:t xml:space="preserve">riação de Comitê de Riscos estatutário composto por membros independentes; ii) </w:t>
      </w:r>
      <w:r w:rsidR="00D37872">
        <w:t>c</w:t>
      </w:r>
      <w:r>
        <w:t>riação do Comitê de Gestão da Continuidade e Crises, órgão de assessoramento à Diretoria; e iii) ampliação da estrutura</w:t>
      </w:r>
      <w:r w:rsidR="00AB1BFC">
        <w:t xml:space="preserve"> dedicada à gestão de riscos e conformidade</w:t>
      </w:r>
      <w:r>
        <w:t>, com a segregação das funções de Gestão de Controles Internos e Integridade e de Gestão de Riscos, Capital e Segurança em duas áreas. A implementação de tais iniciativas auxiliará na elevação do foco estratégico e resiliência da companhia frente aos novos desafios do horizonte pós pandemia, contemplando também as necessárias adequações regulatórias, destacadamente as relativas à Lei Geral de Proteção de Dados, Resolução CNSP nº 382, a Resolução CNSP nº 416 e Circular Susep nº 612.</w:t>
      </w:r>
    </w:p>
    <w:p w14:paraId="162C6B34" w14:textId="77777777" w:rsidR="00E84DAB" w:rsidRDefault="00E84DAB" w:rsidP="00E84DAB">
      <w:pPr>
        <w:spacing w:before="120" w:after="120"/>
        <w:jc w:val="both"/>
        <w:rPr>
          <w:lang w:eastAsia="pt-BR"/>
        </w:rPr>
      </w:pPr>
    </w:p>
    <w:p w14:paraId="60C10062" w14:textId="027E02E9" w:rsidR="00C81A16" w:rsidRPr="00597253" w:rsidRDefault="005E35F9" w:rsidP="00597253">
      <w:pPr>
        <w:pStyle w:val="03-SubttulodeNota"/>
        <w:spacing w:line="276" w:lineRule="auto"/>
        <w:rPr>
          <w:color w:val="1F4E79" w:themeColor="accent1" w:themeShade="80"/>
        </w:rPr>
      </w:pPr>
      <w:r w:rsidRPr="00597253">
        <w:rPr>
          <w:color w:val="1F4E79" w:themeColor="accent1" w:themeShade="80"/>
        </w:rPr>
        <w:t>G</w:t>
      </w:r>
      <w:r w:rsidR="00E84DAB" w:rsidRPr="00597253">
        <w:rPr>
          <w:color w:val="1F4E79" w:themeColor="accent1" w:themeShade="80"/>
        </w:rPr>
        <w:t>estão do Capital Humano</w:t>
      </w:r>
    </w:p>
    <w:p w14:paraId="01DDF07B" w14:textId="77777777" w:rsidR="00EF771D" w:rsidRDefault="00EF771D" w:rsidP="00EF771D">
      <w:pPr>
        <w:spacing w:before="120" w:after="120"/>
        <w:jc w:val="both"/>
        <w:rPr>
          <w:rFonts w:cs="Arial"/>
          <w:color w:val="000000"/>
          <w:szCs w:val="18"/>
        </w:rPr>
      </w:pPr>
      <w:r>
        <w:rPr>
          <w:rFonts w:cs="Arial"/>
          <w:color w:val="000000"/>
          <w:szCs w:val="18"/>
        </w:rPr>
        <w:t xml:space="preserve">O quadro de pessoal da BB Seguridade é composto, em sua maioria, por funcionários cedidos pelo BB. Em 31.12.2021, a Companhia contava com 154 funcionários celetistas e 4 diretores estatutários, localizados em Brasília e São Paulo, 3 estagiários e 21 contratados. </w:t>
      </w:r>
    </w:p>
    <w:p w14:paraId="3A5F5130" w14:textId="324FB123" w:rsidR="00EF771D" w:rsidRDefault="00EF771D" w:rsidP="00EF771D">
      <w:pPr>
        <w:spacing w:before="120" w:after="120"/>
        <w:jc w:val="both"/>
        <w:rPr>
          <w:rFonts w:cs="Arial"/>
          <w:color w:val="000000"/>
          <w:szCs w:val="18"/>
        </w:rPr>
      </w:pPr>
      <w:r>
        <w:rPr>
          <w:rFonts w:cs="Arial"/>
          <w:color w:val="000000"/>
          <w:szCs w:val="18"/>
        </w:rPr>
        <w:t xml:space="preserve">A BB Seguridade acredita que seu capital humano é o principal ativo da empresa. Em 2021, com a revisão da abordagem dos pilares de estratégia e capital humano da Companhia, </w:t>
      </w:r>
      <w:r w:rsidR="00982503">
        <w:rPr>
          <w:rFonts w:cs="Arial"/>
          <w:color w:val="000000"/>
          <w:szCs w:val="18"/>
        </w:rPr>
        <w:t xml:space="preserve">os </w:t>
      </w:r>
      <w:r>
        <w:rPr>
          <w:rFonts w:cs="Arial"/>
          <w:color w:val="000000"/>
          <w:szCs w:val="18"/>
        </w:rPr>
        <w:t xml:space="preserve">processos </w:t>
      </w:r>
      <w:r w:rsidR="00982503">
        <w:rPr>
          <w:rFonts w:cs="Arial"/>
          <w:color w:val="000000"/>
          <w:szCs w:val="18"/>
        </w:rPr>
        <w:t xml:space="preserve">inerentes à gestão de pessoas passaram a ser conduzidos pela </w:t>
      </w:r>
      <w:r>
        <w:rPr>
          <w:rFonts w:cs="Arial"/>
          <w:color w:val="000000"/>
          <w:szCs w:val="18"/>
        </w:rPr>
        <w:t xml:space="preserve">Superintendência de Gente e Gestão. Tal mudança teve foco no amadurecimento do modelo de gestão da Companhia, mantendo o propósito de conferir um papel mais estratégico e menos transacional à área de </w:t>
      </w:r>
      <w:r w:rsidR="00DD7522">
        <w:rPr>
          <w:rFonts w:cs="Arial"/>
          <w:color w:val="000000"/>
          <w:szCs w:val="18"/>
        </w:rPr>
        <w:t>capital humano</w:t>
      </w:r>
      <w:r>
        <w:rPr>
          <w:rFonts w:cs="Arial"/>
          <w:color w:val="000000"/>
          <w:szCs w:val="18"/>
        </w:rPr>
        <w:t>, com o objetivo principal de atrair, reter e desenvolver os talentos da BB Seguridade, disseminar e fortalecer a cultura organizacional e atuar como parceiro estratégico do negócio, buscando uma performance sustentável em todas as áreas da empresa.</w:t>
      </w:r>
    </w:p>
    <w:p w14:paraId="75BA623F" w14:textId="77777777" w:rsidR="00EF771D" w:rsidRDefault="00EF771D" w:rsidP="00EF771D">
      <w:pPr>
        <w:spacing w:before="120" w:after="120"/>
        <w:jc w:val="both"/>
        <w:rPr>
          <w:rFonts w:cs="Arial"/>
          <w:color w:val="000000"/>
          <w:szCs w:val="18"/>
        </w:rPr>
      </w:pPr>
      <w:r>
        <w:rPr>
          <w:rFonts w:cs="Arial"/>
          <w:color w:val="000000"/>
          <w:szCs w:val="18"/>
        </w:rPr>
        <w:t xml:space="preserve"> </w:t>
      </w:r>
    </w:p>
    <w:p w14:paraId="0A580A7E" w14:textId="77777777" w:rsidR="00EF771D" w:rsidRPr="00783390" w:rsidRDefault="00EF771D"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Treinamento e Desenvolvimento</w:t>
      </w:r>
    </w:p>
    <w:p w14:paraId="6E974422" w14:textId="2CEE0870" w:rsidR="00EF771D" w:rsidRDefault="00EF771D" w:rsidP="00EF771D">
      <w:pPr>
        <w:tabs>
          <w:tab w:val="left" w:pos="1175"/>
        </w:tabs>
        <w:spacing w:before="120" w:after="120"/>
        <w:jc w:val="both"/>
        <w:rPr>
          <w:rFonts w:cs="Arial"/>
          <w:color w:val="000000"/>
          <w:szCs w:val="18"/>
        </w:rPr>
      </w:pPr>
      <w:r>
        <w:rPr>
          <w:rFonts w:cs="Arial"/>
          <w:color w:val="000000"/>
          <w:szCs w:val="18"/>
        </w:rPr>
        <w:t>Reforçando a importância que a BB Seguridade confere ao desenvolvimento dos colaboradores, foram investidos em 2021 aproximadamente R$</w:t>
      </w:r>
      <w:r w:rsidR="009538DA">
        <w:rPr>
          <w:rFonts w:cs="Arial"/>
          <w:color w:val="000000"/>
          <w:szCs w:val="18"/>
        </w:rPr>
        <w:t>638</w:t>
      </w:r>
      <w:r>
        <w:rPr>
          <w:rFonts w:cs="Arial"/>
          <w:color w:val="000000"/>
          <w:szCs w:val="18"/>
        </w:rPr>
        <w:t xml:space="preserve"> mil em treinamentos e subsídios de até 80% em bolsas de pós-graduação e idiomas. Para os cursos de pós-graduação, os colaboradores podem, ainda, valer-se de ausências autorizadas, com o objetivo de finalizar o trabalho de conclusão de curso. </w:t>
      </w:r>
    </w:p>
    <w:p w14:paraId="3C1DCDAE" w14:textId="364B542C" w:rsidR="00EF771D" w:rsidRDefault="00EF771D" w:rsidP="00EF771D">
      <w:pPr>
        <w:tabs>
          <w:tab w:val="left" w:pos="1175"/>
        </w:tabs>
        <w:spacing w:before="120" w:after="120"/>
        <w:jc w:val="both"/>
        <w:rPr>
          <w:rFonts w:cs="Arial"/>
          <w:color w:val="000000"/>
          <w:szCs w:val="18"/>
        </w:rPr>
      </w:pPr>
      <w:r>
        <w:rPr>
          <w:rFonts w:cs="Arial"/>
          <w:color w:val="000000"/>
          <w:szCs w:val="18"/>
        </w:rPr>
        <w:t xml:space="preserve">Ao longo de 2021, os principais treinamentos que fizeram parte do Plano de Desenvolvimento Corporativo (PDC) foram: </w:t>
      </w:r>
      <w:r>
        <w:t xml:space="preserve"> </w:t>
      </w:r>
      <w:r w:rsidR="005E35F9">
        <w:t xml:space="preserve">(i) </w:t>
      </w:r>
      <w:r>
        <w:rPr>
          <w:rFonts w:cs="Arial"/>
          <w:color w:val="000000"/>
          <w:szCs w:val="18"/>
        </w:rPr>
        <w:t xml:space="preserve">Programa de Formação de Líderes, que teve como principal objetivo preparar os potenciais sucessores para a passagem de líder de si para líder de equipe; (ii) Desenvolvimento de </w:t>
      </w:r>
      <w:r w:rsidRPr="00055252">
        <w:rPr>
          <w:rFonts w:cs="Arial"/>
          <w:i/>
          <w:iCs/>
          <w:color w:val="000000"/>
          <w:szCs w:val="18"/>
        </w:rPr>
        <w:t>Soft Skills</w:t>
      </w:r>
      <w:r>
        <w:rPr>
          <w:rFonts w:cs="Arial"/>
          <w:color w:val="000000"/>
          <w:szCs w:val="18"/>
        </w:rPr>
        <w:t xml:space="preserve"> para gestores, com o objetivo de aprimorar tópicos fundamentais para a atuação consciente do líder como gestor de pessoas; (iii) Trilha Líderes de Projeto, para preparar potenciais líderes para condução dos futuros projetos da BB Seguros; (iv) Modelos de Negócios</w:t>
      </w:r>
      <w:r w:rsidR="00D37872">
        <w:rPr>
          <w:rFonts w:cs="Arial"/>
          <w:color w:val="000000"/>
          <w:szCs w:val="18"/>
        </w:rPr>
        <w:t>;</w:t>
      </w:r>
      <w:r>
        <w:rPr>
          <w:rFonts w:cs="Arial"/>
          <w:color w:val="000000"/>
          <w:szCs w:val="18"/>
        </w:rPr>
        <w:t xml:space="preserve"> e (v) Programa Academia do Conhecimento, que teve como objetivo fortalecer as competências-chave (sejam elas técnicas ou comportamentais) da BB Segu</w:t>
      </w:r>
      <w:r w:rsidR="00D37872">
        <w:rPr>
          <w:rFonts w:cs="Arial"/>
          <w:color w:val="000000"/>
          <w:szCs w:val="18"/>
        </w:rPr>
        <w:t>idade</w:t>
      </w:r>
      <w:r>
        <w:rPr>
          <w:rFonts w:cs="Arial"/>
          <w:color w:val="000000"/>
          <w:szCs w:val="18"/>
        </w:rPr>
        <w:t>, alinhadas às principais habilidades do futuro.</w:t>
      </w:r>
    </w:p>
    <w:p w14:paraId="5E685377" w14:textId="77777777" w:rsidR="00EF771D" w:rsidRDefault="00EF771D" w:rsidP="00EF771D">
      <w:pPr>
        <w:tabs>
          <w:tab w:val="left" w:pos="1175"/>
        </w:tabs>
        <w:spacing w:before="120" w:after="120"/>
        <w:jc w:val="both"/>
        <w:rPr>
          <w:rFonts w:cs="Arial"/>
          <w:color w:val="000000"/>
          <w:szCs w:val="18"/>
        </w:rPr>
      </w:pPr>
    </w:p>
    <w:p w14:paraId="6356F277" w14:textId="77777777" w:rsidR="00EF771D" w:rsidRPr="00783390" w:rsidRDefault="00EF771D"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Talentos e Sucessão</w:t>
      </w:r>
    </w:p>
    <w:p w14:paraId="19A0B133" w14:textId="77777777" w:rsidR="00EF771D" w:rsidRDefault="00EF771D" w:rsidP="00EF771D">
      <w:pPr>
        <w:spacing w:before="120" w:after="120"/>
        <w:jc w:val="both"/>
        <w:rPr>
          <w:rFonts w:cs="Arial"/>
          <w:color w:val="000000"/>
          <w:szCs w:val="18"/>
        </w:rPr>
      </w:pPr>
      <w:r>
        <w:rPr>
          <w:rFonts w:cs="Arial"/>
          <w:color w:val="000000"/>
          <w:szCs w:val="18"/>
        </w:rPr>
        <w:t>Desde 2019, a BB Seguridade tem avançado na elevação da maturidade do processo de identificação de talentos e sucessores.</w:t>
      </w:r>
    </w:p>
    <w:p w14:paraId="44BAAF91" w14:textId="25B3CEC1" w:rsidR="00EF771D" w:rsidRDefault="00EF771D" w:rsidP="00EF771D">
      <w:pPr>
        <w:tabs>
          <w:tab w:val="left" w:pos="1175"/>
        </w:tabs>
        <w:spacing w:before="120" w:after="120"/>
        <w:jc w:val="both"/>
        <w:rPr>
          <w:rFonts w:cs="Arial"/>
          <w:color w:val="000000"/>
          <w:szCs w:val="18"/>
        </w:rPr>
      </w:pPr>
      <w:r>
        <w:rPr>
          <w:rFonts w:cs="Arial"/>
          <w:color w:val="000000"/>
          <w:szCs w:val="18"/>
        </w:rPr>
        <w:t>Os talentos são identificados por meio do ciclo de gestão de desempenho, compreendendo a avaliação de desempenho e a avaliação colegiada por meio de Comissão de Desenvolvimento e Carreira. A referida Comissão tem como um dos seus objetivos finais a formação de uma relação de potenciais sucessores da Companhia por meio da identificação dos funcionários que apresentaram alto desempenho e alto potencial, os quais serão preparados para ocuparem novas posições de maior complexidade.</w:t>
      </w:r>
    </w:p>
    <w:p w14:paraId="48EE36CD" w14:textId="3C2328BC" w:rsidR="00EF771D" w:rsidRDefault="00EF771D" w:rsidP="00EF771D">
      <w:pPr>
        <w:tabs>
          <w:tab w:val="left" w:pos="1175"/>
        </w:tabs>
        <w:spacing w:before="120" w:after="120"/>
        <w:jc w:val="both"/>
        <w:rPr>
          <w:rFonts w:cs="Arial"/>
          <w:color w:val="000000"/>
          <w:szCs w:val="18"/>
        </w:rPr>
      </w:pPr>
      <w:r>
        <w:rPr>
          <w:rFonts w:cs="Arial"/>
          <w:color w:val="000000"/>
          <w:szCs w:val="18"/>
        </w:rPr>
        <w:t>Nesse sentido, no exercício de 2021, a BB Seguridade deu continuidade ao Programa de Desenvolvimento de Potenciais Sucessores para posições gerenciais, finalizando a etapa de autoconhecimento com a aplicação e devolutiva d</w:t>
      </w:r>
      <w:r w:rsidR="00D73FAB">
        <w:rPr>
          <w:rFonts w:cs="Arial"/>
          <w:color w:val="000000"/>
          <w:szCs w:val="18"/>
        </w:rPr>
        <w:t>a</w:t>
      </w:r>
      <w:r>
        <w:rPr>
          <w:rFonts w:cs="Arial"/>
          <w:color w:val="000000"/>
          <w:szCs w:val="18"/>
        </w:rPr>
        <w:t xml:space="preserve"> </w:t>
      </w:r>
      <w:r w:rsidR="00D73FAB">
        <w:rPr>
          <w:rFonts w:cs="Arial"/>
          <w:color w:val="000000"/>
          <w:szCs w:val="18"/>
        </w:rPr>
        <w:t>avaliação</w:t>
      </w:r>
      <w:r>
        <w:rPr>
          <w:rFonts w:cs="Arial"/>
          <w:color w:val="000000"/>
          <w:szCs w:val="18"/>
        </w:rPr>
        <w:t xml:space="preserve"> de perfil comportamental e de estilo de gestão e iniciou a Formação de Líderes com aulas </w:t>
      </w:r>
      <w:r w:rsidRPr="00055252">
        <w:rPr>
          <w:rFonts w:cs="Arial"/>
          <w:i/>
          <w:iCs/>
          <w:color w:val="000000"/>
          <w:szCs w:val="18"/>
        </w:rPr>
        <w:t>online</w:t>
      </w:r>
      <w:r>
        <w:rPr>
          <w:rFonts w:cs="Arial"/>
          <w:color w:val="000000"/>
          <w:szCs w:val="18"/>
        </w:rPr>
        <w:t xml:space="preserve"> e ao vivo, conduzidas por empresa especializada</w:t>
      </w:r>
      <w:r w:rsidR="00C249C1">
        <w:rPr>
          <w:rFonts w:cs="Arial"/>
          <w:color w:val="000000"/>
          <w:szCs w:val="18"/>
        </w:rPr>
        <w:t>.</w:t>
      </w:r>
    </w:p>
    <w:p w14:paraId="10C9CAEB" w14:textId="77777777" w:rsidR="00EF771D" w:rsidRDefault="00EF771D" w:rsidP="00EF771D">
      <w:pPr>
        <w:tabs>
          <w:tab w:val="left" w:pos="1175"/>
        </w:tabs>
        <w:spacing w:before="120" w:after="120"/>
        <w:jc w:val="both"/>
        <w:rPr>
          <w:rFonts w:cs="Arial"/>
          <w:b/>
          <w:color w:val="254E79"/>
          <w:szCs w:val="18"/>
        </w:rPr>
      </w:pPr>
    </w:p>
    <w:p w14:paraId="287A601B" w14:textId="77777777" w:rsidR="00EF771D" w:rsidRPr="00783390" w:rsidRDefault="00EF771D"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Benefícios e Premiações</w:t>
      </w:r>
    </w:p>
    <w:p w14:paraId="79C5B144" w14:textId="6D0B5BBD" w:rsidR="00EF771D" w:rsidRDefault="00EF771D" w:rsidP="00EF771D">
      <w:pPr>
        <w:jc w:val="both"/>
        <w:rPr>
          <w:rFonts w:cs="Arial"/>
          <w:szCs w:val="18"/>
        </w:rPr>
      </w:pPr>
      <w:r>
        <w:rPr>
          <w:rFonts w:cs="Arial"/>
          <w:color w:val="000000"/>
          <w:szCs w:val="18"/>
        </w:rPr>
        <w:t>Aos funcionários cedidos</w:t>
      </w:r>
      <w:r w:rsidR="00863319">
        <w:rPr>
          <w:rFonts w:cs="Arial"/>
          <w:color w:val="000000"/>
          <w:szCs w:val="18"/>
        </w:rPr>
        <w:t xml:space="preserve"> pelo controlador para trabalhar na Companhia</w:t>
      </w:r>
      <w:r>
        <w:rPr>
          <w:rFonts w:cs="Arial"/>
          <w:color w:val="000000"/>
          <w:szCs w:val="18"/>
        </w:rPr>
        <w:t xml:space="preserve">, a BB Seguridade assegura diversos benefícios, com destaque para previdência complementar, planos de saúde e remuneração variável com base nos lucros e resultados. Além desses benefícios, em 2019, o Conselho de Administração aprovou o “Programa Aplausos”, uma premiação vinculada ao resultado e ao desempenho individual dos participantes elegíveis que venham a se destacar em termos de atingimento de metas individuais e contribuição diferenciada para o resultado da empresa. O pagamento da premiação é realizado com ações da Companhia e visa o fortalecimento da parceria entre o funcionário e a BB Seguridade, reconhecimento dos participantes na construção do resultado e alinhamento dos resultados às </w:t>
      </w:r>
      <w:r>
        <w:rPr>
          <w:rFonts w:cs="Arial"/>
          <w:szCs w:val="18"/>
        </w:rPr>
        <w:t>estratégias da Companhia. De forma similar, o Programa de Remuneração Variável dos Diretores Estatutários também prevê o pagamento de 50% do valor total em ações da Companhia.</w:t>
      </w:r>
    </w:p>
    <w:p w14:paraId="302E6628" w14:textId="2BDE7856" w:rsidR="00EF771D" w:rsidRDefault="00EF771D" w:rsidP="00EF771D">
      <w:pPr>
        <w:jc w:val="both"/>
        <w:rPr>
          <w:rFonts w:cs="Arial"/>
          <w:color w:val="000000"/>
          <w:szCs w:val="18"/>
        </w:rPr>
      </w:pPr>
      <w:r>
        <w:rPr>
          <w:rFonts w:cs="Arial"/>
          <w:color w:val="000000"/>
          <w:szCs w:val="18"/>
        </w:rPr>
        <w:t>Em 2021, com base nos resultados dos desempenhos individuais referentes ao exercício de 202</w:t>
      </w:r>
      <w:r w:rsidR="00070DC9">
        <w:rPr>
          <w:rFonts w:cs="Arial"/>
          <w:color w:val="000000"/>
          <w:szCs w:val="18"/>
        </w:rPr>
        <w:t>0</w:t>
      </w:r>
      <w:r>
        <w:rPr>
          <w:rFonts w:cs="Arial"/>
          <w:color w:val="000000"/>
          <w:szCs w:val="18"/>
        </w:rPr>
        <w:t>, 42 funcionários (de um total de 142 avaliados) foram identificados com desempenho acima do adequado ou destaque e tiveram sua performance reconhecida por meio do Programa Aplausos.</w:t>
      </w:r>
    </w:p>
    <w:p w14:paraId="4227B2C2" w14:textId="080192DF" w:rsidR="0042606E" w:rsidRDefault="0042606E">
      <w:pPr>
        <w:rPr>
          <w:rFonts w:cs="Arial"/>
          <w:color w:val="000000"/>
          <w:szCs w:val="18"/>
        </w:rPr>
      </w:pPr>
      <w:r>
        <w:rPr>
          <w:rFonts w:cs="Arial"/>
          <w:color w:val="000000"/>
          <w:szCs w:val="18"/>
        </w:rPr>
        <w:br w:type="page"/>
      </w:r>
    </w:p>
    <w:p w14:paraId="3F6C390C" w14:textId="77777777" w:rsidR="0042606E" w:rsidRDefault="0042606E" w:rsidP="00EF771D">
      <w:pPr>
        <w:jc w:val="both"/>
        <w:rPr>
          <w:rFonts w:cs="Arial"/>
          <w:color w:val="000000"/>
          <w:szCs w:val="18"/>
        </w:rPr>
      </w:pPr>
    </w:p>
    <w:p w14:paraId="7F11C819" w14:textId="77777777" w:rsidR="00EF771D" w:rsidRDefault="00EF771D" w:rsidP="00EF771D">
      <w:pPr>
        <w:spacing w:before="120" w:after="120"/>
        <w:jc w:val="both"/>
        <w:rPr>
          <w:rFonts w:cs="Arial"/>
          <w:color w:val="000000"/>
          <w:szCs w:val="18"/>
        </w:rPr>
      </w:pPr>
      <w:r>
        <w:rPr>
          <w:rFonts w:cs="Arial"/>
          <w:color w:val="000000"/>
          <w:szCs w:val="18"/>
        </w:rPr>
        <w:t>Abaixo, demonstramos os investimentos realizados no ano:</w:t>
      </w:r>
    </w:p>
    <w:p w14:paraId="6836506E" w14:textId="359D224A" w:rsidR="00EF771D" w:rsidRDefault="00EF771D" w:rsidP="00EF771D">
      <w:pPr>
        <w:pStyle w:val="01-TtulodeNota"/>
        <w:rPr>
          <w:b w:val="0"/>
          <w:sz w:val="14"/>
        </w:rPr>
      </w:pPr>
      <w:r>
        <w:rPr>
          <w:rFonts w:cs="Arial"/>
          <w:b w:val="0"/>
          <w:sz w:val="14"/>
          <w:szCs w:val="14"/>
        </w:rPr>
        <w:t xml:space="preserve">Tabela </w:t>
      </w:r>
      <w:r>
        <w:rPr>
          <w:rFonts w:cs="Arial"/>
          <w:b w:val="0"/>
          <w:sz w:val="14"/>
          <w:szCs w:val="14"/>
        </w:rPr>
        <w:fldChar w:fldCharType="begin"/>
      </w:r>
      <w:r>
        <w:rPr>
          <w:rFonts w:cs="Arial"/>
          <w:b w:val="0"/>
          <w:sz w:val="14"/>
          <w:szCs w:val="14"/>
        </w:rPr>
        <w:instrText xml:space="preserve"> SEQ Tabela \* ARABIC </w:instrText>
      </w:r>
      <w:r>
        <w:rPr>
          <w:rFonts w:cs="Arial"/>
          <w:b w:val="0"/>
          <w:sz w:val="14"/>
          <w:szCs w:val="14"/>
        </w:rPr>
        <w:fldChar w:fldCharType="separate"/>
      </w:r>
      <w:r w:rsidR="00055252">
        <w:rPr>
          <w:rFonts w:cs="Arial"/>
          <w:b w:val="0"/>
          <w:noProof/>
          <w:sz w:val="14"/>
          <w:szCs w:val="14"/>
        </w:rPr>
        <w:t>5</w:t>
      </w:r>
      <w:r>
        <w:rPr>
          <w:rFonts w:cs="Arial"/>
          <w:b w:val="0"/>
          <w:noProof/>
          <w:sz w:val="14"/>
          <w:szCs w:val="14"/>
        </w:rPr>
        <w:fldChar w:fldCharType="end"/>
      </w:r>
      <w:r>
        <w:rPr>
          <w:b w:val="0"/>
          <w:sz w:val="14"/>
        </w:rPr>
        <w:t xml:space="preserve"> – </w:t>
      </w:r>
      <w:r>
        <w:rPr>
          <w:rFonts w:cs="Arial"/>
          <w:b w:val="0"/>
          <w:sz w:val="14"/>
        </w:rPr>
        <w:t xml:space="preserve">Capital Humano </w:t>
      </w:r>
      <w:r w:rsidR="00196E37">
        <w:rPr>
          <w:rFonts w:cs="Arial"/>
          <w:b w:val="0"/>
          <w:sz w:val="14"/>
        </w:rPr>
        <w:t>–</w:t>
      </w:r>
      <w:r>
        <w:rPr>
          <w:rFonts w:cs="Arial"/>
          <w:b w:val="0"/>
          <w:sz w:val="14"/>
        </w:rPr>
        <w:t xml:space="preserve"> Investimento</w:t>
      </w:r>
      <w:r w:rsidR="00196E37">
        <w:rPr>
          <w:rFonts w:cs="Arial"/>
          <w:b w:val="0"/>
          <w:sz w:val="14"/>
        </w:rPr>
        <w:t xml:space="preserve"> (visão consolidada)</w:t>
      </w:r>
    </w:p>
    <w:tbl>
      <w:tblPr>
        <w:tblStyle w:val="TabeladeLista6Colorida-nfase5"/>
        <w:tblW w:w="9639" w:type="dxa"/>
        <w:tblLook w:val="04A0" w:firstRow="1" w:lastRow="0" w:firstColumn="1" w:lastColumn="0" w:noHBand="0" w:noVBand="1"/>
      </w:tblPr>
      <w:tblGrid>
        <w:gridCol w:w="4063"/>
        <w:gridCol w:w="1859"/>
        <w:gridCol w:w="1859"/>
        <w:gridCol w:w="1858"/>
      </w:tblGrid>
      <w:tr w:rsidR="00EF771D" w14:paraId="5BBA8DF6" w14:textId="77777777" w:rsidTr="00EF771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06B874CA" w14:textId="60901F60" w:rsidR="00EF771D" w:rsidRDefault="00D905EC">
            <w:pPr>
              <w:pStyle w:val="08-Tabelageral"/>
              <w:jc w:val="left"/>
              <w:rPr>
                <w:rFonts w:cs="Arial"/>
                <w:lang w:eastAsia="en-US"/>
              </w:rPr>
            </w:pPr>
            <w:r>
              <w:rPr>
                <w:rFonts w:cs="Arial"/>
                <w:lang w:eastAsia="en-US"/>
              </w:rPr>
              <w:t>R$ mil</w:t>
            </w: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6D652147" w14:textId="77777777" w:rsidR="00EF771D" w:rsidRDefault="00EF771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Fluxo Anual</w:t>
            </w:r>
          </w:p>
        </w:tc>
      </w:tr>
      <w:tr w:rsidR="00EF771D" w14:paraId="34DABA37"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1EE5093C" w14:textId="77777777" w:rsidR="00EF771D" w:rsidRDefault="00EF771D">
            <w:pPr>
              <w:pStyle w:val="08-Tabelageral"/>
              <w:jc w:val="left"/>
              <w:rPr>
                <w:rFonts w:cs="Arial"/>
                <w:bCs w:val="0"/>
                <w:szCs w:val="14"/>
                <w:lang w:eastAsia="en-US"/>
              </w:rPr>
            </w:pPr>
          </w:p>
        </w:tc>
        <w:tc>
          <w:tcPr>
            <w:tcW w:w="1859" w:type="dxa"/>
            <w:tcBorders>
              <w:top w:val="nil"/>
              <w:left w:val="nil"/>
              <w:bottom w:val="single" w:sz="2" w:space="0" w:color="8EAADB" w:themeColor="accent5" w:themeTint="99"/>
              <w:right w:val="nil"/>
            </w:tcBorders>
            <w:vAlign w:val="center"/>
            <w:hideMark/>
          </w:tcPr>
          <w:p w14:paraId="53A007BB" w14:textId="77777777" w:rsidR="00EF771D" w:rsidRDefault="00EF771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c>
          <w:tcPr>
            <w:tcW w:w="1859" w:type="dxa"/>
            <w:tcBorders>
              <w:top w:val="nil"/>
              <w:left w:val="nil"/>
              <w:bottom w:val="single" w:sz="2" w:space="0" w:color="8EAADB" w:themeColor="accent5" w:themeTint="99"/>
              <w:right w:val="nil"/>
            </w:tcBorders>
            <w:vAlign w:val="center"/>
            <w:hideMark/>
          </w:tcPr>
          <w:p w14:paraId="3D556EF8" w14:textId="77777777" w:rsidR="00EF771D" w:rsidRDefault="00EF771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eastAsia="en-US"/>
              </w:rPr>
              <w:t>2020</w:t>
            </w:r>
            <w:r>
              <w:rPr>
                <w:rFonts w:cs="Arial"/>
                <w:b/>
                <w:vertAlign w:val="superscript"/>
                <w:lang w:eastAsia="en-US"/>
              </w:rPr>
              <w:t>1</w:t>
            </w:r>
          </w:p>
        </w:tc>
        <w:tc>
          <w:tcPr>
            <w:tcW w:w="1858" w:type="dxa"/>
            <w:tcBorders>
              <w:top w:val="nil"/>
              <w:left w:val="nil"/>
              <w:bottom w:val="single" w:sz="2" w:space="0" w:color="8EAADB" w:themeColor="accent5" w:themeTint="99"/>
              <w:right w:val="nil"/>
            </w:tcBorders>
            <w:vAlign w:val="center"/>
            <w:hideMark/>
          </w:tcPr>
          <w:p w14:paraId="118EF85D"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2019</w:t>
            </w:r>
          </w:p>
        </w:tc>
      </w:tr>
      <w:tr w:rsidR="00196E37" w14:paraId="4252DD58" w14:textId="77777777" w:rsidTr="00196E37">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vAlign w:val="center"/>
            <w:hideMark/>
          </w:tcPr>
          <w:p w14:paraId="46268CD2" w14:textId="77777777" w:rsidR="00196E37" w:rsidRDefault="00196E37" w:rsidP="00196E37">
            <w:pPr>
              <w:pStyle w:val="08-Tabelageral"/>
              <w:jc w:val="left"/>
              <w:rPr>
                <w:rFonts w:cs="Arial"/>
                <w:snapToGrid w:val="0"/>
                <w:color w:val="000000"/>
                <w:lang w:eastAsia="en-US"/>
              </w:rPr>
            </w:pPr>
            <w:r>
              <w:rPr>
                <w:color w:val="000000"/>
                <w:lang w:eastAsia="en-US"/>
              </w:rPr>
              <w:t>Investimento em Pessoas</w:t>
            </w:r>
          </w:p>
        </w:tc>
        <w:tc>
          <w:tcPr>
            <w:tcW w:w="1859" w:type="dxa"/>
            <w:tcBorders>
              <w:top w:val="single" w:sz="2" w:space="0" w:color="8EAADB" w:themeColor="accent5" w:themeTint="99"/>
              <w:left w:val="nil"/>
              <w:bottom w:val="nil"/>
              <w:right w:val="nil"/>
            </w:tcBorders>
            <w:hideMark/>
          </w:tcPr>
          <w:p w14:paraId="4FF54102" w14:textId="7B071777" w:rsidR="00196E37" w:rsidRP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b/>
                <w:bCs/>
                <w:color w:val="000000"/>
                <w:lang w:eastAsia="en-US"/>
              </w:rPr>
            </w:pPr>
            <w:r w:rsidRPr="00196E37">
              <w:rPr>
                <w:b/>
                <w:bCs/>
              </w:rPr>
              <w:t xml:space="preserve"> 57.638 </w:t>
            </w:r>
          </w:p>
        </w:tc>
        <w:tc>
          <w:tcPr>
            <w:tcW w:w="1859" w:type="dxa"/>
            <w:tcBorders>
              <w:top w:val="single" w:sz="2" w:space="0" w:color="8EAADB" w:themeColor="accent5" w:themeTint="99"/>
              <w:left w:val="nil"/>
              <w:bottom w:val="nil"/>
              <w:right w:val="nil"/>
            </w:tcBorders>
            <w:hideMark/>
          </w:tcPr>
          <w:p w14:paraId="0ECBD913" w14:textId="5A1C2BB6" w:rsidR="00196E37" w:rsidRP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572944">
              <w:t xml:space="preserve"> </w:t>
            </w:r>
            <w:r w:rsidRPr="00196E37">
              <w:rPr>
                <w:b/>
                <w:bCs/>
              </w:rPr>
              <w:t xml:space="preserve">58.021 </w:t>
            </w:r>
          </w:p>
        </w:tc>
        <w:tc>
          <w:tcPr>
            <w:tcW w:w="1858" w:type="dxa"/>
            <w:tcBorders>
              <w:top w:val="single" w:sz="2" w:space="0" w:color="8EAADB" w:themeColor="accent5" w:themeTint="99"/>
              <w:left w:val="nil"/>
              <w:bottom w:val="nil"/>
              <w:right w:val="nil"/>
            </w:tcBorders>
            <w:hideMark/>
          </w:tcPr>
          <w:p w14:paraId="3D535E3B" w14:textId="05C5CC26" w:rsidR="00196E37" w:rsidRP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572944">
              <w:t xml:space="preserve"> </w:t>
            </w:r>
            <w:r w:rsidRPr="00196E37">
              <w:rPr>
                <w:b/>
                <w:bCs/>
              </w:rPr>
              <w:t xml:space="preserve">53.827 </w:t>
            </w:r>
          </w:p>
        </w:tc>
      </w:tr>
      <w:tr w:rsidR="00196E37" w14:paraId="1C279C4F" w14:textId="77777777" w:rsidTr="00196E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00023FA1" w14:textId="77777777" w:rsidR="00196E37" w:rsidRDefault="00196E37" w:rsidP="00196E37">
            <w:pPr>
              <w:pStyle w:val="08-Tabelageral"/>
              <w:ind w:left="113"/>
              <w:jc w:val="left"/>
              <w:rPr>
                <w:rFonts w:cs="Arial"/>
                <w:b w:val="0"/>
                <w:snapToGrid w:val="0"/>
                <w:color w:val="000000"/>
                <w:lang w:eastAsia="en-US"/>
              </w:rPr>
            </w:pPr>
            <w:r>
              <w:rPr>
                <w:b w:val="0"/>
                <w:color w:val="000000"/>
                <w:lang w:eastAsia="en-US"/>
              </w:rPr>
              <w:t>Folha de pagamento²</w:t>
            </w:r>
          </w:p>
        </w:tc>
        <w:tc>
          <w:tcPr>
            <w:tcW w:w="1859" w:type="dxa"/>
            <w:tcBorders>
              <w:top w:val="nil"/>
              <w:left w:val="nil"/>
              <w:bottom w:val="nil"/>
              <w:right w:val="nil"/>
            </w:tcBorders>
            <w:hideMark/>
          </w:tcPr>
          <w:p w14:paraId="714FC1FA" w14:textId="103577EB" w:rsidR="00196E37" w:rsidRDefault="00196E37" w:rsidP="00196E37">
            <w:pPr>
              <w:pStyle w:val="08-Tabelageral"/>
              <w:cnfStyle w:val="000000100000" w:firstRow="0" w:lastRow="0" w:firstColumn="0" w:lastColumn="0" w:oddVBand="0" w:evenVBand="0" w:oddHBand="1" w:evenHBand="0" w:firstRowFirstColumn="0" w:firstRowLastColumn="0" w:lastRowFirstColumn="0" w:lastRowLastColumn="0"/>
              <w:rPr>
                <w:color w:val="000000"/>
                <w:lang w:eastAsia="en-US"/>
              </w:rPr>
            </w:pPr>
            <w:r w:rsidRPr="00572944">
              <w:t xml:space="preserve"> 51.887 </w:t>
            </w:r>
          </w:p>
        </w:tc>
        <w:tc>
          <w:tcPr>
            <w:tcW w:w="1859" w:type="dxa"/>
            <w:tcBorders>
              <w:top w:val="nil"/>
              <w:left w:val="nil"/>
              <w:bottom w:val="nil"/>
              <w:right w:val="nil"/>
            </w:tcBorders>
            <w:hideMark/>
          </w:tcPr>
          <w:p w14:paraId="1BD18065" w14:textId="6E4628FE" w:rsidR="00196E37" w:rsidRDefault="00196E37"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52.130 </w:t>
            </w:r>
          </w:p>
        </w:tc>
        <w:tc>
          <w:tcPr>
            <w:tcW w:w="1858" w:type="dxa"/>
            <w:tcBorders>
              <w:top w:val="nil"/>
              <w:left w:val="nil"/>
              <w:bottom w:val="nil"/>
              <w:right w:val="nil"/>
            </w:tcBorders>
            <w:hideMark/>
          </w:tcPr>
          <w:p w14:paraId="4F376B99" w14:textId="149F8213" w:rsidR="00196E37" w:rsidRDefault="00196E37"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48.959 </w:t>
            </w:r>
          </w:p>
        </w:tc>
      </w:tr>
      <w:tr w:rsidR="00196E37" w14:paraId="67C30E9E" w14:textId="77777777" w:rsidTr="00196E3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36A4405E" w14:textId="77777777" w:rsidR="00196E37" w:rsidRDefault="00196E37" w:rsidP="00196E37">
            <w:pPr>
              <w:pStyle w:val="08-Tabelageral"/>
              <w:ind w:left="113"/>
              <w:jc w:val="left"/>
              <w:rPr>
                <w:rFonts w:cs="Arial"/>
                <w:b w:val="0"/>
                <w:snapToGrid w:val="0"/>
                <w:color w:val="000000"/>
                <w:lang w:eastAsia="en-US"/>
              </w:rPr>
            </w:pPr>
            <w:r>
              <w:rPr>
                <w:b w:val="0"/>
                <w:color w:val="000000"/>
                <w:lang w:eastAsia="en-US"/>
              </w:rPr>
              <w:t>Previdência complementar</w:t>
            </w:r>
          </w:p>
        </w:tc>
        <w:tc>
          <w:tcPr>
            <w:tcW w:w="1859" w:type="dxa"/>
            <w:tcBorders>
              <w:top w:val="nil"/>
              <w:left w:val="nil"/>
              <w:bottom w:val="nil"/>
              <w:right w:val="nil"/>
            </w:tcBorders>
            <w:hideMark/>
          </w:tcPr>
          <w:p w14:paraId="56461C6E" w14:textId="464DD8A9" w:rsid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color w:val="000000"/>
                <w:lang w:eastAsia="en-US"/>
              </w:rPr>
            </w:pPr>
            <w:r w:rsidRPr="00572944">
              <w:t xml:space="preserve"> 2.985 </w:t>
            </w:r>
          </w:p>
        </w:tc>
        <w:tc>
          <w:tcPr>
            <w:tcW w:w="1859" w:type="dxa"/>
            <w:tcBorders>
              <w:top w:val="nil"/>
              <w:left w:val="nil"/>
              <w:bottom w:val="nil"/>
              <w:right w:val="nil"/>
            </w:tcBorders>
            <w:hideMark/>
          </w:tcPr>
          <w:p w14:paraId="5ABD9056" w14:textId="337DA95B" w:rsid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2.865 </w:t>
            </w:r>
          </w:p>
        </w:tc>
        <w:tc>
          <w:tcPr>
            <w:tcW w:w="1858" w:type="dxa"/>
            <w:tcBorders>
              <w:top w:val="nil"/>
              <w:left w:val="nil"/>
              <w:bottom w:val="nil"/>
              <w:right w:val="nil"/>
            </w:tcBorders>
            <w:hideMark/>
          </w:tcPr>
          <w:p w14:paraId="35570E0E" w14:textId="76D6D95A" w:rsid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2.642 </w:t>
            </w:r>
          </w:p>
        </w:tc>
      </w:tr>
      <w:tr w:rsidR="00196E37" w14:paraId="63EB214D" w14:textId="77777777" w:rsidTr="00196E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4114B3F1" w14:textId="77777777" w:rsidR="00196E37" w:rsidRDefault="00196E37" w:rsidP="00196E37">
            <w:pPr>
              <w:pStyle w:val="08-Tabelageral"/>
              <w:ind w:left="113"/>
              <w:jc w:val="left"/>
              <w:rPr>
                <w:rFonts w:cs="Arial"/>
                <w:b w:val="0"/>
                <w:snapToGrid w:val="0"/>
                <w:color w:val="000000"/>
                <w:lang w:eastAsia="en-US"/>
              </w:rPr>
            </w:pPr>
            <w:r>
              <w:rPr>
                <w:b w:val="0"/>
                <w:color w:val="000000"/>
                <w:lang w:eastAsia="en-US"/>
              </w:rPr>
              <w:t>Plano de saúde</w:t>
            </w:r>
          </w:p>
        </w:tc>
        <w:tc>
          <w:tcPr>
            <w:tcW w:w="1859" w:type="dxa"/>
            <w:tcBorders>
              <w:top w:val="nil"/>
              <w:left w:val="nil"/>
              <w:bottom w:val="nil"/>
              <w:right w:val="nil"/>
            </w:tcBorders>
            <w:hideMark/>
          </w:tcPr>
          <w:p w14:paraId="5247F7A5" w14:textId="2B5D54F9" w:rsidR="00196E37" w:rsidRDefault="00196E37" w:rsidP="00196E37">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572944">
              <w:t xml:space="preserve"> 2.128 </w:t>
            </w:r>
          </w:p>
        </w:tc>
        <w:tc>
          <w:tcPr>
            <w:tcW w:w="1859" w:type="dxa"/>
            <w:tcBorders>
              <w:top w:val="nil"/>
              <w:left w:val="nil"/>
              <w:bottom w:val="nil"/>
              <w:right w:val="nil"/>
            </w:tcBorders>
            <w:hideMark/>
          </w:tcPr>
          <w:p w14:paraId="2DF45FA4" w14:textId="369190ED" w:rsidR="00196E37" w:rsidRDefault="00196E37"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2.192 </w:t>
            </w:r>
          </w:p>
        </w:tc>
        <w:tc>
          <w:tcPr>
            <w:tcW w:w="1858" w:type="dxa"/>
            <w:tcBorders>
              <w:top w:val="nil"/>
              <w:left w:val="nil"/>
              <w:bottom w:val="nil"/>
              <w:right w:val="nil"/>
            </w:tcBorders>
            <w:hideMark/>
          </w:tcPr>
          <w:p w14:paraId="1305E33C" w14:textId="09719DFB" w:rsidR="00196E37" w:rsidRDefault="00196E37"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1.249 </w:t>
            </w:r>
          </w:p>
        </w:tc>
      </w:tr>
      <w:tr w:rsidR="00196E37" w14:paraId="68115782" w14:textId="77777777" w:rsidTr="00196E3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9CC2E5" w:themeColor="accent1" w:themeTint="99"/>
              <w:right w:val="nil"/>
            </w:tcBorders>
            <w:vAlign w:val="center"/>
            <w:hideMark/>
          </w:tcPr>
          <w:p w14:paraId="4E698321" w14:textId="77777777" w:rsidR="00196E37" w:rsidRDefault="00196E37" w:rsidP="00196E37">
            <w:pPr>
              <w:pStyle w:val="08-Tabelageral"/>
              <w:ind w:left="113"/>
              <w:jc w:val="left"/>
              <w:rPr>
                <w:rFonts w:cs="Arial"/>
                <w:b w:val="0"/>
                <w:snapToGrid w:val="0"/>
                <w:color w:val="000000"/>
                <w:lang w:eastAsia="en-US"/>
              </w:rPr>
            </w:pPr>
            <w:r>
              <w:rPr>
                <w:b w:val="0"/>
                <w:color w:val="000000"/>
                <w:lang w:eastAsia="en-US"/>
              </w:rPr>
              <w:t>Capacitação (Bolsas e Treinamentos)</w:t>
            </w:r>
          </w:p>
        </w:tc>
        <w:tc>
          <w:tcPr>
            <w:tcW w:w="1859" w:type="dxa"/>
            <w:tcBorders>
              <w:top w:val="nil"/>
              <w:left w:val="nil"/>
              <w:bottom w:val="single" w:sz="2" w:space="0" w:color="9CC2E5" w:themeColor="accent1" w:themeTint="99"/>
              <w:right w:val="nil"/>
            </w:tcBorders>
            <w:hideMark/>
          </w:tcPr>
          <w:p w14:paraId="40D86201" w14:textId="66C65D67" w:rsid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color w:val="000000"/>
                <w:lang w:eastAsia="en-US"/>
              </w:rPr>
            </w:pPr>
            <w:r w:rsidRPr="00572944">
              <w:t xml:space="preserve"> 638 </w:t>
            </w:r>
          </w:p>
        </w:tc>
        <w:tc>
          <w:tcPr>
            <w:tcW w:w="1859" w:type="dxa"/>
            <w:tcBorders>
              <w:top w:val="nil"/>
              <w:left w:val="nil"/>
              <w:bottom w:val="single" w:sz="2" w:space="0" w:color="9CC2E5" w:themeColor="accent1" w:themeTint="99"/>
              <w:right w:val="nil"/>
            </w:tcBorders>
            <w:hideMark/>
          </w:tcPr>
          <w:p w14:paraId="4834921C" w14:textId="62FA3399" w:rsid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834 </w:t>
            </w:r>
          </w:p>
        </w:tc>
        <w:tc>
          <w:tcPr>
            <w:tcW w:w="1858" w:type="dxa"/>
            <w:tcBorders>
              <w:top w:val="nil"/>
              <w:left w:val="nil"/>
              <w:bottom w:val="single" w:sz="2" w:space="0" w:color="9CC2E5" w:themeColor="accent1" w:themeTint="99"/>
              <w:right w:val="nil"/>
            </w:tcBorders>
            <w:hideMark/>
          </w:tcPr>
          <w:p w14:paraId="23D61C88" w14:textId="339A6619" w:rsidR="00196E37" w:rsidRDefault="00196E37"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978 </w:t>
            </w:r>
          </w:p>
        </w:tc>
      </w:tr>
    </w:tbl>
    <w:p w14:paraId="7C5708B7" w14:textId="77777777" w:rsidR="00EF771D" w:rsidRDefault="00EF771D" w:rsidP="00EF771D">
      <w:pPr>
        <w:pStyle w:val="07-Legenda"/>
        <w:tabs>
          <w:tab w:val="left" w:pos="142"/>
        </w:tabs>
        <w:rPr>
          <w:color w:val="000000"/>
        </w:rPr>
      </w:pPr>
      <w:r>
        <w:rPr>
          <w:color w:val="000000"/>
        </w:rPr>
        <w:t>(1)</w:t>
      </w:r>
      <w:r>
        <w:rPr>
          <w:color w:val="000000"/>
        </w:rPr>
        <w:tab/>
        <w:t xml:space="preserve">A partir de 2020, alguns dos valores referentes à previdência complementar e plano de saúde, antes consideradas na linha Folha de pagamento, passaram a ser reportadas separadamente. Adicionalmente, a linha Folha de pagamento passou a contemplar os valores relativos a auxílio alimentação e refeição. </w:t>
      </w:r>
    </w:p>
    <w:p w14:paraId="31F6434D" w14:textId="77777777" w:rsidR="00EF771D" w:rsidRDefault="00EF771D" w:rsidP="00EF771D">
      <w:pPr>
        <w:pStyle w:val="07-Legenda"/>
        <w:rPr>
          <w:color w:val="000000"/>
        </w:rPr>
      </w:pPr>
      <w:r>
        <w:rPr>
          <w:color w:val="000000"/>
        </w:rPr>
        <w:t xml:space="preserve">(2) </w:t>
      </w:r>
      <w:r>
        <w:rPr>
          <w:color w:val="000000"/>
        </w:rPr>
        <w:tab/>
        <w:t>Despesas com proventos, benefícios e encargos sociais, excluído os valores referentes a Plano de Saúde e Previdência Complementar.</w:t>
      </w:r>
    </w:p>
    <w:p w14:paraId="4F80AD53" w14:textId="77777777" w:rsidR="00EF771D" w:rsidRDefault="00EF771D" w:rsidP="00EF771D">
      <w:pPr>
        <w:tabs>
          <w:tab w:val="left" w:pos="1175"/>
        </w:tabs>
        <w:spacing w:before="120" w:after="120"/>
        <w:jc w:val="both"/>
        <w:rPr>
          <w:rFonts w:cs="Arial"/>
          <w:color w:val="000000"/>
          <w:szCs w:val="18"/>
        </w:rPr>
      </w:pPr>
    </w:p>
    <w:p w14:paraId="16862684" w14:textId="77777777" w:rsidR="00EF771D" w:rsidRPr="00783390" w:rsidRDefault="00EF771D"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Diversidade</w:t>
      </w:r>
    </w:p>
    <w:p w14:paraId="62329C68" w14:textId="03609120" w:rsidR="00EF771D" w:rsidRDefault="004830F0" w:rsidP="00EF771D">
      <w:pPr>
        <w:tabs>
          <w:tab w:val="left" w:pos="1175"/>
        </w:tabs>
        <w:spacing w:before="120" w:after="120"/>
        <w:jc w:val="both"/>
        <w:rPr>
          <w:rFonts w:cs="Arial"/>
          <w:color w:val="000000"/>
          <w:szCs w:val="18"/>
        </w:rPr>
      </w:pPr>
      <w:r>
        <w:rPr>
          <w:rFonts w:cs="Arial"/>
          <w:color w:val="000000"/>
          <w:szCs w:val="18"/>
        </w:rPr>
        <w:t xml:space="preserve">A partir de discussões que aconteceram no âmbito do Fórum ASG da BB Seguridade, </w:t>
      </w:r>
      <w:r w:rsidR="00285DC8">
        <w:rPr>
          <w:rFonts w:cs="Arial"/>
          <w:color w:val="000000"/>
          <w:szCs w:val="18"/>
        </w:rPr>
        <w:t>foi proposta</w:t>
      </w:r>
      <w:r w:rsidR="00EF771D">
        <w:rPr>
          <w:rFonts w:cs="Arial"/>
          <w:color w:val="000000"/>
          <w:szCs w:val="18"/>
        </w:rPr>
        <w:t xml:space="preserve"> uma agenda sobre diversidade e igualdade de oportunidades para o </w:t>
      </w:r>
      <w:r w:rsidR="00070DC9">
        <w:rPr>
          <w:rFonts w:cs="Arial"/>
          <w:color w:val="000000"/>
          <w:szCs w:val="18"/>
        </w:rPr>
        <w:t>G</w:t>
      </w:r>
      <w:r w:rsidR="00EF771D">
        <w:rPr>
          <w:rFonts w:cs="Arial"/>
          <w:color w:val="000000"/>
          <w:szCs w:val="18"/>
        </w:rPr>
        <w:t xml:space="preserve">rupo BB Seguridade, </w:t>
      </w:r>
      <w:r w:rsidR="007B7175">
        <w:rPr>
          <w:rFonts w:cs="Arial"/>
          <w:color w:val="000000"/>
          <w:szCs w:val="18"/>
        </w:rPr>
        <w:t>o</w:t>
      </w:r>
      <w:r w:rsidR="00BB042E">
        <w:rPr>
          <w:rFonts w:cs="Arial"/>
          <w:color w:val="000000"/>
          <w:szCs w:val="18"/>
        </w:rPr>
        <w:t xml:space="preserve">bservadas </w:t>
      </w:r>
      <w:r w:rsidR="00EF771D">
        <w:rPr>
          <w:rFonts w:cs="Arial"/>
          <w:color w:val="000000"/>
          <w:szCs w:val="18"/>
        </w:rPr>
        <w:t>as particularidades d</w:t>
      </w:r>
      <w:r w:rsidR="003E102C">
        <w:rPr>
          <w:rFonts w:cs="Arial"/>
          <w:color w:val="000000"/>
          <w:szCs w:val="18"/>
        </w:rPr>
        <w:t>e</w:t>
      </w:r>
      <w:r w:rsidR="00EF771D">
        <w:rPr>
          <w:rFonts w:cs="Arial"/>
          <w:color w:val="000000"/>
          <w:szCs w:val="18"/>
        </w:rPr>
        <w:t xml:space="preserve"> cada empresa</w:t>
      </w:r>
      <w:r>
        <w:rPr>
          <w:rFonts w:cs="Arial"/>
          <w:color w:val="000000"/>
          <w:szCs w:val="18"/>
        </w:rPr>
        <w:t xml:space="preserve"> do grupo</w:t>
      </w:r>
      <w:r w:rsidR="00EF771D">
        <w:rPr>
          <w:rFonts w:cs="Arial"/>
          <w:color w:val="000000"/>
          <w:szCs w:val="18"/>
        </w:rPr>
        <w:t xml:space="preserve"> e, ao mesmo tempo, gerar uma identidade sobre como o tema</w:t>
      </w:r>
      <w:r w:rsidR="00285DC8">
        <w:rPr>
          <w:rFonts w:cs="Arial"/>
          <w:color w:val="000000"/>
          <w:szCs w:val="18"/>
        </w:rPr>
        <w:t xml:space="preserve"> é tratado na Companhia</w:t>
      </w:r>
      <w:r w:rsidR="00EF771D">
        <w:rPr>
          <w:rFonts w:cs="Arial"/>
          <w:color w:val="000000"/>
          <w:szCs w:val="18"/>
        </w:rPr>
        <w:t>. A agenda proposta e que será implementada ao longo dos próximos anos tem foco em ações relacionadas a quatro pilares da diversidade: (i) Gênero; (ii) Etnia/Raça; (iii) Pessoas com Deficiência (PcD); e (iv) LGBTQIA+.</w:t>
      </w:r>
    </w:p>
    <w:p w14:paraId="4AA72AE8" w14:textId="28E5A179" w:rsidR="00EF771D" w:rsidRDefault="00EF771D" w:rsidP="00EF771D">
      <w:pPr>
        <w:tabs>
          <w:tab w:val="left" w:pos="1175"/>
        </w:tabs>
        <w:spacing w:before="120" w:after="120"/>
        <w:jc w:val="both"/>
        <w:rPr>
          <w:rFonts w:cs="Arial"/>
          <w:color w:val="000000"/>
          <w:szCs w:val="18"/>
        </w:rPr>
      </w:pPr>
      <w:r>
        <w:rPr>
          <w:rFonts w:cs="Arial"/>
          <w:color w:val="000000"/>
          <w:szCs w:val="18"/>
        </w:rPr>
        <w:t xml:space="preserve">Importante esclarecer que, na BB Seguridade, não há distinção de remuneração para aqueles que ocupam a mesma função, </w:t>
      </w:r>
      <w:r w:rsidR="00D73FAB">
        <w:rPr>
          <w:rFonts w:cs="Arial"/>
          <w:color w:val="000000"/>
          <w:szCs w:val="18"/>
        </w:rPr>
        <w:t xml:space="preserve">respeitando a equidade </w:t>
      </w:r>
      <w:r>
        <w:rPr>
          <w:rFonts w:cs="Arial"/>
          <w:color w:val="000000"/>
          <w:szCs w:val="18"/>
        </w:rPr>
        <w:t>na definição da política salarial.</w:t>
      </w:r>
    </w:p>
    <w:p w14:paraId="0A25DA0E" w14:textId="0C70756E" w:rsidR="00EF771D" w:rsidRDefault="00EF771D" w:rsidP="00EF771D">
      <w:pPr>
        <w:tabs>
          <w:tab w:val="left" w:pos="1175"/>
        </w:tabs>
        <w:spacing w:before="120" w:after="120"/>
        <w:jc w:val="both"/>
        <w:rPr>
          <w:rFonts w:cs="Arial"/>
          <w:color w:val="000000"/>
          <w:szCs w:val="18"/>
        </w:rPr>
      </w:pPr>
      <w:r>
        <w:rPr>
          <w:rFonts w:cs="Arial"/>
          <w:color w:val="000000"/>
          <w:szCs w:val="18"/>
        </w:rPr>
        <w:t xml:space="preserve">Já no campo da educação corporativa, a Companhia faz uso da plataforma da Universidade Corporativa do BB, onde encontram-se cursos que tratam do tema, como, por exemplo, o Liderança Feminina, que tem como principal objetivo disseminar a importância estratégica da promoção da equidade de gênero na empresa. Em 2021, houve um aumento de 15% para 17% </w:t>
      </w:r>
      <w:r w:rsidR="00285DC8">
        <w:rPr>
          <w:rFonts w:cs="Arial"/>
          <w:color w:val="000000"/>
          <w:szCs w:val="18"/>
        </w:rPr>
        <w:t>n</w:t>
      </w:r>
      <w:r>
        <w:rPr>
          <w:rFonts w:cs="Arial"/>
          <w:color w:val="000000"/>
          <w:szCs w:val="18"/>
        </w:rPr>
        <w:t>o número de mulheres em funções de gestão em comparação com o ano anterior.</w:t>
      </w:r>
    </w:p>
    <w:p w14:paraId="692B0168" w14:textId="4D49484D" w:rsidR="00EF771D" w:rsidRDefault="00EF771D" w:rsidP="00EF771D">
      <w:pPr>
        <w:tabs>
          <w:tab w:val="left" w:pos="1175"/>
        </w:tabs>
        <w:spacing w:before="120" w:after="120"/>
        <w:jc w:val="both"/>
        <w:rPr>
          <w:rFonts w:cs="Arial"/>
          <w:color w:val="000000"/>
          <w:szCs w:val="18"/>
        </w:rPr>
      </w:pPr>
      <w:r>
        <w:rPr>
          <w:rFonts w:cs="Arial"/>
          <w:color w:val="000000"/>
          <w:szCs w:val="18"/>
        </w:rPr>
        <w:t>Em relação à promoção de direitos iguais e tratamento justo para o público LGBTQIA+, cita</w:t>
      </w:r>
      <w:r w:rsidR="005A1528">
        <w:rPr>
          <w:rFonts w:cs="Arial"/>
          <w:color w:val="000000"/>
          <w:szCs w:val="18"/>
        </w:rPr>
        <w:t>m-se</w:t>
      </w:r>
      <w:r>
        <w:rPr>
          <w:rFonts w:cs="Arial"/>
          <w:color w:val="000000"/>
          <w:szCs w:val="18"/>
        </w:rPr>
        <w:t xml:space="preserve"> </w:t>
      </w:r>
      <w:r w:rsidR="005A1528">
        <w:rPr>
          <w:rFonts w:cs="Arial"/>
          <w:color w:val="000000"/>
          <w:szCs w:val="18"/>
        </w:rPr>
        <w:t>as seguintes práticas</w:t>
      </w:r>
      <w:r>
        <w:rPr>
          <w:rFonts w:cs="Arial"/>
          <w:color w:val="000000"/>
          <w:szCs w:val="18"/>
        </w:rPr>
        <w:t xml:space="preserve">: (i) possibilidade do uso do nome social no crachá, cartão de visitas, carimbos e e-mail para pessoa trans e travesti; (ii) uso de banheiro de acordo com a identidade de gênero do funcionário; (iii) simplificação dos procedimentos para inclusão de dependentes por união homoafetiva; e (iv) licença-maternidade para um dos cônjuges de pais de filhos gerados por útero de substituição. </w:t>
      </w:r>
    </w:p>
    <w:p w14:paraId="31E1E712" w14:textId="77777777" w:rsidR="00EF771D" w:rsidRDefault="00EF771D" w:rsidP="00EF771D">
      <w:pPr>
        <w:tabs>
          <w:tab w:val="left" w:pos="1175"/>
        </w:tabs>
        <w:spacing w:before="120" w:after="120"/>
        <w:jc w:val="both"/>
        <w:rPr>
          <w:rFonts w:cs="Arial"/>
          <w:color w:val="000000"/>
          <w:szCs w:val="18"/>
        </w:rPr>
      </w:pPr>
      <w:r>
        <w:rPr>
          <w:rFonts w:cs="Arial"/>
          <w:color w:val="000000"/>
          <w:szCs w:val="18"/>
        </w:rPr>
        <w:t>A inclusão da pessoa com deficiência na BB Seguridade também integra um conjunto de ações que visa promover a igualdade de direitos e de cidadania. Nesse sentido, há promoção da adequação dos ambientes físicos de trabalho e orientação de conduta para a recepção de funcionários com deficiência.</w:t>
      </w:r>
    </w:p>
    <w:p w14:paraId="426A73C8" w14:textId="6E1CCA8E" w:rsidR="00EF771D" w:rsidRDefault="00EF771D" w:rsidP="00EF771D">
      <w:pPr>
        <w:spacing w:before="120" w:after="120"/>
        <w:jc w:val="both"/>
        <w:rPr>
          <w:rFonts w:cs="Arial"/>
          <w:color w:val="000000"/>
          <w:szCs w:val="18"/>
        </w:rPr>
      </w:pPr>
      <w:r>
        <w:rPr>
          <w:rFonts w:cs="Arial"/>
          <w:color w:val="000000"/>
          <w:szCs w:val="18"/>
        </w:rPr>
        <w:t xml:space="preserve">Em linha com todas as ações mencionadas, a BB Seguridade, em suas políticas, práticas e cultura, preza pela manutenção da diversidade de pessoal. </w:t>
      </w:r>
      <w:r w:rsidR="00055252">
        <w:rPr>
          <w:rFonts w:cs="Arial"/>
          <w:color w:val="000000"/>
          <w:szCs w:val="18"/>
        </w:rPr>
        <w:t>A tabela 6</w:t>
      </w:r>
      <w:r>
        <w:rPr>
          <w:rFonts w:cs="Arial"/>
          <w:color w:val="000000"/>
          <w:szCs w:val="18"/>
        </w:rPr>
        <w:t xml:space="preserve"> apresenta, de forma resumida, a composição dos colaboradores da BB Seguridade:</w:t>
      </w:r>
    </w:p>
    <w:p w14:paraId="61939C00" w14:textId="76D493EC" w:rsidR="00812D7E" w:rsidRDefault="00812D7E">
      <w:pPr>
        <w:rPr>
          <w:rFonts w:cs="Arial"/>
          <w:color w:val="000000"/>
          <w:szCs w:val="18"/>
        </w:rPr>
      </w:pPr>
      <w:r>
        <w:rPr>
          <w:rFonts w:cs="Arial"/>
          <w:color w:val="000000"/>
          <w:szCs w:val="18"/>
        </w:rPr>
        <w:br w:type="page"/>
      </w:r>
    </w:p>
    <w:p w14:paraId="543BC277" w14:textId="77777777" w:rsidR="00812D7E" w:rsidRDefault="00812D7E" w:rsidP="00EF771D">
      <w:pPr>
        <w:spacing w:before="120" w:after="120"/>
        <w:jc w:val="both"/>
        <w:rPr>
          <w:rFonts w:cs="Arial"/>
          <w:color w:val="000000"/>
          <w:szCs w:val="18"/>
        </w:rPr>
      </w:pPr>
    </w:p>
    <w:p w14:paraId="5EBA0A48" w14:textId="20317DD4" w:rsidR="00EF771D" w:rsidRDefault="00EF771D" w:rsidP="00055252">
      <w:pPr>
        <w:rPr>
          <w:b/>
          <w:sz w:val="14"/>
        </w:rPr>
      </w:pPr>
      <w:r>
        <w:rPr>
          <w:rFonts w:cs="Arial"/>
          <w:sz w:val="14"/>
          <w:szCs w:val="14"/>
        </w:rPr>
        <w:t xml:space="preserve">Tabela </w:t>
      </w:r>
      <w:r>
        <w:rPr>
          <w:rFonts w:cs="Arial"/>
          <w:b/>
          <w:sz w:val="14"/>
          <w:szCs w:val="14"/>
        </w:rPr>
        <w:fldChar w:fldCharType="begin"/>
      </w:r>
      <w:r>
        <w:rPr>
          <w:rFonts w:cs="Arial"/>
          <w:sz w:val="14"/>
          <w:szCs w:val="14"/>
        </w:rPr>
        <w:instrText xml:space="preserve"> SEQ Tabela \* ARABIC </w:instrText>
      </w:r>
      <w:r>
        <w:rPr>
          <w:rFonts w:cs="Arial"/>
          <w:b/>
          <w:sz w:val="14"/>
          <w:szCs w:val="14"/>
        </w:rPr>
        <w:fldChar w:fldCharType="separate"/>
      </w:r>
      <w:r w:rsidR="00055252">
        <w:rPr>
          <w:rFonts w:cs="Arial"/>
          <w:b/>
          <w:noProof/>
          <w:sz w:val="14"/>
          <w:szCs w:val="14"/>
        </w:rPr>
        <w:t>6</w:t>
      </w:r>
      <w:r>
        <w:rPr>
          <w:rFonts w:cs="Arial"/>
          <w:b/>
          <w:noProof/>
          <w:sz w:val="14"/>
          <w:szCs w:val="14"/>
        </w:rPr>
        <w:fldChar w:fldCharType="end"/>
      </w:r>
      <w:r>
        <w:rPr>
          <w:sz w:val="14"/>
        </w:rPr>
        <w:t xml:space="preserve"> – </w:t>
      </w:r>
      <w:r>
        <w:rPr>
          <w:rFonts w:cs="Arial"/>
          <w:sz w:val="14"/>
        </w:rPr>
        <w:t>Capital Humano - Composição</w:t>
      </w:r>
    </w:p>
    <w:tbl>
      <w:tblPr>
        <w:tblStyle w:val="TabeladeLista6Colorida-nfase5"/>
        <w:tblW w:w="9639" w:type="dxa"/>
        <w:tblLook w:val="04A0" w:firstRow="1" w:lastRow="0" w:firstColumn="1" w:lastColumn="0" w:noHBand="0" w:noVBand="1"/>
      </w:tblPr>
      <w:tblGrid>
        <w:gridCol w:w="4063"/>
        <w:gridCol w:w="1859"/>
        <w:gridCol w:w="1859"/>
        <w:gridCol w:w="1858"/>
      </w:tblGrid>
      <w:tr w:rsidR="00EF771D" w14:paraId="3B592A4C" w14:textId="77777777" w:rsidTr="00EF771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22294EC4" w14:textId="77777777" w:rsidR="00EF771D" w:rsidRDefault="00EF771D">
            <w:pPr>
              <w:pStyle w:val="08-Tabelageral"/>
              <w:jc w:val="left"/>
              <w:rPr>
                <w:rFonts w:cs="Arial"/>
                <w:lang w:eastAsia="en-US"/>
              </w:rPr>
            </w:pP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25BF6A2E" w14:textId="5155A19A" w:rsidR="00EF771D" w:rsidRDefault="00BB042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Informações Anuais</w:t>
            </w:r>
          </w:p>
        </w:tc>
      </w:tr>
      <w:tr w:rsidR="00EF771D" w14:paraId="0896A455"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66B8794D" w14:textId="77777777" w:rsidR="00EF771D" w:rsidRDefault="00EF771D">
            <w:pPr>
              <w:pStyle w:val="08-Tabelageral"/>
              <w:jc w:val="left"/>
              <w:rPr>
                <w:rFonts w:cs="Arial"/>
                <w:bCs w:val="0"/>
                <w:szCs w:val="14"/>
                <w:lang w:eastAsia="en-US"/>
              </w:rPr>
            </w:pPr>
          </w:p>
        </w:tc>
        <w:tc>
          <w:tcPr>
            <w:tcW w:w="1859" w:type="dxa"/>
            <w:tcBorders>
              <w:top w:val="nil"/>
              <w:left w:val="nil"/>
              <w:bottom w:val="single" w:sz="2" w:space="0" w:color="8EAADB" w:themeColor="accent5" w:themeTint="99"/>
              <w:right w:val="nil"/>
            </w:tcBorders>
            <w:vAlign w:val="center"/>
            <w:hideMark/>
          </w:tcPr>
          <w:p w14:paraId="4E127B0E" w14:textId="77777777" w:rsidR="00EF771D" w:rsidRDefault="00EF771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c>
          <w:tcPr>
            <w:tcW w:w="1859" w:type="dxa"/>
            <w:tcBorders>
              <w:top w:val="nil"/>
              <w:left w:val="nil"/>
              <w:bottom w:val="single" w:sz="2" w:space="0" w:color="8EAADB" w:themeColor="accent5" w:themeTint="99"/>
              <w:right w:val="nil"/>
            </w:tcBorders>
            <w:vAlign w:val="center"/>
            <w:hideMark/>
          </w:tcPr>
          <w:p w14:paraId="36079A22" w14:textId="77777777" w:rsidR="00EF771D" w:rsidRDefault="00EF771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2020</w:t>
            </w:r>
          </w:p>
        </w:tc>
        <w:tc>
          <w:tcPr>
            <w:tcW w:w="1858" w:type="dxa"/>
            <w:tcBorders>
              <w:top w:val="nil"/>
              <w:left w:val="nil"/>
              <w:bottom w:val="single" w:sz="2" w:space="0" w:color="8EAADB" w:themeColor="accent5" w:themeTint="99"/>
              <w:right w:val="nil"/>
            </w:tcBorders>
            <w:vAlign w:val="center"/>
            <w:hideMark/>
          </w:tcPr>
          <w:p w14:paraId="5CB0E038"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2019</w:t>
            </w:r>
          </w:p>
        </w:tc>
      </w:tr>
      <w:tr w:rsidR="00EF771D" w14:paraId="10AA58D9" w14:textId="77777777" w:rsidTr="00EF771D">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hideMark/>
          </w:tcPr>
          <w:p w14:paraId="162AF825" w14:textId="77777777" w:rsidR="00EF771D" w:rsidRDefault="00EF771D">
            <w:pPr>
              <w:pStyle w:val="08-Tabelageral"/>
              <w:jc w:val="left"/>
              <w:rPr>
                <w:rFonts w:cs="Arial"/>
                <w:snapToGrid w:val="0"/>
                <w:color w:val="000000"/>
                <w:lang w:eastAsia="en-US"/>
              </w:rPr>
            </w:pPr>
            <w:r>
              <w:rPr>
                <w:color w:val="000000"/>
                <w:lang w:eastAsia="en-US"/>
              </w:rPr>
              <w:t>Quantidade de colaboradores</w:t>
            </w:r>
          </w:p>
        </w:tc>
        <w:tc>
          <w:tcPr>
            <w:tcW w:w="1859" w:type="dxa"/>
            <w:tcBorders>
              <w:top w:val="single" w:sz="2" w:space="0" w:color="8EAADB" w:themeColor="accent5" w:themeTint="99"/>
              <w:left w:val="nil"/>
              <w:bottom w:val="nil"/>
              <w:right w:val="nil"/>
            </w:tcBorders>
            <w:vAlign w:val="center"/>
          </w:tcPr>
          <w:p w14:paraId="097E5DD0" w14:textId="77777777" w:rsidR="00EF771D" w:rsidRDefault="00EF771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c>
          <w:tcPr>
            <w:tcW w:w="1859" w:type="dxa"/>
            <w:tcBorders>
              <w:top w:val="single" w:sz="2" w:space="0" w:color="8EAADB" w:themeColor="accent5" w:themeTint="99"/>
              <w:left w:val="nil"/>
              <w:bottom w:val="nil"/>
              <w:right w:val="nil"/>
            </w:tcBorders>
            <w:vAlign w:val="center"/>
          </w:tcPr>
          <w:p w14:paraId="4FE1BB25" w14:textId="77777777" w:rsidR="00EF771D" w:rsidRDefault="00EF771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8" w:type="dxa"/>
            <w:tcBorders>
              <w:top w:val="single" w:sz="2" w:space="0" w:color="8EAADB" w:themeColor="accent5" w:themeTint="99"/>
              <w:left w:val="nil"/>
              <w:bottom w:val="nil"/>
              <w:right w:val="nil"/>
            </w:tcBorders>
            <w:vAlign w:val="center"/>
          </w:tcPr>
          <w:p w14:paraId="21D55854" w14:textId="77777777" w:rsidR="00EF771D" w:rsidRDefault="00EF771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r>
      <w:tr w:rsidR="00EF771D" w14:paraId="4A781F66"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21F3780" w14:textId="444816C9" w:rsidR="00EF771D" w:rsidRDefault="00EF771D">
            <w:pPr>
              <w:pStyle w:val="08-Tabelageral"/>
              <w:ind w:left="113"/>
              <w:jc w:val="left"/>
              <w:rPr>
                <w:rFonts w:cs="Arial"/>
                <w:b w:val="0"/>
                <w:snapToGrid w:val="0"/>
                <w:color w:val="000000"/>
                <w:lang w:eastAsia="en-US"/>
              </w:rPr>
            </w:pPr>
            <w:r>
              <w:rPr>
                <w:b w:val="0"/>
                <w:color w:val="000000"/>
                <w:lang w:eastAsia="en-US"/>
              </w:rPr>
              <w:t>Funcionários</w:t>
            </w:r>
            <w:r w:rsidR="00070DC9">
              <w:rPr>
                <w:b w:val="0"/>
                <w:color w:val="000000"/>
                <w:lang w:eastAsia="en-US"/>
              </w:rPr>
              <w:t>¹</w:t>
            </w:r>
          </w:p>
        </w:tc>
        <w:tc>
          <w:tcPr>
            <w:tcW w:w="1859" w:type="dxa"/>
            <w:tcBorders>
              <w:top w:val="nil"/>
              <w:left w:val="nil"/>
              <w:bottom w:val="nil"/>
              <w:right w:val="nil"/>
            </w:tcBorders>
            <w:vAlign w:val="center"/>
            <w:hideMark/>
          </w:tcPr>
          <w:p w14:paraId="32A10BF5"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154</w:t>
            </w:r>
          </w:p>
        </w:tc>
        <w:tc>
          <w:tcPr>
            <w:tcW w:w="1859" w:type="dxa"/>
            <w:tcBorders>
              <w:top w:val="nil"/>
              <w:left w:val="nil"/>
              <w:bottom w:val="nil"/>
              <w:right w:val="nil"/>
            </w:tcBorders>
            <w:vAlign w:val="center"/>
            <w:hideMark/>
          </w:tcPr>
          <w:p w14:paraId="6754838D"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154</w:t>
            </w:r>
          </w:p>
        </w:tc>
        <w:tc>
          <w:tcPr>
            <w:tcW w:w="1858" w:type="dxa"/>
            <w:tcBorders>
              <w:top w:val="nil"/>
              <w:left w:val="nil"/>
              <w:bottom w:val="nil"/>
              <w:right w:val="nil"/>
            </w:tcBorders>
            <w:hideMark/>
          </w:tcPr>
          <w:p w14:paraId="3047B85A"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161</w:t>
            </w:r>
          </w:p>
        </w:tc>
      </w:tr>
      <w:tr w:rsidR="00EF771D" w14:paraId="487F44A0"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D596990" w14:textId="77777777" w:rsidR="00EF771D" w:rsidRDefault="00EF771D">
            <w:pPr>
              <w:pStyle w:val="08-Tabelageral"/>
              <w:ind w:left="113"/>
              <w:jc w:val="left"/>
              <w:rPr>
                <w:rFonts w:cs="Arial"/>
                <w:b w:val="0"/>
                <w:snapToGrid w:val="0"/>
                <w:color w:val="000000"/>
                <w:lang w:eastAsia="en-US"/>
              </w:rPr>
            </w:pPr>
            <w:r>
              <w:rPr>
                <w:b w:val="0"/>
                <w:color w:val="000000"/>
                <w:lang w:eastAsia="en-US"/>
              </w:rPr>
              <w:t>Contratados</w:t>
            </w:r>
          </w:p>
        </w:tc>
        <w:tc>
          <w:tcPr>
            <w:tcW w:w="1859" w:type="dxa"/>
            <w:tcBorders>
              <w:top w:val="nil"/>
              <w:left w:val="nil"/>
              <w:bottom w:val="nil"/>
              <w:right w:val="nil"/>
            </w:tcBorders>
            <w:vAlign w:val="center"/>
            <w:hideMark/>
          </w:tcPr>
          <w:p w14:paraId="6A33AD86"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lang w:eastAsia="en-US"/>
              </w:rPr>
              <w:t>21</w:t>
            </w:r>
          </w:p>
        </w:tc>
        <w:tc>
          <w:tcPr>
            <w:tcW w:w="1859" w:type="dxa"/>
            <w:tcBorders>
              <w:top w:val="nil"/>
              <w:left w:val="nil"/>
              <w:bottom w:val="nil"/>
              <w:right w:val="nil"/>
            </w:tcBorders>
            <w:vAlign w:val="center"/>
            <w:hideMark/>
          </w:tcPr>
          <w:p w14:paraId="5B94E364"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eastAsia="en-US"/>
              </w:rPr>
              <w:t>20</w:t>
            </w:r>
          </w:p>
        </w:tc>
        <w:tc>
          <w:tcPr>
            <w:tcW w:w="1858" w:type="dxa"/>
            <w:tcBorders>
              <w:top w:val="nil"/>
              <w:left w:val="nil"/>
              <w:bottom w:val="nil"/>
              <w:right w:val="nil"/>
            </w:tcBorders>
            <w:hideMark/>
          </w:tcPr>
          <w:p w14:paraId="79E45AE0"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31</w:t>
            </w:r>
          </w:p>
        </w:tc>
      </w:tr>
      <w:tr w:rsidR="00EF771D" w14:paraId="6F9EB53A"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57894B3" w14:textId="77777777" w:rsidR="00EF771D" w:rsidRDefault="00EF771D">
            <w:pPr>
              <w:pStyle w:val="08-Tabelageral"/>
              <w:ind w:left="113"/>
              <w:jc w:val="left"/>
              <w:rPr>
                <w:rFonts w:cs="Arial"/>
                <w:b w:val="0"/>
                <w:snapToGrid w:val="0"/>
                <w:color w:val="000000"/>
                <w:lang w:eastAsia="en-US"/>
              </w:rPr>
            </w:pPr>
            <w:r>
              <w:rPr>
                <w:b w:val="0"/>
                <w:color w:val="000000"/>
                <w:lang w:eastAsia="en-US"/>
              </w:rPr>
              <w:t>Estagiários</w:t>
            </w:r>
          </w:p>
        </w:tc>
        <w:tc>
          <w:tcPr>
            <w:tcW w:w="1859" w:type="dxa"/>
            <w:tcBorders>
              <w:top w:val="nil"/>
              <w:left w:val="nil"/>
              <w:bottom w:val="nil"/>
              <w:right w:val="nil"/>
            </w:tcBorders>
            <w:vAlign w:val="center"/>
            <w:hideMark/>
          </w:tcPr>
          <w:p w14:paraId="0DED8A6C"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3</w:t>
            </w:r>
          </w:p>
        </w:tc>
        <w:tc>
          <w:tcPr>
            <w:tcW w:w="1859" w:type="dxa"/>
            <w:tcBorders>
              <w:top w:val="nil"/>
              <w:left w:val="nil"/>
              <w:bottom w:val="nil"/>
              <w:right w:val="nil"/>
            </w:tcBorders>
            <w:vAlign w:val="center"/>
            <w:hideMark/>
          </w:tcPr>
          <w:p w14:paraId="6CE3FA38"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9</w:t>
            </w:r>
          </w:p>
        </w:tc>
        <w:tc>
          <w:tcPr>
            <w:tcW w:w="1858" w:type="dxa"/>
            <w:tcBorders>
              <w:top w:val="nil"/>
              <w:left w:val="nil"/>
              <w:bottom w:val="nil"/>
              <w:right w:val="nil"/>
            </w:tcBorders>
            <w:hideMark/>
          </w:tcPr>
          <w:p w14:paraId="01031DE6"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15</w:t>
            </w:r>
          </w:p>
        </w:tc>
      </w:tr>
      <w:tr w:rsidR="00EF771D" w14:paraId="273B0525"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369B6683" w14:textId="77777777" w:rsidR="00EF771D" w:rsidRDefault="00EF771D">
            <w:pPr>
              <w:pStyle w:val="08-Tabelageral"/>
              <w:ind w:left="113"/>
              <w:jc w:val="left"/>
              <w:rPr>
                <w:rFonts w:cs="Arial"/>
                <w:b w:val="0"/>
                <w:snapToGrid w:val="0"/>
                <w:color w:val="000000"/>
                <w:lang w:eastAsia="en-US"/>
              </w:rPr>
            </w:pPr>
            <w:r>
              <w:rPr>
                <w:b w:val="0"/>
                <w:color w:val="000000"/>
                <w:lang w:eastAsia="en-US"/>
              </w:rPr>
              <w:t>Conselheiros</w:t>
            </w:r>
          </w:p>
        </w:tc>
        <w:tc>
          <w:tcPr>
            <w:tcW w:w="1859" w:type="dxa"/>
            <w:tcBorders>
              <w:top w:val="nil"/>
              <w:left w:val="nil"/>
              <w:bottom w:val="nil"/>
              <w:right w:val="nil"/>
            </w:tcBorders>
            <w:vAlign w:val="center"/>
            <w:hideMark/>
          </w:tcPr>
          <w:p w14:paraId="02B878F3"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10</w:t>
            </w:r>
          </w:p>
        </w:tc>
        <w:tc>
          <w:tcPr>
            <w:tcW w:w="1859" w:type="dxa"/>
            <w:tcBorders>
              <w:top w:val="nil"/>
              <w:left w:val="nil"/>
              <w:bottom w:val="nil"/>
              <w:right w:val="nil"/>
            </w:tcBorders>
            <w:vAlign w:val="center"/>
            <w:hideMark/>
          </w:tcPr>
          <w:p w14:paraId="7A04AF15"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10</w:t>
            </w:r>
          </w:p>
        </w:tc>
        <w:tc>
          <w:tcPr>
            <w:tcW w:w="1858" w:type="dxa"/>
            <w:tcBorders>
              <w:top w:val="nil"/>
              <w:left w:val="nil"/>
              <w:bottom w:val="nil"/>
              <w:right w:val="nil"/>
            </w:tcBorders>
            <w:hideMark/>
          </w:tcPr>
          <w:p w14:paraId="20BDAA4D"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14</w:t>
            </w:r>
          </w:p>
        </w:tc>
      </w:tr>
      <w:tr w:rsidR="00EF771D" w14:paraId="5418C35C"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E41269F" w14:textId="77777777" w:rsidR="00EF771D" w:rsidRDefault="00EF771D">
            <w:pPr>
              <w:pStyle w:val="08-Tabelageral"/>
              <w:jc w:val="left"/>
              <w:rPr>
                <w:rFonts w:cs="Arial"/>
                <w:snapToGrid w:val="0"/>
                <w:color w:val="000000"/>
                <w:vertAlign w:val="superscript"/>
                <w:lang w:eastAsia="en-US"/>
              </w:rPr>
            </w:pPr>
            <w:r>
              <w:rPr>
                <w:color w:val="000000"/>
                <w:lang w:eastAsia="en-US"/>
              </w:rPr>
              <w:t xml:space="preserve">TOTAL </w:t>
            </w:r>
          </w:p>
        </w:tc>
        <w:tc>
          <w:tcPr>
            <w:tcW w:w="1859" w:type="dxa"/>
            <w:tcBorders>
              <w:top w:val="nil"/>
              <w:left w:val="nil"/>
              <w:bottom w:val="nil"/>
              <w:right w:val="nil"/>
            </w:tcBorders>
            <w:vAlign w:val="center"/>
            <w:hideMark/>
          </w:tcPr>
          <w:p w14:paraId="447374DB"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Pr>
                <w:b/>
                <w:color w:val="auto"/>
                <w:lang w:eastAsia="en-US"/>
              </w:rPr>
              <w:t>188</w:t>
            </w:r>
          </w:p>
        </w:tc>
        <w:tc>
          <w:tcPr>
            <w:tcW w:w="1859" w:type="dxa"/>
            <w:tcBorders>
              <w:top w:val="nil"/>
              <w:left w:val="nil"/>
              <w:bottom w:val="nil"/>
              <w:right w:val="nil"/>
            </w:tcBorders>
            <w:vAlign w:val="center"/>
            <w:hideMark/>
          </w:tcPr>
          <w:p w14:paraId="1C56E042"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b/>
                <w:color w:val="auto"/>
                <w:lang w:eastAsia="en-US"/>
              </w:rPr>
              <w:t>193</w:t>
            </w:r>
          </w:p>
        </w:tc>
        <w:tc>
          <w:tcPr>
            <w:tcW w:w="1858" w:type="dxa"/>
            <w:tcBorders>
              <w:top w:val="nil"/>
              <w:left w:val="nil"/>
              <w:bottom w:val="nil"/>
              <w:right w:val="nil"/>
            </w:tcBorders>
            <w:hideMark/>
          </w:tcPr>
          <w:p w14:paraId="4BE610A1" w14:textId="77777777" w:rsidR="00EF771D" w:rsidRPr="00436660"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sidRPr="00055252">
              <w:rPr>
                <w:b/>
                <w:bCs/>
                <w:lang w:eastAsia="en-US"/>
              </w:rPr>
              <w:t>221</w:t>
            </w:r>
          </w:p>
        </w:tc>
      </w:tr>
      <w:tr w:rsidR="00EF771D" w14:paraId="78D6A678"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50B7637" w14:textId="77777777" w:rsidR="00EF771D" w:rsidRDefault="00EF771D">
            <w:pPr>
              <w:pStyle w:val="08-Tabelageral"/>
              <w:jc w:val="left"/>
              <w:rPr>
                <w:rFonts w:cs="Arial"/>
                <w:snapToGrid w:val="0"/>
                <w:color w:val="000000"/>
                <w:lang w:eastAsia="en-US"/>
              </w:rPr>
            </w:pPr>
            <w:r>
              <w:rPr>
                <w:color w:val="000000"/>
                <w:lang w:eastAsia="en-US"/>
              </w:rPr>
              <w:t>Sexo</w:t>
            </w:r>
          </w:p>
        </w:tc>
        <w:tc>
          <w:tcPr>
            <w:tcW w:w="1859" w:type="dxa"/>
            <w:tcBorders>
              <w:top w:val="nil"/>
              <w:left w:val="nil"/>
              <w:bottom w:val="nil"/>
              <w:right w:val="nil"/>
            </w:tcBorders>
            <w:vAlign w:val="center"/>
          </w:tcPr>
          <w:p w14:paraId="33C2F4FF"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p>
        </w:tc>
        <w:tc>
          <w:tcPr>
            <w:tcW w:w="1859" w:type="dxa"/>
            <w:tcBorders>
              <w:top w:val="nil"/>
              <w:left w:val="nil"/>
              <w:bottom w:val="nil"/>
              <w:right w:val="nil"/>
            </w:tcBorders>
            <w:vAlign w:val="center"/>
          </w:tcPr>
          <w:p w14:paraId="593DAC62"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1858" w:type="dxa"/>
            <w:tcBorders>
              <w:top w:val="nil"/>
              <w:left w:val="nil"/>
              <w:bottom w:val="nil"/>
              <w:right w:val="nil"/>
            </w:tcBorders>
          </w:tcPr>
          <w:p w14:paraId="2E0B0BF6"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EF771D" w14:paraId="5314ADB8" w14:textId="77777777" w:rsidTr="00EF771D">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DBD3C15" w14:textId="77777777" w:rsidR="00EF771D" w:rsidRDefault="00EF771D">
            <w:pPr>
              <w:pStyle w:val="08-Tabelageral"/>
              <w:ind w:left="113"/>
              <w:jc w:val="left"/>
              <w:rPr>
                <w:rFonts w:cs="Arial"/>
                <w:b w:val="0"/>
                <w:snapToGrid w:val="0"/>
                <w:color w:val="000000"/>
                <w:lang w:eastAsia="en-US"/>
              </w:rPr>
            </w:pPr>
            <w:r>
              <w:rPr>
                <w:b w:val="0"/>
                <w:color w:val="000000"/>
                <w:lang w:eastAsia="en-US"/>
              </w:rPr>
              <w:t>Feminino</w:t>
            </w:r>
          </w:p>
        </w:tc>
        <w:tc>
          <w:tcPr>
            <w:tcW w:w="1859" w:type="dxa"/>
            <w:tcBorders>
              <w:top w:val="nil"/>
              <w:left w:val="nil"/>
              <w:bottom w:val="nil"/>
              <w:right w:val="nil"/>
            </w:tcBorders>
            <w:vAlign w:val="center"/>
            <w:hideMark/>
          </w:tcPr>
          <w:p w14:paraId="3FB6E073"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33%</w:t>
            </w:r>
          </w:p>
        </w:tc>
        <w:tc>
          <w:tcPr>
            <w:tcW w:w="1859" w:type="dxa"/>
            <w:tcBorders>
              <w:top w:val="nil"/>
              <w:left w:val="nil"/>
              <w:bottom w:val="nil"/>
              <w:right w:val="nil"/>
            </w:tcBorders>
            <w:vAlign w:val="center"/>
            <w:hideMark/>
          </w:tcPr>
          <w:p w14:paraId="65CD680D"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34%</w:t>
            </w:r>
          </w:p>
        </w:tc>
        <w:tc>
          <w:tcPr>
            <w:tcW w:w="1858" w:type="dxa"/>
            <w:tcBorders>
              <w:top w:val="nil"/>
              <w:left w:val="nil"/>
              <w:bottom w:val="nil"/>
              <w:right w:val="nil"/>
            </w:tcBorders>
            <w:hideMark/>
          </w:tcPr>
          <w:p w14:paraId="141DB77B"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34%</w:t>
            </w:r>
          </w:p>
        </w:tc>
      </w:tr>
      <w:tr w:rsidR="00EF771D" w14:paraId="26015249"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B5942FC" w14:textId="77777777" w:rsidR="00EF771D" w:rsidRDefault="00EF771D">
            <w:pPr>
              <w:pStyle w:val="08-Tabelageral"/>
              <w:ind w:left="113"/>
              <w:jc w:val="left"/>
              <w:rPr>
                <w:rFonts w:cs="Arial"/>
                <w:b w:val="0"/>
                <w:snapToGrid w:val="0"/>
                <w:color w:val="000000"/>
                <w:lang w:eastAsia="en-US"/>
              </w:rPr>
            </w:pPr>
            <w:r>
              <w:rPr>
                <w:b w:val="0"/>
                <w:color w:val="000000"/>
                <w:lang w:eastAsia="en-US"/>
              </w:rPr>
              <w:t>Masculino</w:t>
            </w:r>
          </w:p>
        </w:tc>
        <w:tc>
          <w:tcPr>
            <w:tcW w:w="1859" w:type="dxa"/>
            <w:tcBorders>
              <w:top w:val="nil"/>
              <w:left w:val="nil"/>
              <w:bottom w:val="nil"/>
              <w:right w:val="nil"/>
            </w:tcBorders>
            <w:vAlign w:val="center"/>
            <w:hideMark/>
          </w:tcPr>
          <w:p w14:paraId="0A6BA0E8"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67%</w:t>
            </w:r>
          </w:p>
        </w:tc>
        <w:tc>
          <w:tcPr>
            <w:tcW w:w="1859" w:type="dxa"/>
            <w:tcBorders>
              <w:top w:val="nil"/>
              <w:left w:val="nil"/>
              <w:bottom w:val="nil"/>
              <w:right w:val="nil"/>
            </w:tcBorders>
            <w:vAlign w:val="center"/>
            <w:hideMark/>
          </w:tcPr>
          <w:p w14:paraId="5E089236"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66%</w:t>
            </w:r>
          </w:p>
        </w:tc>
        <w:tc>
          <w:tcPr>
            <w:tcW w:w="1858" w:type="dxa"/>
            <w:tcBorders>
              <w:top w:val="nil"/>
              <w:left w:val="nil"/>
              <w:bottom w:val="nil"/>
              <w:right w:val="nil"/>
            </w:tcBorders>
            <w:hideMark/>
          </w:tcPr>
          <w:p w14:paraId="09DE08B9"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66%</w:t>
            </w:r>
          </w:p>
        </w:tc>
      </w:tr>
      <w:tr w:rsidR="00EF771D" w14:paraId="77F18202"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BBE9363" w14:textId="77777777" w:rsidR="00EF771D" w:rsidRDefault="00EF771D">
            <w:pPr>
              <w:pStyle w:val="08-Tabelageral"/>
              <w:jc w:val="left"/>
              <w:rPr>
                <w:rFonts w:cs="Arial"/>
                <w:snapToGrid w:val="0"/>
                <w:color w:val="000000"/>
                <w:lang w:eastAsia="en-US"/>
              </w:rPr>
            </w:pPr>
            <w:r>
              <w:rPr>
                <w:color w:val="000000"/>
                <w:lang w:eastAsia="en-US"/>
              </w:rPr>
              <w:t>Grau de instrução dos colaboradores</w:t>
            </w:r>
          </w:p>
        </w:tc>
        <w:tc>
          <w:tcPr>
            <w:tcW w:w="1859" w:type="dxa"/>
            <w:tcBorders>
              <w:top w:val="nil"/>
              <w:left w:val="nil"/>
              <w:bottom w:val="nil"/>
              <w:right w:val="nil"/>
            </w:tcBorders>
            <w:vAlign w:val="center"/>
          </w:tcPr>
          <w:p w14:paraId="792900C6"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1859" w:type="dxa"/>
            <w:tcBorders>
              <w:top w:val="nil"/>
              <w:left w:val="nil"/>
              <w:bottom w:val="nil"/>
              <w:right w:val="nil"/>
            </w:tcBorders>
            <w:vAlign w:val="center"/>
          </w:tcPr>
          <w:p w14:paraId="350F9488"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tcPr>
          <w:p w14:paraId="31C1EEC3"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EF771D" w14:paraId="345A539F"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7157866" w14:textId="77777777" w:rsidR="00EF771D" w:rsidRDefault="00EF771D">
            <w:pPr>
              <w:pStyle w:val="08-Tabelageral"/>
              <w:ind w:left="113"/>
              <w:jc w:val="left"/>
              <w:rPr>
                <w:rFonts w:cs="Arial"/>
                <w:b w:val="0"/>
                <w:snapToGrid w:val="0"/>
                <w:color w:val="000000"/>
                <w:lang w:eastAsia="en-US"/>
              </w:rPr>
            </w:pPr>
            <w:r>
              <w:rPr>
                <w:b w:val="0"/>
                <w:color w:val="000000"/>
                <w:lang w:eastAsia="en-US"/>
              </w:rPr>
              <w:t>Pós-graduação</w:t>
            </w:r>
          </w:p>
        </w:tc>
        <w:tc>
          <w:tcPr>
            <w:tcW w:w="1859" w:type="dxa"/>
            <w:tcBorders>
              <w:top w:val="nil"/>
              <w:left w:val="nil"/>
              <w:bottom w:val="nil"/>
              <w:right w:val="nil"/>
            </w:tcBorders>
            <w:vAlign w:val="center"/>
            <w:hideMark/>
          </w:tcPr>
          <w:p w14:paraId="5DB8834C"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82%</w:t>
            </w:r>
          </w:p>
        </w:tc>
        <w:tc>
          <w:tcPr>
            <w:tcW w:w="1859" w:type="dxa"/>
            <w:tcBorders>
              <w:top w:val="nil"/>
              <w:left w:val="nil"/>
              <w:bottom w:val="nil"/>
              <w:right w:val="nil"/>
            </w:tcBorders>
            <w:vAlign w:val="center"/>
            <w:hideMark/>
          </w:tcPr>
          <w:p w14:paraId="0A91D4D4"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80%</w:t>
            </w:r>
          </w:p>
        </w:tc>
        <w:tc>
          <w:tcPr>
            <w:tcW w:w="1858" w:type="dxa"/>
            <w:tcBorders>
              <w:top w:val="nil"/>
              <w:left w:val="nil"/>
              <w:bottom w:val="nil"/>
              <w:right w:val="nil"/>
            </w:tcBorders>
            <w:hideMark/>
          </w:tcPr>
          <w:p w14:paraId="179E70CE"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67%</w:t>
            </w:r>
          </w:p>
        </w:tc>
      </w:tr>
      <w:tr w:rsidR="00EF771D" w14:paraId="54447874" w14:textId="77777777" w:rsidTr="00EF771D">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846CADD" w14:textId="77777777" w:rsidR="00EF771D" w:rsidRDefault="00EF771D">
            <w:pPr>
              <w:pStyle w:val="08-Tabelageral"/>
              <w:ind w:left="113"/>
              <w:jc w:val="left"/>
              <w:rPr>
                <w:rFonts w:cs="Arial"/>
                <w:b w:val="0"/>
                <w:snapToGrid w:val="0"/>
                <w:color w:val="000000"/>
                <w:lang w:eastAsia="en-US"/>
              </w:rPr>
            </w:pPr>
            <w:r>
              <w:rPr>
                <w:b w:val="0"/>
                <w:color w:val="000000"/>
                <w:lang w:eastAsia="en-US"/>
              </w:rPr>
              <w:t>Graduação</w:t>
            </w:r>
          </w:p>
        </w:tc>
        <w:tc>
          <w:tcPr>
            <w:tcW w:w="1859" w:type="dxa"/>
            <w:tcBorders>
              <w:top w:val="nil"/>
              <w:left w:val="nil"/>
              <w:bottom w:val="nil"/>
              <w:right w:val="nil"/>
            </w:tcBorders>
            <w:vAlign w:val="center"/>
            <w:hideMark/>
          </w:tcPr>
          <w:p w14:paraId="1EE13A6F"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15%</w:t>
            </w:r>
          </w:p>
        </w:tc>
        <w:tc>
          <w:tcPr>
            <w:tcW w:w="1859" w:type="dxa"/>
            <w:tcBorders>
              <w:top w:val="nil"/>
              <w:left w:val="nil"/>
              <w:bottom w:val="nil"/>
              <w:right w:val="nil"/>
            </w:tcBorders>
            <w:vAlign w:val="center"/>
            <w:hideMark/>
          </w:tcPr>
          <w:p w14:paraId="418B6600"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13%</w:t>
            </w:r>
          </w:p>
        </w:tc>
        <w:tc>
          <w:tcPr>
            <w:tcW w:w="1858" w:type="dxa"/>
            <w:tcBorders>
              <w:top w:val="nil"/>
              <w:left w:val="nil"/>
              <w:bottom w:val="nil"/>
              <w:right w:val="nil"/>
            </w:tcBorders>
            <w:hideMark/>
          </w:tcPr>
          <w:p w14:paraId="1BD4F840"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29%</w:t>
            </w:r>
          </w:p>
        </w:tc>
      </w:tr>
      <w:tr w:rsidR="00EF771D" w14:paraId="716FBE11" w14:textId="77777777" w:rsidTr="00EF771D">
        <w:trPr>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61CDE5BC" w14:textId="77777777" w:rsidR="00EF771D" w:rsidRDefault="00EF771D">
            <w:pPr>
              <w:pStyle w:val="08-Tabelageral"/>
              <w:ind w:left="113"/>
              <w:jc w:val="left"/>
              <w:rPr>
                <w:rFonts w:cs="Arial"/>
                <w:b w:val="0"/>
                <w:snapToGrid w:val="0"/>
                <w:color w:val="000000"/>
                <w:vertAlign w:val="superscript"/>
                <w:lang w:eastAsia="en-US"/>
              </w:rPr>
            </w:pPr>
            <w:r>
              <w:rPr>
                <w:b w:val="0"/>
                <w:color w:val="000000"/>
                <w:lang w:eastAsia="en-US"/>
              </w:rPr>
              <w:t>Ensino médio</w:t>
            </w:r>
          </w:p>
        </w:tc>
        <w:tc>
          <w:tcPr>
            <w:tcW w:w="1859" w:type="dxa"/>
            <w:tcBorders>
              <w:top w:val="nil"/>
              <w:left w:val="nil"/>
              <w:bottom w:val="nil"/>
              <w:right w:val="nil"/>
            </w:tcBorders>
            <w:vAlign w:val="center"/>
            <w:hideMark/>
          </w:tcPr>
          <w:p w14:paraId="32F35735"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2%</w:t>
            </w:r>
          </w:p>
        </w:tc>
        <w:tc>
          <w:tcPr>
            <w:tcW w:w="1859" w:type="dxa"/>
            <w:tcBorders>
              <w:top w:val="nil"/>
              <w:left w:val="nil"/>
              <w:bottom w:val="nil"/>
              <w:right w:val="nil"/>
            </w:tcBorders>
            <w:vAlign w:val="center"/>
            <w:hideMark/>
          </w:tcPr>
          <w:p w14:paraId="3C655409"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5%</w:t>
            </w:r>
          </w:p>
        </w:tc>
        <w:tc>
          <w:tcPr>
            <w:tcW w:w="1858" w:type="dxa"/>
            <w:tcBorders>
              <w:top w:val="nil"/>
              <w:left w:val="nil"/>
              <w:bottom w:val="nil"/>
              <w:right w:val="nil"/>
            </w:tcBorders>
            <w:hideMark/>
          </w:tcPr>
          <w:p w14:paraId="1655B790"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3%</w:t>
            </w:r>
          </w:p>
        </w:tc>
      </w:tr>
      <w:tr w:rsidR="00EF771D" w14:paraId="564D7B1C"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66DB7933" w14:textId="77777777" w:rsidR="00EF771D" w:rsidRDefault="00EF771D">
            <w:pPr>
              <w:pStyle w:val="08-Tabelageral"/>
              <w:ind w:left="113"/>
              <w:jc w:val="left"/>
              <w:rPr>
                <w:rFonts w:cs="Arial"/>
                <w:b w:val="0"/>
                <w:snapToGrid w:val="0"/>
                <w:color w:val="000000"/>
                <w:lang w:eastAsia="en-US"/>
              </w:rPr>
            </w:pPr>
            <w:r>
              <w:rPr>
                <w:b w:val="0"/>
                <w:color w:val="000000"/>
                <w:lang w:eastAsia="en-US"/>
              </w:rPr>
              <w:t>Outros</w:t>
            </w:r>
          </w:p>
        </w:tc>
        <w:tc>
          <w:tcPr>
            <w:tcW w:w="1859" w:type="dxa"/>
            <w:tcBorders>
              <w:top w:val="nil"/>
              <w:left w:val="nil"/>
              <w:bottom w:val="nil"/>
              <w:right w:val="nil"/>
            </w:tcBorders>
            <w:vAlign w:val="center"/>
            <w:hideMark/>
          </w:tcPr>
          <w:p w14:paraId="0CC59071"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Pr>
                <w:color w:val="auto"/>
                <w:lang w:eastAsia="en-US"/>
              </w:rPr>
              <w:t>1%</w:t>
            </w:r>
          </w:p>
        </w:tc>
        <w:tc>
          <w:tcPr>
            <w:tcW w:w="1859" w:type="dxa"/>
            <w:tcBorders>
              <w:top w:val="nil"/>
              <w:left w:val="nil"/>
              <w:bottom w:val="nil"/>
              <w:right w:val="nil"/>
            </w:tcBorders>
            <w:vAlign w:val="center"/>
            <w:hideMark/>
          </w:tcPr>
          <w:p w14:paraId="1242FCA5"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color w:val="auto"/>
                <w:lang w:eastAsia="en-US"/>
              </w:rPr>
              <w:t>2%</w:t>
            </w:r>
          </w:p>
        </w:tc>
        <w:tc>
          <w:tcPr>
            <w:tcW w:w="1858" w:type="dxa"/>
            <w:tcBorders>
              <w:top w:val="nil"/>
              <w:left w:val="nil"/>
              <w:bottom w:val="nil"/>
              <w:right w:val="nil"/>
            </w:tcBorders>
            <w:hideMark/>
          </w:tcPr>
          <w:p w14:paraId="2EE30542"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0%</w:t>
            </w:r>
          </w:p>
        </w:tc>
      </w:tr>
      <w:tr w:rsidR="00EF771D" w14:paraId="5696BFE1"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578BB9B" w14:textId="77777777" w:rsidR="00EF771D" w:rsidRDefault="00EF771D">
            <w:pPr>
              <w:pStyle w:val="08-Tabelageral"/>
              <w:jc w:val="left"/>
              <w:rPr>
                <w:rFonts w:cs="Arial"/>
                <w:snapToGrid w:val="0"/>
                <w:color w:val="000000"/>
                <w:lang w:eastAsia="en-US"/>
              </w:rPr>
            </w:pPr>
            <w:r>
              <w:rPr>
                <w:color w:val="000000"/>
                <w:lang w:eastAsia="en-US"/>
              </w:rPr>
              <w:t>Faixa de Idade</w:t>
            </w:r>
          </w:p>
        </w:tc>
        <w:tc>
          <w:tcPr>
            <w:tcW w:w="1859" w:type="dxa"/>
            <w:tcBorders>
              <w:top w:val="nil"/>
              <w:left w:val="nil"/>
              <w:bottom w:val="nil"/>
              <w:right w:val="nil"/>
            </w:tcBorders>
            <w:vAlign w:val="center"/>
          </w:tcPr>
          <w:p w14:paraId="33C232BA"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p>
        </w:tc>
        <w:tc>
          <w:tcPr>
            <w:tcW w:w="1859" w:type="dxa"/>
            <w:tcBorders>
              <w:top w:val="nil"/>
              <w:left w:val="nil"/>
              <w:bottom w:val="nil"/>
              <w:right w:val="nil"/>
            </w:tcBorders>
            <w:vAlign w:val="center"/>
          </w:tcPr>
          <w:p w14:paraId="3C20E881"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1858" w:type="dxa"/>
            <w:tcBorders>
              <w:top w:val="nil"/>
              <w:left w:val="nil"/>
              <w:bottom w:val="nil"/>
              <w:right w:val="nil"/>
            </w:tcBorders>
          </w:tcPr>
          <w:p w14:paraId="55847C05"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EF771D" w14:paraId="52C094AE"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04C0270" w14:textId="77777777" w:rsidR="00EF771D" w:rsidRDefault="00EF771D">
            <w:pPr>
              <w:pStyle w:val="08-Tabelageral"/>
              <w:ind w:left="113"/>
              <w:jc w:val="left"/>
              <w:rPr>
                <w:rFonts w:cs="Arial"/>
                <w:b w:val="0"/>
                <w:snapToGrid w:val="0"/>
                <w:color w:val="000000"/>
                <w:vertAlign w:val="superscript"/>
                <w:lang w:eastAsia="en-US"/>
              </w:rPr>
            </w:pPr>
            <w:r>
              <w:rPr>
                <w:b w:val="0"/>
                <w:color w:val="000000"/>
                <w:lang w:eastAsia="en-US"/>
              </w:rPr>
              <w:t>Abaixo de 30 anos</w:t>
            </w:r>
          </w:p>
        </w:tc>
        <w:tc>
          <w:tcPr>
            <w:tcW w:w="1859" w:type="dxa"/>
            <w:tcBorders>
              <w:top w:val="nil"/>
              <w:left w:val="nil"/>
              <w:bottom w:val="nil"/>
              <w:right w:val="nil"/>
            </w:tcBorders>
            <w:vAlign w:val="center"/>
            <w:hideMark/>
          </w:tcPr>
          <w:p w14:paraId="2F066B83"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4%</w:t>
            </w:r>
          </w:p>
        </w:tc>
        <w:tc>
          <w:tcPr>
            <w:tcW w:w="1859" w:type="dxa"/>
            <w:tcBorders>
              <w:top w:val="nil"/>
              <w:left w:val="nil"/>
              <w:bottom w:val="nil"/>
              <w:right w:val="nil"/>
            </w:tcBorders>
            <w:vAlign w:val="center"/>
            <w:hideMark/>
          </w:tcPr>
          <w:p w14:paraId="24575EED"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4%</w:t>
            </w:r>
          </w:p>
        </w:tc>
        <w:tc>
          <w:tcPr>
            <w:tcW w:w="1858" w:type="dxa"/>
            <w:tcBorders>
              <w:top w:val="nil"/>
              <w:left w:val="nil"/>
              <w:bottom w:val="nil"/>
              <w:right w:val="nil"/>
            </w:tcBorders>
            <w:hideMark/>
          </w:tcPr>
          <w:p w14:paraId="46E177E0"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17%</w:t>
            </w:r>
          </w:p>
        </w:tc>
      </w:tr>
      <w:tr w:rsidR="00EF771D" w14:paraId="36AF11D1" w14:textId="77777777" w:rsidTr="00EF771D">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114BBEA" w14:textId="77777777" w:rsidR="00EF771D" w:rsidRDefault="00EF771D">
            <w:pPr>
              <w:pStyle w:val="08-Tabelageral"/>
              <w:ind w:left="113"/>
              <w:jc w:val="left"/>
              <w:rPr>
                <w:rFonts w:cs="Arial"/>
                <w:b w:val="0"/>
                <w:snapToGrid w:val="0"/>
                <w:color w:val="000000"/>
                <w:lang w:eastAsia="en-US"/>
              </w:rPr>
            </w:pPr>
            <w:r>
              <w:rPr>
                <w:b w:val="0"/>
                <w:color w:val="000000"/>
                <w:lang w:eastAsia="en-US"/>
              </w:rPr>
              <w:t>Entre 30 e 50 anos</w:t>
            </w:r>
          </w:p>
        </w:tc>
        <w:tc>
          <w:tcPr>
            <w:tcW w:w="1859" w:type="dxa"/>
            <w:tcBorders>
              <w:top w:val="nil"/>
              <w:left w:val="nil"/>
              <w:bottom w:val="nil"/>
              <w:right w:val="nil"/>
            </w:tcBorders>
            <w:vAlign w:val="center"/>
            <w:hideMark/>
          </w:tcPr>
          <w:p w14:paraId="5379DEA4"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lang w:eastAsia="en-US"/>
              </w:rPr>
              <w:t>76%</w:t>
            </w:r>
          </w:p>
        </w:tc>
        <w:tc>
          <w:tcPr>
            <w:tcW w:w="1859" w:type="dxa"/>
            <w:tcBorders>
              <w:top w:val="nil"/>
              <w:left w:val="nil"/>
              <w:bottom w:val="nil"/>
              <w:right w:val="nil"/>
            </w:tcBorders>
            <w:vAlign w:val="center"/>
            <w:hideMark/>
          </w:tcPr>
          <w:p w14:paraId="055F233B"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eastAsia="en-US"/>
              </w:rPr>
              <w:t>75%</w:t>
            </w:r>
          </w:p>
        </w:tc>
        <w:tc>
          <w:tcPr>
            <w:tcW w:w="1858" w:type="dxa"/>
            <w:tcBorders>
              <w:top w:val="nil"/>
              <w:left w:val="nil"/>
              <w:bottom w:val="nil"/>
              <w:right w:val="nil"/>
            </w:tcBorders>
            <w:hideMark/>
          </w:tcPr>
          <w:p w14:paraId="2DD74642"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75%</w:t>
            </w:r>
          </w:p>
        </w:tc>
      </w:tr>
      <w:tr w:rsidR="00EF771D" w14:paraId="34B324BE"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54B4F79" w14:textId="77777777" w:rsidR="00EF771D" w:rsidRDefault="00EF771D">
            <w:pPr>
              <w:pStyle w:val="08-Tabelageral"/>
              <w:ind w:left="113"/>
              <w:jc w:val="left"/>
              <w:rPr>
                <w:rFonts w:cs="Arial"/>
                <w:b w:val="0"/>
                <w:snapToGrid w:val="0"/>
                <w:color w:val="000000"/>
                <w:lang w:eastAsia="en-US"/>
              </w:rPr>
            </w:pPr>
            <w:r>
              <w:rPr>
                <w:b w:val="0"/>
                <w:color w:val="000000"/>
                <w:lang w:eastAsia="en-US"/>
              </w:rPr>
              <w:t>Acima de 50 anos</w:t>
            </w:r>
          </w:p>
        </w:tc>
        <w:tc>
          <w:tcPr>
            <w:tcW w:w="1859" w:type="dxa"/>
            <w:tcBorders>
              <w:top w:val="nil"/>
              <w:left w:val="nil"/>
              <w:bottom w:val="nil"/>
              <w:right w:val="nil"/>
            </w:tcBorders>
            <w:vAlign w:val="center"/>
            <w:hideMark/>
          </w:tcPr>
          <w:p w14:paraId="6534B8E9"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20%</w:t>
            </w:r>
          </w:p>
        </w:tc>
        <w:tc>
          <w:tcPr>
            <w:tcW w:w="1859" w:type="dxa"/>
            <w:tcBorders>
              <w:top w:val="nil"/>
              <w:left w:val="nil"/>
              <w:bottom w:val="nil"/>
              <w:right w:val="nil"/>
            </w:tcBorders>
            <w:vAlign w:val="center"/>
            <w:hideMark/>
          </w:tcPr>
          <w:p w14:paraId="32A6A879"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21%</w:t>
            </w:r>
          </w:p>
        </w:tc>
        <w:tc>
          <w:tcPr>
            <w:tcW w:w="1858" w:type="dxa"/>
            <w:tcBorders>
              <w:top w:val="nil"/>
              <w:left w:val="nil"/>
              <w:bottom w:val="nil"/>
              <w:right w:val="nil"/>
            </w:tcBorders>
            <w:hideMark/>
          </w:tcPr>
          <w:p w14:paraId="3E99FE07"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8%</w:t>
            </w:r>
          </w:p>
        </w:tc>
      </w:tr>
    </w:tbl>
    <w:p w14:paraId="57954A77" w14:textId="77777777" w:rsidR="00EF771D" w:rsidRDefault="00EF771D" w:rsidP="00EF771D">
      <w:pPr>
        <w:pStyle w:val="07-Legenda"/>
        <w:numPr>
          <w:ilvl w:val="0"/>
          <w:numId w:val="21"/>
        </w:numPr>
        <w:ind w:left="0" w:firstLine="0"/>
        <w:rPr>
          <w:color w:val="000000"/>
        </w:rPr>
      </w:pPr>
      <w:r>
        <w:rPr>
          <w:color w:val="000000"/>
        </w:rPr>
        <w:t>Celetistas e Estatutários</w:t>
      </w:r>
    </w:p>
    <w:p w14:paraId="15568EF9" w14:textId="77777777" w:rsidR="00EF771D" w:rsidRDefault="00EF771D" w:rsidP="00EF771D">
      <w:pPr>
        <w:pStyle w:val="07-Legenda"/>
        <w:numPr>
          <w:ilvl w:val="0"/>
          <w:numId w:val="21"/>
        </w:numPr>
        <w:ind w:left="0" w:firstLine="0"/>
        <w:rPr>
          <w:color w:val="000000"/>
        </w:rPr>
      </w:pPr>
      <w:r>
        <w:rPr>
          <w:color w:val="000000"/>
        </w:rPr>
        <w:t>Os percentuais referentes à sexo, grau de instrução e faixa de idade, foram calculados com base no número total de colaboradores (funcionários, contratados, estagiários e conselheiros).</w:t>
      </w:r>
    </w:p>
    <w:p w14:paraId="34B7B4D5" w14:textId="77777777" w:rsidR="00EF771D" w:rsidRDefault="00EF771D" w:rsidP="00EF771D">
      <w:pPr>
        <w:spacing w:line="254" w:lineRule="auto"/>
        <w:rPr>
          <w:rFonts w:cs="Arial"/>
          <w:color w:val="000000"/>
          <w:szCs w:val="18"/>
        </w:rPr>
      </w:pPr>
    </w:p>
    <w:p w14:paraId="06A12912" w14:textId="77777777" w:rsidR="00EF771D" w:rsidRPr="00783390" w:rsidRDefault="00EF771D" w:rsidP="004830F0">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Recrutamento e Seleção</w:t>
      </w:r>
    </w:p>
    <w:p w14:paraId="6FB15B46" w14:textId="5D2563F7" w:rsidR="00EF771D" w:rsidRDefault="00EF771D" w:rsidP="00EF771D">
      <w:pPr>
        <w:tabs>
          <w:tab w:val="left" w:pos="1175"/>
        </w:tabs>
        <w:spacing w:before="120" w:after="120"/>
        <w:jc w:val="both"/>
        <w:rPr>
          <w:rFonts w:cs="Arial"/>
          <w:color w:val="000000"/>
          <w:szCs w:val="18"/>
        </w:rPr>
      </w:pPr>
      <w:r>
        <w:rPr>
          <w:rFonts w:cs="Arial"/>
          <w:color w:val="000000"/>
          <w:szCs w:val="18"/>
        </w:rPr>
        <w:t>Durante o ano de 2021, ingress</w:t>
      </w:r>
      <w:r w:rsidR="005A1528">
        <w:rPr>
          <w:rFonts w:cs="Arial"/>
          <w:color w:val="000000"/>
          <w:szCs w:val="18"/>
        </w:rPr>
        <w:t xml:space="preserve">aram na Companhia </w:t>
      </w:r>
      <w:r>
        <w:rPr>
          <w:rFonts w:cs="Arial"/>
          <w:color w:val="000000"/>
          <w:szCs w:val="18"/>
        </w:rPr>
        <w:t xml:space="preserve">11 (onze) funcionários advindos do Banco do Brasil. Internamente, houve 12 (doze) ascensões de funcionários. Todas estas movimentações ocorreram de acordo com as prerrogativas </w:t>
      </w:r>
      <w:r w:rsidR="002F6917">
        <w:rPr>
          <w:rFonts w:cs="Arial"/>
          <w:color w:val="000000"/>
          <w:szCs w:val="18"/>
        </w:rPr>
        <w:t>estabelecidas</w:t>
      </w:r>
      <w:r>
        <w:rPr>
          <w:rFonts w:cs="Arial"/>
          <w:color w:val="000000"/>
          <w:szCs w:val="18"/>
        </w:rPr>
        <w:t xml:space="preserve"> no Normativo Interno de Atração e Seleção.</w:t>
      </w:r>
    </w:p>
    <w:p w14:paraId="02076E11" w14:textId="77777777" w:rsidR="00EF771D" w:rsidRDefault="00EF771D" w:rsidP="00EF771D">
      <w:pPr>
        <w:spacing w:before="120" w:after="120"/>
        <w:jc w:val="both"/>
        <w:rPr>
          <w:rFonts w:cs="Arial"/>
          <w:iCs/>
          <w:color w:val="000000"/>
          <w:szCs w:val="18"/>
        </w:rPr>
      </w:pPr>
    </w:p>
    <w:p w14:paraId="7216295C" w14:textId="77777777" w:rsidR="00EF771D" w:rsidRPr="00783390" w:rsidRDefault="00EF771D" w:rsidP="004830F0">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Clima Organizacional</w:t>
      </w:r>
    </w:p>
    <w:p w14:paraId="573DAE8D" w14:textId="77777777" w:rsidR="00EF771D" w:rsidRDefault="00EF771D" w:rsidP="00EF771D">
      <w:pPr>
        <w:spacing w:before="120" w:after="120"/>
        <w:jc w:val="both"/>
        <w:rPr>
          <w:rFonts w:cs="Arial"/>
          <w:color w:val="000000"/>
          <w:szCs w:val="18"/>
        </w:rPr>
      </w:pPr>
      <w:r>
        <w:rPr>
          <w:rFonts w:cs="Arial"/>
          <w:color w:val="000000"/>
          <w:szCs w:val="18"/>
        </w:rPr>
        <w:t>A BB Seguridade tem realizado, ao menos uma vez ao ano, pesquisas de clima e satisfação, a fim de diagnosticar os pontos a serem aprimorados e endereçá-los por meio de ações relacionadas às práticas de gestão de pessoas.</w:t>
      </w:r>
    </w:p>
    <w:p w14:paraId="745E3900" w14:textId="77777777" w:rsidR="00EF771D" w:rsidRDefault="00EF771D" w:rsidP="00EF771D">
      <w:pPr>
        <w:spacing w:before="120" w:after="120"/>
        <w:jc w:val="both"/>
        <w:rPr>
          <w:rFonts w:cs="Arial"/>
          <w:color w:val="000000"/>
          <w:szCs w:val="18"/>
        </w:rPr>
      </w:pPr>
      <w:r>
        <w:rPr>
          <w:rFonts w:cs="Arial"/>
          <w:color w:val="000000"/>
          <w:szCs w:val="18"/>
        </w:rPr>
        <w:t>Em 2021, trimestralmente, foi disponibilizado o Pulso de Clima, o qual é composto pela pergunta do e-NPS (</w:t>
      </w:r>
      <w:r>
        <w:rPr>
          <w:rFonts w:cs="Arial"/>
          <w:i/>
          <w:color w:val="000000"/>
          <w:szCs w:val="18"/>
        </w:rPr>
        <w:t>Employee Net Promoter Score</w:t>
      </w:r>
      <w:r>
        <w:rPr>
          <w:rFonts w:cs="Arial"/>
          <w:color w:val="000000"/>
          <w:szCs w:val="18"/>
        </w:rPr>
        <w:t>) e por uma pergunta adicional relacionada a temas variados, que tem como principal objetivo identificar, no curto prazo, os possíveis fatores de eventual satisfação e/ou insatisfação dos funcionários.</w:t>
      </w:r>
    </w:p>
    <w:p w14:paraId="5DBDB6C6" w14:textId="77777777" w:rsidR="00EF771D" w:rsidRDefault="00EF771D" w:rsidP="00EF771D">
      <w:pPr>
        <w:spacing w:before="120" w:after="120"/>
        <w:jc w:val="both"/>
        <w:rPr>
          <w:rFonts w:cs="Arial"/>
          <w:color w:val="000000"/>
          <w:szCs w:val="18"/>
        </w:rPr>
      </w:pPr>
      <w:r>
        <w:rPr>
          <w:rFonts w:cs="Arial"/>
          <w:color w:val="000000"/>
          <w:szCs w:val="18"/>
        </w:rPr>
        <w:t>Com base no levantamento da percepção dos funcionários por meio desses instrumentos, a Companhia vem realizando ações para elevar o engajamento dos colaboradores e o clima organizacional da Companhia.</w:t>
      </w:r>
    </w:p>
    <w:p w14:paraId="5219BAD9" w14:textId="135C3C0B" w:rsidR="00EF771D" w:rsidRDefault="00EF771D" w:rsidP="00EF771D">
      <w:pPr>
        <w:spacing w:before="120" w:after="120"/>
        <w:jc w:val="both"/>
      </w:pPr>
      <w:r>
        <w:rPr>
          <w:rFonts w:cs="Arial"/>
          <w:color w:val="000000"/>
          <w:szCs w:val="18"/>
        </w:rPr>
        <w:t>Em 2021, a rotatividade da empresa, considerando os colaboradores que retornam ao Banco do Brasil ou são cedidos a uma de nossas coligadas, foi de 6,58%, o que representa um decréscimo de 1,</w:t>
      </w:r>
      <w:r w:rsidR="00285DC8">
        <w:rPr>
          <w:rFonts w:cs="Arial"/>
          <w:color w:val="000000"/>
          <w:szCs w:val="18"/>
        </w:rPr>
        <w:t>4</w:t>
      </w:r>
      <w:r>
        <w:rPr>
          <w:rFonts w:cs="Arial"/>
          <w:color w:val="000000"/>
          <w:szCs w:val="18"/>
        </w:rPr>
        <w:t xml:space="preserve"> p.p. em relação a 2020.</w:t>
      </w:r>
    </w:p>
    <w:p w14:paraId="66EB33F3" w14:textId="77777777" w:rsidR="00C81A16" w:rsidRDefault="00C81A16" w:rsidP="00C81A16">
      <w:pPr>
        <w:pStyle w:val="01-Textonormal"/>
      </w:pPr>
    </w:p>
    <w:p w14:paraId="6834DE25" w14:textId="19264B7C" w:rsidR="00C81A16" w:rsidRDefault="00C81A16" w:rsidP="004830F0">
      <w:pPr>
        <w:pStyle w:val="03-SubttulodeNota"/>
        <w:spacing w:line="276" w:lineRule="auto"/>
        <w:rPr>
          <w:color w:val="1F4E79" w:themeColor="accent1" w:themeShade="80"/>
        </w:rPr>
      </w:pPr>
      <w:r>
        <w:rPr>
          <w:color w:val="1F4E79" w:themeColor="accent1" w:themeShade="80"/>
        </w:rPr>
        <w:t>R</w:t>
      </w:r>
      <w:r w:rsidR="004830F0">
        <w:rPr>
          <w:color w:val="1F4E79" w:themeColor="accent1" w:themeShade="80"/>
        </w:rPr>
        <w:t>esponsabilidade Social e Ambiental</w:t>
      </w:r>
    </w:p>
    <w:p w14:paraId="2C7C3DA9" w14:textId="2B9063CB" w:rsidR="00C81A16" w:rsidRPr="00CB4344" w:rsidRDefault="00B011A6" w:rsidP="00C81A16">
      <w:pPr>
        <w:spacing w:before="120" w:after="120"/>
        <w:jc w:val="both"/>
        <w:rPr>
          <w:rFonts w:eastAsia="Times New Roman" w:cs="Arial"/>
          <w:spacing w:val="-2"/>
          <w:szCs w:val="18"/>
          <w:lang w:eastAsia="pt-BR"/>
        </w:rPr>
      </w:pPr>
      <w:r>
        <w:rPr>
          <w:rFonts w:eastAsia="Times New Roman" w:cs="Arial"/>
          <w:spacing w:val="-2"/>
          <w:szCs w:val="18"/>
          <w:lang w:eastAsia="pt-BR"/>
        </w:rPr>
        <w:t>Abaixo as principais práticas de sustentabilidade adota</w:t>
      </w:r>
      <w:r w:rsidR="00D22A0E">
        <w:rPr>
          <w:rFonts w:eastAsia="Times New Roman" w:cs="Arial"/>
          <w:spacing w:val="-2"/>
          <w:szCs w:val="18"/>
          <w:lang w:eastAsia="pt-BR"/>
        </w:rPr>
        <w:t>da</w:t>
      </w:r>
      <w:r>
        <w:rPr>
          <w:rFonts w:eastAsia="Times New Roman" w:cs="Arial"/>
          <w:spacing w:val="-2"/>
          <w:szCs w:val="18"/>
          <w:lang w:eastAsia="pt-BR"/>
        </w:rPr>
        <w:t>s pelas empresas investidas da BB Seguridade em 2021.</w:t>
      </w:r>
    </w:p>
    <w:p w14:paraId="3B5E3314" w14:textId="77777777" w:rsidR="00C81A16" w:rsidRPr="00783390" w:rsidRDefault="00C81A16"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Brasilseg</w:t>
      </w:r>
    </w:p>
    <w:p w14:paraId="305A0716" w14:textId="77777777" w:rsidR="004E0039" w:rsidRDefault="004E0039" w:rsidP="004E0039">
      <w:pPr>
        <w:pStyle w:val="05-Textonormal"/>
        <w:numPr>
          <w:ilvl w:val="0"/>
          <w:numId w:val="22"/>
        </w:numPr>
        <w:rPr>
          <w:rFonts w:cs="Arial"/>
          <w:b/>
        </w:rPr>
      </w:pPr>
      <w:r>
        <w:rPr>
          <w:rFonts w:cs="Arial"/>
          <w:b/>
        </w:rPr>
        <w:t xml:space="preserve">ISO 14001:2015: </w:t>
      </w:r>
      <w:r>
        <w:rPr>
          <w:rFonts w:cs="Arial"/>
          <w:bCs/>
        </w:rPr>
        <w:t>a Brasilseg é certificada na ISO 14001:2015, o que atesta o padrão internacional do Sistema de Gestão Ambiental (SGA) da empresa. Este sistema é baseado na análise dos aspectos e impactos ambientais significativos, diretos e indiretos, associados aos processos da sede da empresa. Cuidar do meio ambiente é uma prática diária na companhia, que determina metas e desafios em sua gestão sustentável, com impacto em toda a cadeia de valor.</w:t>
      </w:r>
    </w:p>
    <w:p w14:paraId="08CEAF90" w14:textId="7E78DE75" w:rsidR="004E0039" w:rsidRDefault="004E0039" w:rsidP="004E0039">
      <w:pPr>
        <w:pStyle w:val="05-Textonormal"/>
        <w:numPr>
          <w:ilvl w:val="0"/>
          <w:numId w:val="22"/>
        </w:numPr>
        <w:rPr>
          <w:rFonts w:cs="Arial"/>
          <w:bCs/>
        </w:rPr>
      </w:pPr>
      <w:r>
        <w:rPr>
          <w:rFonts w:cs="Arial"/>
          <w:b/>
          <w:bCs/>
        </w:rPr>
        <w:t>Pacto Global Rede Brasil</w:t>
      </w:r>
      <w:r w:rsidR="00070DC9">
        <w:rPr>
          <w:rFonts w:cs="Arial"/>
          <w:b/>
          <w:bCs/>
        </w:rPr>
        <w:t>:</w:t>
      </w:r>
      <w:r w:rsidRPr="00055252">
        <w:rPr>
          <w:rFonts w:cs="Arial"/>
        </w:rPr>
        <w:t xml:space="preserve">  a</w:t>
      </w:r>
      <w:r>
        <w:rPr>
          <w:rFonts w:cs="Arial"/>
          <w:bCs/>
        </w:rPr>
        <w:t xml:space="preserve"> Brasilseg tornou-se, em 2019, signatária do Pacto Global visando contribuir para a construção de um mercado global mais inclusivo e igualitário. </w:t>
      </w:r>
    </w:p>
    <w:p w14:paraId="7C31CF3F" w14:textId="7DFB25A3" w:rsidR="004E0039" w:rsidRDefault="004E0039" w:rsidP="004E0039">
      <w:pPr>
        <w:pStyle w:val="05-Textonormal"/>
        <w:numPr>
          <w:ilvl w:val="0"/>
          <w:numId w:val="22"/>
        </w:numPr>
        <w:rPr>
          <w:rFonts w:cs="Arial"/>
          <w:bCs/>
        </w:rPr>
      </w:pPr>
      <w:r>
        <w:rPr>
          <w:rFonts w:cs="Arial"/>
          <w:b/>
          <w:bCs/>
        </w:rPr>
        <w:t>Programa Brasileiro GHG Protocol</w:t>
      </w:r>
      <w:r w:rsidR="00070DC9">
        <w:rPr>
          <w:rFonts w:cs="Arial"/>
          <w:b/>
          <w:bCs/>
        </w:rPr>
        <w:t>:</w:t>
      </w:r>
      <w:r>
        <w:rPr>
          <w:rFonts w:cs="Arial"/>
          <w:b/>
          <w:bCs/>
        </w:rPr>
        <w:t xml:space="preserve"> </w:t>
      </w:r>
      <w:r>
        <w:rPr>
          <w:rFonts w:cs="Arial"/>
        </w:rPr>
        <w:t>a companhia</w:t>
      </w:r>
      <w:r>
        <w:rPr>
          <w:rFonts w:cs="Arial"/>
          <w:bCs/>
        </w:rPr>
        <w:t xml:space="preserve"> mensura as emissões de gases do efeito estufa da sede administrativa e de Franca por meio da Ferramenta de Gestão de Carbono </w:t>
      </w:r>
      <w:r w:rsidRPr="00055252">
        <w:rPr>
          <w:rFonts w:cs="Arial"/>
          <w:bCs/>
          <w:i/>
          <w:iCs/>
        </w:rPr>
        <w:t>GHG Protocol</w:t>
      </w:r>
      <w:r>
        <w:rPr>
          <w:rFonts w:cs="Arial"/>
          <w:bCs/>
        </w:rPr>
        <w:t xml:space="preserve"> para compensar as </w:t>
      </w:r>
      <w:r>
        <w:rPr>
          <w:rFonts w:cs="Arial"/>
          <w:bCs/>
        </w:rPr>
        <w:lastRenderedPageBreak/>
        <w:t xml:space="preserve">emissões. O processo abrange todos os colaboradores e no cálculo de emissões considera o consumo de energia, resíduos gerados, deslocamento dos colaboradores até a empresa e deslocamento de viagens a negócio. Em 2021, foram compensadas </w:t>
      </w:r>
      <w:r w:rsidRPr="009F6EC6">
        <w:rPr>
          <w:rFonts w:cs="Arial"/>
          <w:bCs/>
        </w:rPr>
        <w:t>531 to</w:t>
      </w:r>
      <w:r>
        <w:rPr>
          <w:rFonts w:cs="Arial"/>
          <w:bCs/>
        </w:rPr>
        <w:t>neladas de CO2 equivalente por meio do cancelamento voluntário de créditos de carbono no âmbito do Mecanismo de Desenvolvimento Limpo (MDL).</w:t>
      </w:r>
    </w:p>
    <w:p w14:paraId="1DE89CF9" w14:textId="26DFD73A" w:rsidR="004E0039" w:rsidRDefault="004E0039" w:rsidP="004E0039">
      <w:pPr>
        <w:pStyle w:val="PargrafodaLista"/>
        <w:numPr>
          <w:ilvl w:val="0"/>
          <w:numId w:val="22"/>
        </w:numPr>
        <w:spacing w:before="120" w:after="120"/>
        <w:jc w:val="both"/>
        <w:rPr>
          <w:rFonts w:ascii="Arial" w:eastAsia="Times New Roman" w:hAnsi="Arial" w:cs="Arial"/>
          <w:bCs/>
          <w:spacing w:val="-2"/>
          <w:sz w:val="18"/>
          <w:szCs w:val="18"/>
          <w:lang w:eastAsia="pt-BR"/>
        </w:rPr>
      </w:pPr>
      <w:r>
        <w:rPr>
          <w:rFonts w:ascii="Arial" w:eastAsia="Times New Roman" w:hAnsi="Arial" w:cs="Arial"/>
          <w:b/>
          <w:bCs/>
          <w:spacing w:val="-2"/>
          <w:sz w:val="18"/>
          <w:szCs w:val="18"/>
          <w:lang w:eastAsia="pt-BR"/>
        </w:rPr>
        <w:t>Objetivos de Desenvolvimento Sustentável – ODS</w:t>
      </w:r>
      <w:r w:rsidR="00070DC9">
        <w:rPr>
          <w:rFonts w:ascii="Arial" w:eastAsia="Times New Roman" w:hAnsi="Arial" w:cs="Arial"/>
          <w:b/>
          <w:bCs/>
          <w:spacing w:val="-2"/>
          <w:sz w:val="18"/>
          <w:szCs w:val="18"/>
          <w:lang w:eastAsia="pt-BR"/>
        </w:rPr>
        <w:t>:</w:t>
      </w:r>
      <w:r>
        <w:rPr>
          <w:rFonts w:ascii="Arial" w:eastAsia="Times New Roman" w:hAnsi="Arial" w:cs="Arial"/>
          <w:b/>
          <w:bCs/>
          <w:spacing w:val="-2"/>
          <w:sz w:val="18"/>
          <w:szCs w:val="18"/>
          <w:lang w:eastAsia="pt-BR"/>
        </w:rPr>
        <w:t xml:space="preserve"> </w:t>
      </w:r>
      <w:r>
        <w:rPr>
          <w:rFonts w:ascii="Arial" w:eastAsia="Times New Roman" w:hAnsi="Arial" w:cs="Arial"/>
          <w:bCs/>
          <w:spacing w:val="-2"/>
          <w:sz w:val="18"/>
          <w:szCs w:val="18"/>
          <w:lang w:eastAsia="pt-BR"/>
        </w:rPr>
        <w:t xml:space="preserve">a Brasilseg atua de maneira alinhada aos ODS por meio de um conjunto de compromissos, programas e metas em áreas como diversidade, inclusão, relacionamento com clientes e conformidade. Adicionalmente, promove o engajamento dos funcionários com a causa por meio de ações educacionais no âmbito da própria empresa. </w:t>
      </w:r>
    </w:p>
    <w:p w14:paraId="7FDAC44F" w14:textId="77777777" w:rsidR="004E0039" w:rsidRDefault="004E0039" w:rsidP="004E0039">
      <w:pPr>
        <w:pStyle w:val="05-Textonormal"/>
        <w:numPr>
          <w:ilvl w:val="0"/>
          <w:numId w:val="22"/>
        </w:numPr>
        <w:rPr>
          <w:rFonts w:cs="Arial"/>
          <w:bCs/>
        </w:rPr>
      </w:pPr>
      <w:r>
        <w:rPr>
          <w:rFonts w:cs="Arial"/>
          <w:b/>
        </w:rPr>
        <w:t xml:space="preserve">Princípios para Sustentabilidade em Seguros (PSI): </w:t>
      </w:r>
      <w:r>
        <w:rPr>
          <w:rFonts w:cs="Arial"/>
          <w:bCs/>
        </w:rPr>
        <w:t>desde 2019, a companhia se tornou formalmente signatária do PSI e vem desenvolvendo ações, projetos e investimentos para atendê-los.</w:t>
      </w:r>
    </w:p>
    <w:p w14:paraId="06AA1253" w14:textId="513F5840" w:rsidR="004E0039" w:rsidRDefault="004E0039" w:rsidP="004E0039">
      <w:pPr>
        <w:pStyle w:val="05-Textonormal"/>
        <w:numPr>
          <w:ilvl w:val="0"/>
          <w:numId w:val="22"/>
        </w:numPr>
        <w:rPr>
          <w:rFonts w:cs="Arial"/>
          <w:bCs/>
        </w:rPr>
      </w:pPr>
      <w:r>
        <w:rPr>
          <w:rFonts w:cs="Arial"/>
          <w:b/>
        </w:rPr>
        <w:t>Projetos Incentivados</w:t>
      </w:r>
      <w:r>
        <w:rPr>
          <w:rFonts w:cs="Arial"/>
          <w:bCs/>
        </w:rPr>
        <w:t xml:space="preserve">: </w:t>
      </w:r>
      <w:r>
        <w:t xml:space="preserve">em 2021, foram </w:t>
      </w:r>
      <w:r w:rsidRPr="009F6EC6">
        <w:t>realizados 20</w:t>
      </w:r>
      <w:r>
        <w:t xml:space="preserve"> projetos socioculturais por meio da Lei de Incentivo à Cultura, da Lei de Incentivo ao Esporte, do Fundo para a Infância e Adolescência e do Fundo do </w:t>
      </w:r>
      <w:r w:rsidRPr="00180E1E">
        <w:t>Idoso, com</w:t>
      </w:r>
      <w:r>
        <w:t xml:space="preserve"> mais de </w:t>
      </w:r>
      <w:r w:rsidRPr="009F6EC6">
        <w:t>64.857</w:t>
      </w:r>
      <w:r>
        <w:t xml:space="preserve"> mil pessoas atendidas.</w:t>
      </w:r>
    </w:p>
    <w:p w14:paraId="38F6CD4E" w14:textId="653DB00E" w:rsidR="00C81A16" w:rsidRPr="009F6EC6" w:rsidRDefault="00C81A16" w:rsidP="00C81A16">
      <w:pPr>
        <w:pStyle w:val="05-Textonormal"/>
        <w:rPr>
          <w:rFonts w:cs="Arial"/>
          <w:bCs/>
          <w:color w:val="FF0000"/>
        </w:rPr>
      </w:pPr>
      <w:r w:rsidRPr="009F6EC6">
        <w:rPr>
          <w:rFonts w:cs="Arial"/>
          <w:bCs/>
        </w:rPr>
        <w:t xml:space="preserve">Comprometida com os princípios da prestação de contas e maior transparência em relação às práticas Ambientais, Sociais e de Governança, a Brasilseg passou a publicar, a partir de 2019, seu Relatório de Sustentabilidade seguindo as diretrizes da Global Reporting Iniciative (GRI), disponibilizado no site da companhia </w:t>
      </w:r>
      <w:hyperlink r:id="rId15" w:history="1">
        <w:r w:rsidR="000838E1" w:rsidRPr="00741546">
          <w:rPr>
            <w:rStyle w:val="Hyperlink"/>
            <w:rFonts w:cs="Arial"/>
            <w:bCs/>
          </w:rPr>
          <w:t>https://www.bbseguros.com.br/seguradora/seguros/quem-somos/sustentabilidade</w:t>
        </w:r>
      </w:hyperlink>
      <w:r w:rsidRPr="009F6EC6">
        <w:t>.</w:t>
      </w:r>
    </w:p>
    <w:p w14:paraId="6F2EF7DC" w14:textId="1777B5CA" w:rsidR="00C81A16" w:rsidRPr="00985AC5" w:rsidRDefault="00C81A16" w:rsidP="00C81A16">
      <w:pPr>
        <w:spacing w:line="256" w:lineRule="auto"/>
        <w:rPr>
          <w:rFonts w:eastAsia="Times New Roman" w:cs="Arial"/>
          <w:bCs/>
          <w:spacing w:val="-2"/>
          <w:szCs w:val="18"/>
          <w:highlight w:val="yellow"/>
          <w:lang w:eastAsia="pt-BR"/>
        </w:rPr>
      </w:pPr>
    </w:p>
    <w:p w14:paraId="77E79A8B" w14:textId="77777777" w:rsidR="00C81A16" w:rsidRPr="00783390" w:rsidRDefault="00C81A16"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Brasilprev</w:t>
      </w:r>
    </w:p>
    <w:p w14:paraId="142A8BBE" w14:textId="77777777" w:rsidR="003252A8" w:rsidRPr="00D12410" w:rsidRDefault="003252A8" w:rsidP="003252A8">
      <w:pPr>
        <w:pStyle w:val="05-Textonormal"/>
        <w:numPr>
          <w:ilvl w:val="0"/>
          <w:numId w:val="9"/>
        </w:numPr>
        <w:ind w:left="714" w:hanging="357"/>
        <w:rPr>
          <w:rFonts w:cs="Arial"/>
        </w:rPr>
      </w:pPr>
      <w:r w:rsidRPr="00D12410">
        <w:rPr>
          <w:rFonts w:cs="Arial"/>
          <w:b/>
        </w:rPr>
        <w:t>Princípios para o Investimento Responsável (PRI):</w:t>
      </w:r>
      <w:r w:rsidRPr="00D12410">
        <w:rPr>
          <w:rFonts w:cs="Arial"/>
        </w:rPr>
        <w:t xml:space="preserve"> a Brasilprev integra e subscreve compromissos e acordos voluntários com instituições e organizações com as quais compartilha princípios e valores a fim de exercer seu papel de agente transformador na sociedade. Dentre eles estão os Princípios para o Investimento Responsável (PRI), desde 2017. O PRI é reconhecido por estabelecer os padrões globais relacionados a investimentos responsáveis, incentivando os investidores a incorporar os aspectos ambientais, sociais e de governança (ASG) em seus processos de investimento.</w:t>
      </w:r>
    </w:p>
    <w:p w14:paraId="53D3B3B5" w14:textId="21676A08" w:rsidR="003252A8" w:rsidRDefault="003252A8" w:rsidP="003252A8">
      <w:pPr>
        <w:numPr>
          <w:ilvl w:val="0"/>
          <w:numId w:val="9"/>
        </w:numPr>
        <w:spacing w:before="120" w:after="120" w:line="276" w:lineRule="auto"/>
        <w:jc w:val="both"/>
        <w:rPr>
          <w:rFonts w:eastAsia="Times New Roman" w:cs="Arial"/>
          <w:spacing w:val="-2"/>
          <w:szCs w:val="18"/>
          <w:lang w:eastAsia="pt-BR"/>
        </w:rPr>
      </w:pPr>
      <w:r w:rsidRPr="00B2703A">
        <w:rPr>
          <w:rFonts w:eastAsia="Times New Roman" w:cs="Arial"/>
          <w:b/>
          <w:bCs/>
          <w:spacing w:val="-2"/>
          <w:szCs w:val="18"/>
          <w:lang w:eastAsia="pt-BR"/>
        </w:rPr>
        <w:t>Ampliação das Estratégias de Investimentos ASG:</w:t>
      </w:r>
      <w:r w:rsidRPr="00B2703A">
        <w:rPr>
          <w:rFonts w:eastAsia="Times New Roman" w:cs="Arial"/>
          <w:spacing w:val="-2"/>
          <w:szCs w:val="18"/>
          <w:lang w:eastAsia="pt-BR"/>
        </w:rPr>
        <w:t xml:space="preserve"> a Brasilprev lançou em fevereiro de 2019 o fundo Brasilprev TOP ASG, com alocação em ETFs (Fundo de Índice) ASG no exterior. Até </w:t>
      </w:r>
      <w:r w:rsidR="00801D7D" w:rsidRPr="00801D7D">
        <w:rPr>
          <w:rFonts w:eastAsia="Times New Roman" w:cs="Arial"/>
          <w:spacing w:val="-2"/>
          <w:szCs w:val="18"/>
          <w:lang w:eastAsia="pt-BR"/>
        </w:rPr>
        <w:t>dezembro</w:t>
      </w:r>
      <w:r w:rsidRPr="00801D7D">
        <w:rPr>
          <w:rFonts w:eastAsia="Times New Roman" w:cs="Arial"/>
          <w:spacing w:val="-2"/>
          <w:szCs w:val="18"/>
          <w:lang w:eastAsia="pt-BR"/>
        </w:rPr>
        <w:t>/2021</w:t>
      </w:r>
      <w:r w:rsidRPr="00B2703A">
        <w:rPr>
          <w:rFonts w:eastAsia="Times New Roman" w:cs="Arial"/>
          <w:spacing w:val="-2"/>
          <w:szCs w:val="18"/>
          <w:lang w:eastAsia="pt-BR"/>
        </w:rPr>
        <w:t xml:space="preserve"> o fundo possuía patrimônio de R$</w:t>
      </w:r>
      <w:r w:rsidR="00801D7D">
        <w:rPr>
          <w:rFonts w:eastAsia="Times New Roman" w:cs="Arial"/>
          <w:spacing w:val="-2"/>
          <w:szCs w:val="18"/>
          <w:lang w:eastAsia="pt-BR"/>
        </w:rPr>
        <w:t xml:space="preserve"> 757,0</w:t>
      </w:r>
      <w:r w:rsidRPr="00B2703A">
        <w:rPr>
          <w:rFonts w:eastAsia="Times New Roman" w:cs="Arial"/>
          <w:spacing w:val="-2"/>
          <w:szCs w:val="18"/>
          <w:lang w:eastAsia="pt-BR"/>
        </w:rPr>
        <w:t xml:space="preserve"> milhões e rentabilidade </w:t>
      </w:r>
      <w:r w:rsidR="00801D7D">
        <w:rPr>
          <w:rFonts w:eastAsia="Times New Roman" w:cs="Arial"/>
          <w:spacing w:val="-2"/>
          <w:szCs w:val="18"/>
          <w:lang w:eastAsia="pt-BR"/>
        </w:rPr>
        <w:t xml:space="preserve">acumulada no ano </w:t>
      </w:r>
      <w:r w:rsidRPr="00801D7D">
        <w:rPr>
          <w:rFonts w:eastAsia="Times New Roman" w:cs="Arial"/>
          <w:spacing w:val="-2"/>
          <w:szCs w:val="18"/>
          <w:lang w:eastAsia="pt-BR"/>
        </w:rPr>
        <w:t xml:space="preserve">de </w:t>
      </w:r>
      <w:r w:rsidR="00801D7D" w:rsidRPr="00801D7D">
        <w:rPr>
          <w:rFonts w:eastAsia="Times New Roman" w:cs="Arial"/>
          <w:spacing w:val="-2"/>
          <w:szCs w:val="18"/>
          <w:lang w:eastAsia="pt-BR"/>
        </w:rPr>
        <w:t>8,7%</w:t>
      </w:r>
      <w:r w:rsidRPr="00801D7D">
        <w:rPr>
          <w:rFonts w:eastAsia="Times New Roman" w:cs="Arial"/>
          <w:spacing w:val="-2"/>
          <w:szCs w:val="18"/>
          <w:lang w:eastAsia="pt-BR"/>
        </w:rPr>
        <w:t xml:space="preserve"> (vs. </w:t>
      </w:r>
      <w:r w:rsidR="00801D7D" w:rsidRPr="00801D7D">
        <w:rPr>
          <w:rFonts w:eastAsia="Times New Roman" w:cs="Arial"/>
          <w:spacing w:val="-2"/>
          <w:szCs w:val="18"/>
          <w:lang w:eastAsia="pt-BR"/>
        </w:rPr>
        <w:t>4,4</w:t>
      </w:r>
      <w:r w:rsidRPr="00801D7D">
        <w:rPr>
          <w:rFonts w:eastAsia="Times New Roman" w:cs="Arial"/>
          <w:spacing w:val="-2"/>
          <w:szCs w:val="18"/>
          <w:lang w:eastAsia="pt-BR"/>
        </w:rPr>
        <w:t>% do CDI).</w:t>
      </w:r>
      <w:r w:rsidRPr="00B2703A">
        <w:rPr>
          <w:rFonts w:eastAsia="Times New Roman" w:cs="Arial"/>
          <w:spacing w:val="-2"/>
          <w:szCs w:val="18"/>
          <w:lang w:eastAsia="pt-BR"/>
        </w:rPr>
        <w:t xml:space="preserve"> </w:t>
      </w:r>
    </w:p>
    <w:p w14:paraId="3F3FBF48" w14:textId="46E20E91" w:rsidR="003252A8" w:rsidRPr="002A12F7" w:rsidRDefault="003252A8" w:rsidP="003252A8">
      <w:pPr>
        <w:spacing w:before="120" w:after="120" w:line="276" w:lineRule="auto"/>
        <w:ind w:left="720"/>
        <w:jc w:val="both"/>
        <w:rPr>
          <w:rFonts w:eastAsia="Times New Roman" w:cs="Arial"/>
          <w:spacing w:val="-2"/>
          <w:szCs w:val="18"/>
          <w:lang w:eastAsia="pt-BR"/>
        </w:rPr>
      </w:pPr>
      <w:r w:rsidRPr="00D7329A">
        <w:rPr>
          <w:rFonts w:eastAsia="Times New Roman" w:cs="Arial"/>
          <w:spacing w:val="-2"/>
          <w:szCs w:val="18"/>
          <w:lang w:eastAsia="pt-BR"/>
        </w:rPr>
        <w:t xml:space="preserve">Em dezembro/2020, a estratégia ASG deu origem a </w:t>
      </w:r>
      <w:r w:rsidR="00801D7D" w:rsidRPr="00D7329A">
        <w:rPr>
          <w:rFonts w:eastAsia="Times New Roman" w:cs="Arial"/>
          <w:spacing w:val="-2"/>
          <w:szCs w:val="18"/>
          <w:lang w:eastAsia="pt-BR"/>
        </w:rPr>
        <w:t xml:space="preserve">dois novos </w:t>
      </w:r>
      <w:r w:rsidRPr="00D7329A">
        <w:rPr>
          <w:rFonts w:eastAsia="Times New Roman" w:cs="Arial"/>
          <w:spacing w:val="-2"/>
          <w:szCs w:val="18"/>
          <w:lang w:eastAsia="pt-BR"/>
        </w:rPr>
        <w:t>produto</w:t>
      </w:r>
      <w:r w:rsidR="00801D7D" w:rsidRPr="00D7329A">
        <w:rPr>
          <w:rFonts w:eastAsia="Times New Roman" w:cs="Arial"/>
          <w:spacing w:val="-2"/>
          <w:szCs w:val="18"/>
          <w:lang w:eastAsia="pt-BR"/>
        </w:rPr>
        <w:t>s</w:t>
      </w:r>
      <w:r w:rsidRPr="00D7329A">
        <w:rPr>
          <w:rFonts w:eastAsia="Times New Roman" w:cs="Arial"/>
          <w:spacing w:val="-2"/>
          <w:szCs w:val="18"/>
          <w:lang w:eastAsia="pt-BR"/>
        </w:rPr>
        <w:t xml:space="preserve"> destinado</w:t>
      </w:r>
      <w:r w:rsidR="00D7329A" w:rsidRPr="00D7329A">
        <w:rPr>
          <w:rFonts w:eastAsia="Times New Roman" w:cs="Arial"/>
          <w:spacing w:val="-2"/>
          <w:szCs w:val="18"/>
          <w:lang w:eastAsia="pt-BR"/>
        </w:rPr>
        <w:t>s</w:t>
      </w:r>
      <w:r w:rsidRPr="00D7329A">
        <w:rPr>
          <w:rFonts w:eastAsia="Times New Roman" w:cs="Arial"/>
          <w:spacing w:val="-2"/>
          <w:szCs w:val="18"/>
          <w:lang w:eastAsia="pt-BR"/>
        </w:rPr>
        <w:t xml:space="preserve"> aos clientes </w:t>
      </w:r>
      <w:r w:rsidRPr="00055252">
        <w:rPr>
          <w:rFonts w:eastAsia="Times New Roman" w:cs="Arial"/>
          <w:i/>
          <w:iCs/>
          <w:spacing w:val="-2"/>
          <w:szCs w:val="18"/>
          <w:lang w:eastAsia="pt-BR"/>
        </w:rPr>
        <w:t>private</w:t>
      </w:r>
      <w:r w:rsidRPr="00D7329A">
        <w:rPr>
          <w:rFonts w:eastAsia="Times New Roman" w:cs="Arial"/>
          <w:spacing w:val="-2"/>
          <w:szCs w:val="18"/>
          <w:lang w:eastAsia="pt-BR"/>
        </w:rPr>
        <w:t>, que além dos ETFs no exterior também investe</w:t>
      </w:r>
      <w:r w:rsidR="00D7329A" w:rsidRPr="00D7329A">
        <w:rPr>
          <w:rFonts w:eastAsia="Times New Roman" w:cs="Arial"/>
          <w:spacing w:val="-2"/>
          <w:szCs w:val="18"/>
          <w:lang w:eastAsia="pt-BR"/>
        </w:rPr>
        <w:t>m</w:t>
      </w:r>
      <w:r w:rsidRPr="00D7329A">
        <w:rPr>
          <w:rFonts w:eastAsia="Times New Roman" w:cs="Arial"/>
          <w:spacing w:val="-2"/>
          <w:szCs w:val="18"/>
          <w:lang w:eastAsia="pt-BR"/>
        </w:rPr>
        <w:t xml:space="preserve"> em ações brasileiras que sigam boas práticas ASG. O</w:t>
      </w:r>
      <w:r w:rsidR="00801D7D" w:rsidRPr="00D7329A">
        <w:rPr>
          <w:rFonts w:eastAsia="Times New Roman" w:cs="Arial"/>
          <w:spacing w:val="-2"/>
          <w:szCs w:val="18"/>
          <w:lang w:eastAsia="pt-BR"/>
        </w:rPr>
        <w:t xml:space="preserve"> Brasilprev Private ASG FIC Multimercado</w:t>
      </w:r>
      <w:r w:rsidRPr="00D7329A">
        <w:rPr>
          <w:rFonts w:eastAsia="Times New Roman" w:cs="Arial"/>
          <w:spacing w:val="-2"/>
          <w:szCs w:val="18"/>
          <w:lang w:eastAsia="pt-BR"/>
        </w:rPr>
        <w:t xml:space="preserve"> encerrou 2021 com patrimônio de R$</w:t>
      </w:r>
      <w:r w:rsidR="00801D7D" w:rsidRPr="00D7329A">
        <w:rPr>
          <w:rFonts w:eastAsia="Times New Roman" w:cs="Arial"/>
          <w:spacing w:val="-2"/>
          <w:szCs w:val="18"/>
          <w:lang w:eastAsia="pt-BR"/>
        </w:rPr>
        <w:t>125,3</w:t>
      </w:r>
      <w:r w:rsidRPr="00D7329A">
        <w:rPr>
          <w:rFonts w:eastAsia="Times New Roman" w:cs="Arial"/>
          <w:spacing w:val="-2"/>
          <w:szCs w:val="18"/>
          <w:lang w:eastAsia="pt-BR"/>
        </w:rPr>
        <w:t xml:space="preserve"> milhões e rentabilidade de </w:t>
      </w:r>
      <w:r w:rsidR="00801D7D" w:rsidRPr="00D7329A">
        <w:rPr>
          <w:rFonts w:eastAsia="Times New Roman" w:cs="Arial"/>
          <w:spacing w:val="-2"/>
          <w:szCs w:val="18"/>
          <w:lang w:eastAsia="pt-BR"/>
        </w:rPr>
        <w:t>-10,6</w:t>
      </w:r>
      <w:r w:rsidRPr="00D7329A">
        <w:rPr>
          <w:rFonts w:eastAsia="Times New Roman" w:cs="Arial"/>
          <w:spacing w:val="-2"/>
          <w:szCs w:val="18"/>
          <w:lang w:eastAsia="pt-BR"/>
        </w:rPr>
        <w:t>%</w:t>
      </w:r>
      <w:r w:rsidR="00801D7D" w:rsidRPr="00D7329A">
        <w:rPr>
          <w:rFonts w:eastAsia="Times New Roman" w:cs="Arial"/>
          <w:spacing w:val="-2"/>
          <w:szCs w:val="18"/>
          <w:lang w:eastAsia="pt-BR"/>
        </w:rPr>
        <w:t>, enquanto o Brasilprev Top ASG Brasil FI Ações</w:t>
      </w:r>
      <w:r w:rsidR="00D7329A" w:rsidRPr="00D7329A">
        <w:rPr>
          <w:rFonts w:eastAsia="Times New Roman" w:cs="Arial"/>
          <w:spacing w:val="-2"/>
          <w:szCs w:val="18"/>
          <w:lang w:eastAsia="pt-BR"/>
        </w:rPr>
        <w:t xml:space="preserve"> acumulou no ano patrimônio de R$108,4 milhões e rentabilidade de -10,6% (vs. -11.9% do Ibovespa).</w:t>
      </w:r>
    </w:p>
    <w:p w14:paraId="0B99FD09" w14:textId="06298245" w:rsidR="003252A8" w:rsidRPr="002A12F7" w:rsidRDefault="003252A8" w:rsidP="003252A8">
      <w:pPr>
        <w:numPr>
          <w:ilvl w:val="0"/>
          <w:numId w:val="9"/>
        </w:numPr>
        <w:spacing w:before="120" w:after="120" w:line="276" w:lineRule="auto"/>
        <w:jc w:val="both"/>
        <w:rPr>
          <w:rFonts w:eastAsia="Times New Roman" w:cs="Arial"/>
          <w:spacing w:val="-2"/>
          <w:szCs w:val="18"/>
          <w:lang w:eastAsia="pt-BR"/>
        </w:rPr>
      </w:pPr>
      <w:r w:rsidRPr="002A12F7">
        <w:rPr>
          <w:rFonts w:eastAsia="Times New Roman" w:cs="Arial"/>
          <w:b/>
          <w:bCs/>
          <w:spacing w:val="-2"/>
          <w:szCs w:val="18"/>
          <w:lang w:eastAsia="pt-BR"/>
        </w:rPr>
        <w:t>Declaração sobre Títulos Verdes:</w:t>
      </w:r>
      <w:r w:rsidRPr="002A12F7">
        <w:rPr>
          <w:rFonts w:eastAsia="Times New Roman" w:cs="Arial"/>
          <w:spacing w:val="-2"/>
          <w:szCs w:val="18"/>
          <w:lang w:eastAsia="pt-BR"/>
        </w:rPr>
        <w:t xml:space="preserve"> a Brasilprev é signatária desde 2017, juntamente com outros investidores</w:t>
      </w:r>
      <w:r w:rsidR="00070DC9">
        <w:rPr>
          <w:rFonts w:eastAsia="Times New Roman" w:cs="Arial"/>
          <w:spacing w:val="-2"/>
          <w:szCs w:val="18"/>
          <w:lang w:eastAsia="pt-BR"/>
        </w:rPr>
        <w:t>,</w:t>
      </w:r>
      <w:r w:rsidRPr="002A12F7">
        <w:rPr>
          <w:rFonts w:eastAsia="Times New Roman" w:cs="Arial"/>
          <w:spacing w:val="-2"/>
          <w:szCs w:val="18"/>
          <w:lang w:eastAsia="pt-BR"/>
        </w:rPr>
        <w:t xml:space="preserve"> representando cerca de R$ 1,8 trilhão em ativos sob gestão. Na declaração, os signatários se comprometem a dialogar com entidades, governamentais ou não, para estimular o desenvolvimento de um mercado brasileiro de títulos verdes robusto e que contribua verdadeiramente para </w:t>
      </w:r>
      <w:r w:rsidR="00B81162">
        <w:rPr>
          <w:rFonts w:eastAsia="Times New Roman" w:cs="Arial"/>
          <w:spacing w:val="-2"/>
          <w:szCs w:val="18"/>
          <w:lang w:eastAsia="pt-BR"/>
        </w:rPr>
        <w:t>tratar</w:t>
      </w:r>
      <w:r w:rsidRPr="002A12F7">
        <w:rPr>
          <w:rFonts w:eastAsia="Times New Roman" w:cs="Arial"/>
          <w:spacing w:val="-2"/>
          <w:szCs w:val="18"/>
          <w:lang w:eastAsia="pt-BR"/>
        </w:rPr>
        <w:t xml:space="preserve"> as mudanças climáticas.</w:t>
      </w:r>
      <w:r>
        <w:rPr>
          <w:rFonts w:eastAsia="Times New Roman" w:cs="Arial"/>
          <w:spacing w:val="-2"/>
          <w:szCs w:val="18"/>
          <w:lang w:eastAsia="pt-BR"/>
        </w:rPr>
        <w:t xml:space="preserve"> </w:t>
      </w:r>
      <w:r w:rsidRPr="002A12F7">
        <w:rPr>
          <w:rFonts w:eastAsia="Times New Roman" w:cs="Arial"/>
          <w:spacing w:val="-2"/>
          <w:szCs w:val="18"/>
          <w:lang w:eastAsia="pt-BR"/>
        </w:rPr>
        <w:t xml:space="preserve">(Fonte: </w:t>
      </w:r>
      <w:hyperlink r:id="rId16" w:history="1">
        <w:r w:rsidRPr="007E7571">
          <w:rPr>
            <w:rStyle w:val="Hyperlink"/>
            <w:rFonts w:eastAsia="Times New Roman" w:cs="Arial"/>
            <w:spacing w:val="-2"/>
            <w:szCs w:val="18"/>
            <w:lang w:eastAsia="pt-BR"/>
          </w:rPr>
          <w:t>https://www.climatebonds.net/market/country/brasil/declaracao-de-investidores</w:t>
        </w:r>
      </w:hyperlink>
      <w:r>
        <w:rPr>
          <w:rFonts w:eastAsia="Times New Roman" w:cs="Arial"/>
          <w:spacing w:val="-2"/>
          <w:szCs w:val="18"/>
          <w:lang w:eastAsia="pt-BR"/>
        </w:rPr>
        <w:t xml:space="preserve">) </w:t>
      </w:r>
    </w:p>
    <w:p w14:paraId="2D8CE783" w14:textId="77777777" w:rsidR="003252A8" w:rsidRPr="00D12410" w:rsidRDefault="003252A8" w:rsidP="003252A8">
      <w:pPr>
        <w:numPr>
          <w:ilvl w:val="0"/>
          <w:numId w:val="9"/>
        </w:numPr>
        <w:spacing w:before="120" w:after="120" w:line="276" w:lineRule="auto"/>
        <w:jc w:val="both"/>
        <w:rPr>
          <w:rFonts w:eastAsia="Times New Roman" w:cs="Arial"/>
          <w:spacing w:val="-2"/>
          <w:szCs w:val="18"/>
          <w:lang w:eastAsia="pt-BR"/>
        </w:rPr>
      </w:pPr>
      <w:r w:rsidRPr="00D12410">
        <w:rPr>
          <w:rFonts w:eastAsia="Times New Roman" w:cs="Arial"/>
          <w:b/>
          <w:bCs/>
          <w:i/>
          <w:iCs/>
          <w:spacing w:val="-2"/>
          <w:szCs w:val="18"/>
          <w:lang w:eastAsia="pt-BR"/>
        </w:rPr>
        <w:t>Carbon Disclosure Project</w:t>
      </w:r>
      <w:r w:rsidRPr="00D12410">
        <w:rPr>
          <w:rFonts w:eastAsia="Times New Roman" w:cs="Arial"/>
          <w:b/>
          <w:bCs/>
          <w:spacing w:val="-2"/>
          <w:szCs w:val="18"/>
          <w:lang w:eastAsia="pt-BR"/>
        </w:rPr>
        <w:t xml:space="preserve"> (CDP):</w:t>
      </w:r>
      <w:r w:rsidRPr="00D12410">
        <w:rPr>
          <w:rFonts w:eastAsia="Times New Roman" w:cs="Arial"/>
          <w:spacing w:val="-2"/>
          <w:szCs w:val="18"/>
          <w:lang w:eastAsia="pt-BR"/>
        </w:rPr>
        <w:t xml:space="preserve"> a Brasilprev participa do CDP como investidora signatária, tendo acesso a sua base de dados global com informações sobre o compromisso das empresas, sejam potenciais ou já investidas, em relação a emissões de carbono e ações de sustentabilidade.</w:t>
      </w:r>
    </w:p>
    <w:p w14:paraId="119A4AA2" w14:textId="4094993F" w:rsidR="003252A8" w:rsidRPr="002E7E5B" w:rsidRDefault="003252A8" w:rsidP="003252A8">
      <w:pPr>
        <w:numPr>
          <w:ilvl w:val="0"/>
          <w:numId w:val="9"/>
        </w:numPr>
        <w:spacing w:before="120" w:after="120" w:line="276" w:lineRule="auto"/>
        <w:ind w:left="714" w:hanging="357"/>
        <w:jc w:val="both"/>
        <w:rPr>
          <w:rFonts w:eastAsia="Times New Roman" w:cs="Arial"/>
          <w:spacing w:val="-2"/>
          <w:szCs w:val="18"/>
          <w:lang w:eastAsia="pt-BR"/>
        </w:rPr>
      </w:pPr>
      <w:r w:rsidRPr="002E7E5B">
        <w:rPr>
          <w:rFonts w:eastAsia="Times New Roman" w:cs="Arial"/>
          <w:b/>
          <w:spacing w:val="-2"/>
          <w:szCs w:val="18"/>
          <w:lang w:eastAsia="pt-BR"/>
        </w:rPr>
        <w:t xml:space="preserve">Projetos incentivados: </w:t>
      </w:r>
      <w:r w:rsidRPr="002E7E5B">
        <w:rPr>
          <w:rFonts w:eastAsia="Times New Roman" w:cs="Arial"/>
          <w:spacing w:val="-2"/>
          <w:szCs w:val="18"/>
          <w:lang w:eastAsia="pt-BR"/>
        </w:rPr>
        <w:t xml:space="preserve">em 2021, foram apoiados </w:t>
      </w:r>
      <w:r w:rsidR="00D7329A">
        <w:rPr>
          <w:rFonts w:eastAsia="Times New Roman" w:cs="Arial"/>
          <w:spacing w:val="-2"/>
          <w:szCs w:val="18"/>
          <w:lang w:eastAsia="pt-BR"/>
        </w:rPr>
        <w:t>9</w:t>
      </w:r>
      <w:r w:rsidRPr="002E7E5B">
        <w:rPr>
          <w:rFonts w:eastAsia="Times New Roman" w:cs="Arial"/>
          <w:spacing w:val="-2"/>
          <w:szCs w:val="18"/>
          <w:lang w:eastAsia="pt-BR"/>
        </w:rPr>
        <w:t xml:space="preserve"> projetos sociais por meio de Leis de Incentivo (Idoso e Fumcad </w:t>
      </w:r>
      <w:r w:rsidR="00D7329A">
        <w:rPr>
          <w:rFonts w:eastAsia="Times New Roman" w:cs="Arial"/>
          <w:spacing w:val="-2"/>
          <w:szCs w:val="18"/>
          <w:lang w:eastAsia="pt-BR"/>
        </w:rPr>
        <w:t xml:space="preserve">Pronas </w:t>
      </w:r>
      <w:r w:rsidRPr="002E7E5B">
        <w:rPr>
          <w:rFonts w:eastAsia="Times New Roman" w:cs="Arial"/>
          <w:spacing w:val="-2"/>
          <w:szCs w:val="18"/>
          <w:lang w:eastAsia="pt-BR"/>
        </w:rPr>
        <w:t xml:space="preserve">e Pronon), beneficiando </w:t>
      </w:r>
      <w:r w:rsidRPr="00D7329A">
        <w:rPr>
          <w:rFonts w:eastAsia="Times New Roman" w:cs="Arial"/>
          <w:spacing w:val="-2"/>
          <w:szCs w:val="18"/>
          <w:lang w:eastAsia="pt-BR"/>
        </w:rPr>
        <w:t>mais de 85</w:t>
      </w:r>
      <w:r w:rsidR="00D7329A" w:rsidRPr="00D7329A">
        <w:rPr>
          <w:rFonts w:eastAsia="Times New Roman" w:cs="Arial"/>
          <w:spacing w:val="-2"/>
          <w:szCs w:val="18"/>
          <w:lang w:eastAsia="pt-BR"/>
        </w:rPr>
        <w:t>,6</w:t>
      </w:r>
      <w:r w:rsidRPr="00D7329A">
        <w:rPr>
          <w:rFonts w:eastAsia="Times New Roman" w:cs="Arial"/>
          <w:spacing w:val="-2"/>
          <w:szCs w:val="18"/>
          <w:lang w:eastAsia="pt-BR"/>
        </w:rPr>
        <w:t xml:space="preserve"> mil brasileiros.</w:t>
      </w:r>
      <w:r w:rsidRPr="002E7E5B">
        <w:rPr>
          <w:rFonts w:eastAsia="Times New Roman" w:cs="Arial"/>
          <w:spacing w:val="-2"/>
          <w:szCs w:val="18"/>
          <w:lang w:eastAsia="pt-BR"/>
        </w:rPr>
        <w:t xml:space="preserve"> </w:t>
      </w:r>
    </w:p>
    <w:p w14:paraId="672DEB9C" w14:textId="77777777" w:rsidR="003252A8" w:rsidRDefault="003252A8" w:rsidP="003252A8">
      <w:pPr>
        <w:pStyle w:val="05-Textonormal"/>
        <w:spacing w:after="0" w:line="240" w:lineRule="auto"/>
        <w:rPr>
          <w:rFonts w:cs="Arial"/>
        </w:rPr>
      </w:pPr>
      <w:r w:rsidRPr="00D12410">
        <w:rPr>
          <w:rFonts w:cs="Arial"/>
        </w:rPr>
        <w:t>Informações relacionadas ao tema estão disponibilizadas no site da companhia (</w:t>
      </w:r>
      <w:hyperlink r:id="rId17" w:history="1">
        <w:r w:rsidRPr="00D12410">
          <w:rPr>
            <w:rStyle w:val="Hyperlink"/>
            <w:rFonts w:cs="Arial"/>
          </w:rPr>
          <w:t>https://www1.brasilprev.com.br/quem-somos.html</w:t>
        </w:r>
      </w:hyperlink>
      <w:r w:rsidRPr="00D12410">
        <w:rPr>
          <w:rFonts w:cs="Arial"/>
        </w:rPr>
        <w:t>).</w:t>
      </w:r>
    </w:p>
    <w:p w14:paraId="779E3350" w14:textId="77777777" w:rsidR="00C81A16" w:rsidRPr="00985AC5" w:rsidRDefault="00C81A16" w:rsidP="00C81A16">
      <w:pPr>
        <w:pStyle w:val="05-Textonormal"/>
        <w:spacing w:after="0" w:line="240" w:lineRule="auto"/>
        <w:rPr>
          <w:rFonts w:cs="Arial"/>
          <w:highlight w:val="yellow"/>
        </w:rPr>
      </w:pPr>
    </w:p>
    <w:p w14:paraId="0B236AF1" w14:textId="77777777" w:rsidR="00C81A16" w:rsidRPr="00783390" w:rsidRDefault="00C81A16"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Brasilcap</w:t>
      </w:r>
    </w:p>
    <w:p w14:paraId="34EFEEBB" w14:textId="56820632" w:rsidR="00313C3B" w:rsidRPr="00DA7665" w:rsidRDefault="00313C3B" w:rsidP="000F3AD5">
      <w:pPr>
        <w:pStyle w:val="05-Textonormal"/>
        <w:numPr>
          <w:ilvl w:val="0"/>
          <w:numId w:val="28"/>
        </w:numPr>
        <w:spacing w:after="0" w:line="240" w:lineRule="auto"/>
        <w:ind w:left="709"/>
        <w:rPr>
          <w:bCs/>
        </w:rPr>
      </w:pPr>
      <w:r w:rsidRPr="00DA7665">
        <w:rPr>
          <w:b/>
        </w:rPr>
        <w:t xml:space="preserve">Princípios para Sustentabilidade em Seguros (PSI): </w:t>
      </w:r>
      <w:r w:rsidR="00070DC9">
        <w:rPr>
          <w:bCs/>
        </w:rPr>
        <w:t>a</w:t>
      </w:r>
      <w:r w:rsidRPr="00DA7665">
        <w:rPr>
          <w:bCs/>
        </w:rPr>
        <w:t xml:space="preserve"> Brasilcap foi a </w:t>
      </w:r>
      <w:r w:rsidRPr="00DA7665">
        <w:rPr>
          <w:rFonts w:cs="Arial"/>
        </w:rPr>
        <w:t xml:space="preserve">primeira empresa de capitalização a se tornar signatária dos </w:t>
      </w:r>
      <w:r>
        <w:t>Princípios para Sustentabilidade em Seguros (PSI), compromisso</w:t>
      </w:r>
      <w:r w:rsidRPr="00DA7665">
        <w:rPr>
          <w:rFonts w:cs="Arial"/>
        </w:rPr>
        <w:t xml:space="preserve"> do qual faz parte desde 2015.</w:t>
      </w:r>
      <w:r w:rsidR="00DA7665">
        <w:rPr>
          <w:rFonts w:cs="Arial"/>
        </w:rPr>
        <w:t xml:space="preserve"> </w:t>
      </w:r>
      <w:r w:rsidRPr="00DA7665">
        <w:rPr>
          <w:bCs/>
        </w:rPr>
        <w:t xml:space="preserve">A adesão reforça o compromisso da </w:t>
      </w:r>
      <w:r w:rsidR="00070DC9">
        <w:rPr>
          <w:bCs/>
        </w:rPr>
        <w:t>c</w:t>
      </w:r>
      <w:r w:rsidRPr="00DA7665">
        <w:rPr>
          <w:bCs/>
        </w:rPr>
        <w:t xml:space="preserve">ompanhia em ser uma importante voz na busca por uma sociedade mais consciente e justa, além de contribuir para evolução contínua nos quesitos ASG, mitigando riscos e conferindo transparência na prestação de contas para todos os públicos de relacionamento. </w:t>
      </w:r>
    </w:p>
    <w:p w14:paraId="556C351C" w14:textId="77777777" w:rsidR="00313C3B" w:rsidRDefault="00313C3B" w:rsidP="00313C3B">
      <w:pPr>
        <w:pStyle w:val="05-Textonormal"/>
        <w:numPr>
          <w:ilvl w:val="0"/>
          <w:numId w:val="28"/>
        </w:numPr>
        <w:rPr>
          <w:rFonts w:cs="Arial"/>
        </w:rPr>
      </w:pPr>
      <w:r>
        <w:rPr>
          <w:rFonts w:cs="Arial"/>
          <w:b/>
        </w:rPr>
        <w:lastRenderedPageBreak/>
        <w:t>Instituto Ethos:</w:t>
      </w:r>
      <w:r>
        <w:rPr>
          <w:rFonts w:cs="Arial"/>
        </w:rPr>
        <w:t xml:space="preserve"> a Brasilcap é associada ao Instituto Ethos com direito a participar dos fóruns relacionados às questões ASG e utilizar a Ferramenta Ethos – que possibilita a gestão de indicadores e monitoramento da evolução ASG e do índice geral de sustentabilidade da empresa.</w:t>
      </w:r>
    </w:p>
    <w:p w14:paraId="333E697C" w14:textId="5534852E" w:rsidR="00313C3B" w:rsidRDefault="00313C3B" w:rsidP="00313C3B">
      <w:pPr>
        <w:pStyle w:val="05-Textonormal"/>
        <w:numPr>
          <w:ilvl w:val="0"/>
          <w:numId w:val="28"/>
        </w:numPr>
        <w:rPr>
          <w:rFonts w:cs="Arial"/>
          <w:bCs/>
        </w:rPr>
      </w:pPr>
      <w:r>
        <w:rPr>
          <w:b/>
          <w:bCs/>
        </w:rPr>
        <w:t>Ações contra a Covid-19:</w:t>
      </w:r>
      <w:r>
        <w:rPr>
          <w:rFonts w:cs="Arial"/>
        </w:rPr>
        <w:t xml:space="preserve"> </w:t>
      </w:r>
      <w:r w:rsidR="00070DC9">
        <w:rPr>
          <w:rFonts w:cs="Arial"/>
        </w:rPr>
        <w:t>a</w:t>
      </w:r>
      <w:r>
        <w:rPr>
          <w:rFonts w:cs="Arial"/>
        </w:rPr>
        <w:t xml:space="preserve"> Brasilcap ampliou sua atuação em responsabilidade social em resposta à crise sanitária deflagrada pela Covid-19, tendo apoiado, dentre outras, as ações “Adote um Leito UTI – Na Luta Contra o Coronavírus”</w:t>
      </w:r>
      <w:r>
        <w:rPr>
          <w:rFonts w:cs="Arial"/>
          <w:bCs/>
        </w:rPr>
        <w:t>, com a doação de recursos que contribuíram para a aquisição de respiradores, incubadoras, cama elétrica para UTI, cardioversor, monitor cardíaco, insumos hospitalares como EPI’s (máscaras, aventais e instrumentos cirúrgicos), bem como nos gastos com serviços de médicos, enfermeiros e assistentes. Outro destaque foi para o Programa Brasilcap Solidário, que completou 10 anos de história, reafirmando o viés solidário e transformador presente na trajetória da Companhia. Neste sentido, a parceria entre a Brasilcap e o Instituto da Criança viabilizou o apoio ao projeto Educação + Digital, visando minimizar o impacto econômico e social oriundos da pandemia na vida de jovens em situação de vulnerabilidade social, que dependiam de conexão digital para estudar. Todas as doações da Brasilcap - com a participação de colaboradores voluntários - foram destinadas ao custeio de internet de 2GB durante 12 meses para alunos e professores da rede pública de ensino no Rio de Janeiro, para uso em tablets doados anteriormente pelo projeto Educação + Digital.</w:t>
      </w:r>
    </w:p>
    <w:p w14:paraId="7C618C9D" w14:textId="77777777" w:rsidR="00313C3B" w:rsidRDefault="00313C3B" w:rsidP="00313C3B">
      <w:pPr>
        <w:pStyle w:val="05-Textonormal"/>
        <w:ind w:left="360"/>
        <w:rPr>
          <w:rFonts w:cs="Arial"/>
          <w:bCs/>
        </w:rPr>
      </w:pPr>
    </w:p>
    <w:p w14:paraId="455C69AE" w14:textId="77777777" w:rsidR="00313C3B" w:rsidRDefault="00313C3B" w:rsidP="00313C3B">
      <w:pPr>
        <w:pStyle w:val="05-Textonormal"/>
        <w:spacing w:after="0" w:line="240" w:lineRule="auto"/>
        <w:rPr>
          <w:rFonts w:cs="Arial"/>
        </w:rPr>
      </w:pPr>
      <w:r>
        <w:rPr>
          <w:rFonts w:cs="Arial"/>
        </w:rPr>
        <w:t>Mais informações relacionadas ao tema estão disponibilizadas no site da companhia (https://www.brasilcap.com.br/brasilcap/brasilcap/responsabilidade-socioambiental/responsabilidade-socioambiental.html).</w:t>
      </w:r>
    </w:p>
    <w:p w14:paraId="5C33D8F3" w14:textId="77777777" w:rsidR="00C81A16" w:rsidRDefault="00C81A16" w:rsidP="00C81A16">
      <w:pPr>
        <w:pStyle w:val="05-Textonormal"/>
        <w:ind w:left="720"/>
      </w:pPr>
    </w:p>
    <w:p w14:paraId="4C16C196"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PRINCIPAIS RECONHECIMENTOS</w:t>
      </w:r>
    </w:p>
    <w:p w14:paraId="3F069873" w14:textId="648B7754" w:rsidR="00C81A16" w:rsidRPr="00CB4344" w:rsidRDefault="00C81A16" w:rsidP="00C81A16">
      <w:pPr>
        <w:pStyle w:val="PargrafodaLista"/>
        <w:spacing w:before="120" w:after="120"/>
        <w:ind w:left="0"/>
        <w:jc w:val="both"/>
        <w:rPr>
          <w:rFonts w:ascii="Arial" w:hAnsi="Arial" w:cs="Arial"/>
          <w:sz w:val="18"/>
          <w:szCs w:val="18"/>
        </w:rPr>
      </w:pPr>
      <w:r w:rsidRPr="00CB4344">
        <w:rPr>
          <w:rFonts w:ascii="Arial" w:hAnsi="Arial" w:cs="Arial"/>
          <w:sz w:val="18"/>
          <w:szCs w:val="18"/>
        </w:rPr>
        <w:t xml:space="preserve">Abaixo, os principais prêmios e reconhecimentos recebidos </w:t>
      </w:r>
      <w:r w:rsidR="00CB4344" w:rsidRPr="00CB4344">
        <w:rPr>
          <w:rFonts w:ascii="Arial" w:hAnsi="Arial" w:cs="Arial"/>
          <w:sz w:val="18"/>
          <w:szCs w:val="18"/>
        </w:rPr>
        <w:t xml:space="preserve">em 2021 </w:t>
      </w:r>
      <w:r w:rsidRPr="00CB4344">
        <w:rPr>
          <w:rFonts w:ascii="Arial" w:hAnsi="Arial" w:cs="Arial"/>
          <w:sz w:val="18"/>
          <w:szCs w:val="18"/>
        </w:rPr>
        <w:t>pelas empresas que fazem parte do Grupo BB Seguridade:</w:t>
      </w:r>
    </w:p>
    <w:p w14:paraId="7B1336FC" w14:textId="77777777" w:rsidR="00C81A16" w:rsidRPr="00985AC5" w:rsidRDefault="00C81A16" w:rsidP="00C81A16">
      <w:pPr>
        <w:pStyle w:val="PargrafodaLista"/>
        <w:spacing w:before="120" w:after="120"/>
        <w:ind w:left="0"/>
        <w:jc w:val="both"/>
        <w:rPr>
          <w:rFonts w:ascii="Arial" w:eastAsia="Times New Roman" w:hAnsi="Arial" w:cs="Arial"/>
          <w:b/>
          <w:sz w:val="18"/>
          <w:szCs w:val="18"/>
          <w:highlight w:val="yellow"/>
          <w:lang w:eastAsia="pt-BR"/>
        </w:rPr>
      </w:pPr>
    </w:p>
    <w:p w14:paraId="2B315F21" w14:textId="77777777" w:rsidR="00C81A16" w:rsidRPr="00783390" w:rsidRDefault="00C81A16"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Brasilseg</w:t>
      </w:r>
    </w:p>
    <w:p w14:paraId="201B38F3" w14:textId="77777777" w:rsidR="00C81A16" w:rsidRPr="00985AC5" w:rsidRDefault="00C81A16" w:rsidP="00C81A16">
      <w:pPr>
        <w:pStyle w:val="PargrafodaLista"/>
        <w:spacing w:before="120" w:after="120"/>
        <w:ind w:left="360"/>
        <w:jc w:val="both"/>
        <w:rPr>
          <w:rFonts w:ascii="Arial" w:eastAsia="Times New Roman" w:hAnsi="Arial" w:cs="Arial"/>
          <w:b/>
          <w:sz w:val="18"/>
          <w:szCs w:val="18"/>
          <w:highlight w:val="yellow"/>
          <w:lang w:eastAsia="pt-BR"/>
        </w:rPr>
      </w:pPr>
    </w:p>
    <w:p w14:paraId="6C33A348" w14:textId="5AE612EC" w:rsidR="00F86F99" w:rsidRPr="00323AEB" w:rsidRDefault="00F86F99" w:rsidP="00F86F99">
      <w:pPr>
        <w:pStyle w:val="PargrafodaLista"/>
        <w:numPr>
          <w:ilvl w:val="0"/>
          <w:numId w:val="13"/>
        </w:numPr>
        <w:spacing w:after="0"/>
        <w:ind w:left="714" w:hanging="357"/>
        <w:jc w:val="both"/>
        <w:rPr>
          <w:rFonts w:ascii="Arial" w:hAnsi="Arial" w:cs="Arial"/>
          <w:b/>
          <w:bCs/>
          <w:sz w:val="18"/>
          <w:szCs w:val="18"/>
        </w:rPr>
      </w:pPr>
      <w:r w:rsidRPr="00323AEB">
        <w:rPr>
          <w:rFonts w:cs="Arial"/>
          <w:b/>
          <w:bCs/>
          <w:szCs w:val="18"/>
        </w:rPr>
        <w:t xml:space="preserve">Ranking 100 Open Corps 2021: </w:t>
      </w:r>
      <w:r w:rsidR="00070DC9">
        <w:rPr>
          <w:rFonts w:ascii="Arial" w:hAnsi="Arial" w:cs="Arial"/>
          <w:sz w:val="18"/>
          <w:szCs w:val="18"/>
        </w:rPr>
        <w:t>u</w:t>
      </w:r>
      <w:r w:rsidRPr="00323AEB">
        <w:rPr>
          <w:rFonts w:ascii="Arial" w:hAnsi="Arial" w:cs="Arial"/>
          <w:sz w:val="18"/>
          <w:szCs w:val="18"/>
        </w:rPr>
        <w:t xml:space="preserve">ma das corporações líderes em inovação aberta com startups pelo Ranking 100 Open Corps 2021, ficando no TOP 3 entre as seguradoras. O ranking reconhece as empresas que mais fazem </w:t>
      </w:r>
      <w:r w:rsidRPr="00F86F99">
        <w:rPr>
          <w:rFonts w:ascii="Arial" w:hAnsi="Arial" w:cs="Arial"/>
          <w:i/>
          <w:iCs/>
          <w:sz w:val="18"/>
          <w:szCs w:val="18"/>
        </w:rPr>
        <w:t>open innovation</w:t>
      </w:r>
      <w:r w:rsidRPr="00323AEB">
        <w:rPr>
          <w:rFonts w:ascii="Arial" w:hAnsi="Arial" w:cs="Arial"/>
          <w:sz w:val="18"/>
          <w:szCs w:val="18"/>
        </w:rPr>
        <w:t xml:space="preserve"> com </w:t>
      </w:r>
      <w:r w:rsidRPr="00055252">
        <w:rPr>
          <w:rFonts w:ascii="Arial" w:hAnsi="Arial" w:cs="Arial"/>
          <w:i/>
          <w:iCs/>
          <w:sz w:val="18"/>
          <w:szCs w:val="18"/>
        </w:rPr>
        <w:t>startups</w:t>
      </w:r>
      <w:r w:rsidRPr="00323AEB">
        <w:rPr>
          <w:rFonts w:ascii="Arial" w:hAnsi="Arial" w:cs="Arial"/>
          <w:sz w:val="18"/>
          <w:szCs w:val="18"/>
        </w:rPr>
        <w:t xml:space="preserve"> no Brasil, a fim de promover negócios e conexões. A companhia foi premiada por conta do Impulso Open, programa da Brasilseg que busca parcerias inovadoras capazes de transformar o mercado de seguros, simplificar processos e alcançar a excelência no relacionamento com o cliente.</w:t>
      </w:r>
    </w:p>
    <w:p w14:paraId="140BE184" w14:textId="77777777" w:rsidR="00F86F99" w:rsidRPr="00323AEB" w:rsidRDefault="00F86F99" w:rsidP="00F86F99">
      <w:pPr>
        <w:pStyle w:val="PargrafodaLista"/>
        <w:rPr>
          <w:rFonts w:ascii="Arial" w:hAnsi="Arial" w:cs="Arial"/>
          <w:b/>
          <w:bCs/>
          <w:sz w:val="18"/>
          <w:szCs w:val="18"/>
        </w:rPr>
      </w:pPr>
    </w:p>
    <w:p w14:paraId="26D74F35" w14:textId="4B8578A9" w:rsidR="00F86F99" w:rsidRPr="00323AEB" w:rsidRDefault="00F86F99" w:rsidP="00F86F99">
      <w:pPr>
        <w:pStyle w:val="PargrafodaLista"/>
        <w:numPr>
          <w:ilvl w:val="0"/>
          <w:numId w:val="13"/>
        </w:numPr>
        <w:spacing w:after="0"/>
        <w:ind w:left="714" w:hanging="357"/>
        <w:jc w:val="both"/>
        <w:rPr>
          <w:rFonts w:ascii="Arial" w:hAnsi="Arial" w:cs="Arial"/>
          <w:b/>
          <w:bCs/>
          <w:sz w:val="18"/>
          <w:szCs w:val="18"/>
        </w:rPr>
      </w:pPr>
      <w:r w:rsidRPr="00323AEB">
        <w:rPr>
          <w:rFonts w:ascii="Arial" w:hAnsi="Arial" w:cs="Arial"/>
          <w:b/>
          <w:bCs/>
          <w:sz w:val="18"/>
          <w:szCs w:val="18"/>
        </w:rPr>
        <w:t>Prêmio Clientes S/A</w:t>
      </w:r>
      <w:r>
        <w:rPr>
          <w:rFonts w:ascii="Arial" w:hAnsi="Arial" w:cs="Arial"/>
          <w:b/>
          <w:bCs/>
          <w:sz w:val="18"/>
          <w:szCs w:val="18"/>
        </w:rPr>
        <w:t xml:space="preserve">: </w:t>
      </w:r>
      <w:r w:rsidR="00070DC9">
        <w:rPr>
          <w:rFonts w:ascii="Arial" w:hAnsi="Arial" w:cs="Arial"/>
          <w:sz w:val="18"/>
          <w:szCs w:val="18"/>
        </w:rPr>
        <w:t>o</w:t>
      </w:r>
      <w:r w:rsidRPr="00323AEB">
        <w:rPr>
          <w:rFonts w:ascii="Arial" w:hAnsi="Arial" w:cs="Arial"/>
          <w:sz w:val="18"/>
          <w:szCs w:val="18"/>
        </w:rPr>
        <w:t xml:space="preserve"> </w:t>
      </w:r>
      <w:r w:rsidRPr="00F86F99">
        <w:rPr>
          <w:rFonts w:ascii="Arial" w:hAnsi="Arial" w:cs="Arial"/>
          <w:i/>
          <w:iCs/>
          <w:sz w:val="18"/>
          <w:szCs w:val="18"/>
        </w:rPr>
        <w:t>case</w:t>
      </w:r>
      <w:r w:rsidRPr="00323AEB">
        <w:rPr>
          <w:rFonts w:ascii="Arial" w:hAnsi="Arial" w:cs="Arial"/>
          <w:sz w:val="18"/>
          <w:szCs w:val="18"/>
        </w:rPr>
        <w:t xml:space="preserve"> Programa Voz do Cliente, </w:t>
      </w:r>
      <w:r>
        <w:rPr>
          <w:rFonts w:ascii="Arial" w:hAnsi="Arial" w:cs="Arial"/>
          <w:sz w:val="18"/>
          <w:szCs w:val="18"/>
        </w:rPr>
        <w:t>ganhou n</w:t>
      </w:r>
      <w:r w:rsidRPr="00323AEB">
        <w:rPr>
          <w:rFonts w:ascii="Arial" w:hAnsi="Arial" w:cs="Arial"/>
          <w:sz w:val="18"/>
          <w:szCs w:val="18"/>
        </w:rPr>
        <w:t>a categoria Líder em Projeto de Gestão de Clientes/CRM/CX/CS/CSM do Prêmio Clientes S/A, ocupando a 3ª posição do prêmio, que identifica e dá projeção às melhores práticas nas relações com o cliente no Brasil.</w:t>
      </w:r>
    </w:p>
    <w:p w14:paraId="2D067E52" w14:textId="77777777" w:rsidR="00F86F99" w:rsidRPr="00323AEB" w:rsidRDefault="00F86F99" w:rsidP="00F86F99">
      <w:pPr>
        <w:pStyle w:val="PargrafodaLista"/>
        <w:rPr>
          <w:rFonts w:ascii="Arial" w:hAnsi="Arial" w:cs="Arial"/>
          <w:b/>
          <w:bCs/>
          <w:sz w:val="18"/>
          <w:szCs w:val="18"/>
        </w:rPr>
      </w:pPr>
    </w:p>
    <w:p w14:paraId="767B19F1" w14:textId="4AAF1B7E" w:rsidR="00F86F99" w:rsidRPr="00B726D8" w:rsidRDefault="00F86F99" w:rsidP="009416B9">
      <w:pPr>
        <w:pStyle w:val="PargrafodaLista"/>
        <w:numPr>
          <w:ilvl w:val="0"/>
          <w:numId w:val="13"/>
        </w:numPr>
        <w:spacing w:after="0"/>
        <w:ind w:left="714" w:hanging="357"/>
        <w:jc w:val="both"/>
        <w:rPr>
          <w:rFonts w:ascii="Arial" w:hAnsi="Arial" w:cs="Arial"/>
          <w:sz w:val="18"/>
          <w:szCs w:val="18"/>
        </w:rPr>
      </w:pPr>
      <w:r w:rsidRPr="00B726D8">
        <w:rPr>
          <w:rFonts w:ascii="Arial" w:hAnsi="Arial" w:cs="Arial"/>
          <w:b/>
          <w:sz w:val="18"/>
          <w:szCs w:val="18"/>
        </w:rPr>
        <w:t>Ranking Inovação Brasil - Valor Econômico:</w:t>
      </w:r>
      <w:r w:rsidR="00B726D8">
        <w:rPr>
          <w:rFonts w:ascii="Arial" w:hAnsi="Arial" w:cs="Arial"/>
          <w:sz w:val="18"/>
          <w:szCs w:val="18"/>
        </w:rPr>
        <w:t xml:space="preserve"> </w:t>
      </w:r>
      <w:r w:rsidR="00DA43B6">
        <w:rPr>
          <w:rFonts w:ascii="Arial" w:hAnsi="Arial" w:cs="Arial"/>
          <w:sz w:val="18"/>
          <w:szCs w:val="18"/>
        </w:rPr>
        <w:t xml:space="preserve">a Brasilseg foi </w:t>
      </w:r>
      <w:r w:rsidR="00B726D8" w:rsidRPr="00B726D8">
        <w:rPr>
          <w:rFonts w:ascii="Arial" w:hAnsi="Arial" w:cs="Arial"/>
          <w:sz w:val="18"/>
          <w:szCs w:val="18"/>
        </w:rPr>
        <w:t xml:space="preserve">uma das quatro seguradoras mais inovadoras do país pelo </w:t>
      </w:r>
      <w:r w:rsidRPr="00B726D8">
        <w:rPr>
          <w:rFonts w:ascii="Arial" w:hAnsi="Arial" w:cs="Arial"/>
          <w:sz w:val="18"/>
          <w:szCs w:val="18"/>
        </w:rPr>
        <w:t xml:space="preserve">ranking Inovação Brasil, do Valor Econômico, o mais importante veículo de economia, finanças e negócios do Brasil. No ranking geral, </w:t>
      </w:r>
      <w:r w:rsidR="00B726D8">
        <w:rPr>
          <w:rFonts w:ascii="Arial" w:hAnsi="Arial" w:cs="Arial"/>
          <w:sz w:val="18"/>
          <w:szCs w:val="18"/>
        </w:rPr>
        <w:t>a companhia figurou</w:t>
      </w:r>
      <w:r w:rsidRPr="00B726D8">
        <w:rPr>
          <w:rFonts w:ascii="Arial" w:hAnsi="Arial" w:cs="Arial"/>
          <w:sz w:val="18"/>
          <w:szCs w:val="18"/>
        </w:rPr>
        <w:t xml:space="preserve"> entre as 100 empresas do país que mais investem e apoiam a inovação.</w:t>
      </w:r>
    </w:p>
    <w:p w14:paraId="6B9F190D" w14:textId="77777777" w:rsidR="00F86F99" w:rsidRPr="00323AEB" w:rsidRDefault="00F86F99" w:rsidP="00F86F99">
      <w:pPr>
        <w:pStyle w:val="PargrafodaLista"/>
        <w:rPr>
          <w:rFonts w:ascii="Arial" w:hAnsi="Arial" w:cs="Arial"/>
          <w:sz w:val="18"/>
          <w:szCs w:val="18"/>
        </w:rPr>
      </w:pPr>
    </w:p>
    <w:p w14:paraId="73567AC7" w14:textId="6036C09A" w:rsidR="00F86F99" w:rsidRPr="00783390" w:rsidRDefault="00F86F99"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Brasilprev</w:t>
      </w:r>
    </w:p>
    <w:p w14:paraId="2F87AE03" w14:textId="032B694F" w:rsidR="00F86F99" w:rsidRDefault="00F86F99" w:rsidP="00F86F99">
      <w:pPr>
        <w:spacing w:after="0"/>
        <w:jc w:val="both"/>
        <w:rPr>
          <w:rFonts w:eastAsia="Times New Roman" w:cs="Times New Roman"/>
          <w:b/>
          <w:color w:val="1F4E79" w:themeColor="accent1" w:themeShade="80"/>
          <w:spacing w:val="-2"/>
          <w:sz w:val="20"/>
          <w:szCs w:val="20"/>
          <w:lang w:eastAsia="pt-BR"/>
        </w:rPr>
      </w:pPr>
    </w:p>
    <w:p w14:paraId="05DAB52F" w14:textId="77777777" w:rsidR="00F86F99" w:rsidRPr="00B62F9D" w:rsidRDefault="00F86F99" w:rsidP="00F86F99">
      <w:pPr>
        <w:pStyle w:val="PargrafodaLista"/>
        <w:numPr>
          <w:ilvl w:val="0"/>
          <w:numId w:val="25"/>
        </w:numPr>
        <w:jc w:val="both"/>
        <w:rPr>
          <w:rFonts w:ascii="Arial" w:hAnsi="Arial" w:cs="Arial"/>
          <w:sz w:val="18"/>
          <w:szCs w:val="18"/>
        </w:rPr>
      </w:pPr>
      <w:r w:rsidRPr="00B62F9D">
        <w:rPr>
          <w:rFonts w:ascii="Arial" w:hAnsi="Arial" w:cs="Arial"/>
          <w:b/>
          <w:bCs/>
          <w:sz w:val="18"/>
          <w:szCs w:val="18"/>
        </w:rPr>
        <w:t>Guia de Previdência Valor/FGV 2021:</w:t>
      </w:r>
      <w:r w:rsidRPr="00B62F9D">
        <w:rPr>
          <w:rFonts w:ascii="Arial" w:hAnsi="Arial" w:cs="Arial"/>
          <w:sz w:val="18"/>
          <w:szCs w:val="18"/>
        </w:rPr>
        <w:t xml:space="preserve"> </w:t>
      </w:r>
      <w:r>
        <w:rPr>
          <w:rFonts w:ascii="Arial" w:hAnsi="Arial" w:cs="Arial"/>
          <w:sz w:val="18"/>
          <w:szCs w:val="18"/>
        </w:rPr>
        <w:t>a</w:t>
      </w:r>
      <w:r w:rsidRPr="00B62F9D">
        <w:rPr>
          <w:rFonts w:ascii="Arial" w:hAnsi="Arial" w:cs="Arial"/>
          <w:sz w:val="18"/>
          <w:szCs w:val="18"/>
        </w:rPr>
        <w:t xml:space="preserve"> Brasilprev foi reconhecida como a melhor empresa do setor em 4 categorias na edição especial do Guia de Previdência Valor/FGV 2021.  O estudo é realizado pelo jornal Valor Econômico em parceria com a Fundação Getúlio Vargas (FGV). (nov/2021). Abaixo todas as categorias:</w:t>
      </w:r>
    </w:p>
    <w:p w14:paraId="32656DA5" w14:textId="77777777" w:rsidR="00F86F99" w:rsidRPr="00B62F9D" w:rsidRDefault="00F86F99" w:rsidP="00F86F99">
      <w:pPr>
        <w:pStyle w:val="PargrafodaLista"/>
        <w:numPr>
          <w:ilvl w:val="1"/>
          <w:numId w:val="25"/>
        </w:numPr>
        <w:jc w:val="both"/>
        <w:rPr>
          <w:rFonts w:ascii="Arial" w:hAnsi="Arial" w:cs="Arial"/>
          <w:sz w:val="18"/>
          <w:szCs w:val="18"/>
        </w:rPr>
      </w:pPr>
      <w:r w:rsidRPr="00B62F9D">
        <w:rPr>
          <w:rFonts w:ascii="Arial" w:hAnsi="Arial" w:cs="Arial"/>
          <w:sz w:val="18"/>
          <w:szCs w:val="18"/>
        </w:rPr>
        <w:t>Melhor Gestora no período de 5 anos</w:t>
      </w:r>
    </w:p>
    <w:p w14:paraId="782C14CD" w14:textId="77777777" w:rsidR="00F86F99" w:rsidRPr="00B62F9D" w:rsidRDefault="00F86F99" w:rsidP="00F86F99">
      <w:pPr>
        <w:pStyle w:val="PargrafodaLista"/>
        <w:numPr>
          <w:ilvl w:val="1"/>
          <w:numId w:val="25"/>
        </w:numPr>
        <w:jc w:val="both"/>
        <w:rPr>
          <w:rFonts w:ascii="Arial" w:hAnsi="Arial" w:cs="Arial"/>
          <w:sz w:val="18"/>
          <w:szCs w:val="18"/>
        </w:rPr>
      </w:pPr>
      <w:r w:rsidRPr="00B62F9D">
        <w:rPr>
          <w:rFonts w:ascii="Arial" w:hAnsi="Arial" w:cs="Arial"/>
          <w:sz w:val="18"/>
          <w:szCs w:val="18"/>
        </w:rPr>
        <w:t>Melhor Gestora no período de 7 anos</w:t>
      </w:r>
    </w:p>
    <w:p w14:paraId="4E26EFB6" w14:textId="77777777" w:rsidR="00F86F99" w:rsidRPr="00B62F9D" w:rsidRDefault="00F86F99" w:rsidP="00F86F99">
      <w:pPr>
        <w:pStyle w:val="PargrafodaLista"/>
        <w:numPr>
          <w:ilvl w:val="1"/>
          <w:numId w:val="25"/>
        </w:numPr>
        <w:jc w:val="both"/>
        <w:rPr>
          <w:rFonts w:ascii="Arial" w:hAnsi="Arial" w:cs="Arial"/>
          <w:sz w:val="18"/>
          <w:szCs w:val="18"/>
        </w:rPr>
      </w:pPr>
      <w:r w:rsidRPr="00B62F9D">
        <w:rPr>
          <w:rFonts w:ascii="Arial" w:hAnsi="Arial" w:cs="Arial"/>
          <w:sz w:val="18"/>
          <w:szCs w:val="18"/>
        </w:rPr>
        <w:t>Melhor Gestora Previdência Data-Alvo</w:t>
      </w:r>
    </w:p>
    <w:p w14:paraId="46C7010B" w14:textId="77777777" w:rsidR="00F86F99" w:rsidRPr="00B62F9D" w:rsidRDefault="00F86F99" w:rsidP="00F86F99">
      <w:pPr>
        <w:pStyle w:val="PargrafodaLista"/>
        <w:numPr>
          <w:ilvl w:val="1"/>
          <w:numId w:val="25"/>
        </w:numPr>
        <w:jc w:val="both"/>
        <w:rPr>
          <w:rFonts w:ascii="Arial" w:hAnsi="Arial" w:cs="Arial"/>
          <w:sz w:val="18"/>
          <w:szCs w:val="18"/>
        </w:rPr>
      </w:pPr>
      <w:r w:rsidRPr="00B62F9D">
        <w:rPr>
          <w:rFonts w:ascii="Arial" w:hAnsi="Arial" w:cs="Arial"/>
          <w:sz w:val="18"/>
          <w:szCs w:val="18"/>
        </w:rPr>
        <w:t>Previdência Balanceados de 15-30</w:t>
      </w:r>
    </w:p>
    <w:p w14:paraId="5B7FDA5C" w14:textId="77777777" w:rsidR="00F86F99" w:rsidRPr="00B62F9D" w:rsidRDefault="00F86F99" w:rsidP="00F86F99">
      <w:pPr>
        <w:pStyle w:val="PargrafodaLista"/>
        <w:ind w:left="1692"/>
        <w:jc w:val="both"/>
        <w:rPr>
          <w:rFonts w:ascii="Arial" w:hAnsi="Arial" w:cs="Arial"/>
          <w:sz w:val="18"/>
          <w:szCs w:val="18"/>
        </w:rPr>
      </w:pPr>
    </w:p>
    <w:p w14:paraId="52E8F3AE" w14:textId="49D4B1C7" w:rsidR="00F86F99" w:rsidRPr="00B62F9D" w:rsidRDefault="00F86F99" w:rsidP="00F86F99">
      <w:pPr>
        <w:pStyle w:val="PargrafodaLista"/>
        <w:numPr>
          <w:ilvl w:val="0"/>
          <w:numId w:val="25"/>
        </w:numPr>
        <w:jc w:val="both"/>
        <w:rPr>
          <w:rFonts w:ascii="Arial" w:hAnsi="Arial" w:cs="Arial"/>
          <w:sz w:val="18"/>
          <w:szCs w:val="18"/>
        </w:rPr>
      </w:pPr>
      <w:r w:rsidRPr="00B62F9D">
        <w:rPr>
          <w:rFonts w:ascii="Arial" w:hAnsi="Arial" w:cs="Arial"/>
          <w:b/>
          <w:bCs/>
          <w:sz w:val="18"/>
          <w:szCs w:val="18"/>
        </w:rPr>
        <w:t>Empresas Mais do Estadão:</w:t>
      </w:r>
      <w:r w:rsidRPr="00B62F9D">
        <w:rPr>
          <w:rFonts w:ascii="Arial" w:hAnsi="Arial" w:cs="Arial"/>
          <w:sz w:val="18"/>
          <w:szCs w:val="18"/>
        </w:rPr>
        <w:t xml:space="preserve"> </w:t>
      </w:r>
      <w:r>
        <w:rPr>
          <w:rFonts w:ascii="Arial" w:hAnsi="Arial" w:cs="Arial"/>
          <w:sz w:val="18"/>
          <w:szCs w:val="18"/>
        </w:rPr>
        <w:t>p</w:t>
      </w:r>
      <w:r w:rsidRPr="00B62F9D">
        <w:rPr>
          <w:rFonts w:ascii="Arial" w:hAnsi="Arial" w:cs="Arial"/>
          <w:sz w:val="18"/>
          <w:szCs w:val="18"/>
        </w:rPr>
        <w:t xml:space="preserve">elo segundo ano consecutivo a Brasilprev foi a primeira colocada do segmento de </w:t>
      </w:r>
      <w:r w:rsidR="00DA43B6">
        <w:rPr>
          <w:rFonts w:ascii="Arial" w:hAnsi="Arial" w:cs="Arial"/>
          <w:sz w:val="18"/>
          <w:szCs w:val="18"/>
        </w:rPr>
        <w:t>s</w:t>
      </w:r>
      <w:r w:rsidRPr="00B62F9D">
        <w:rPr>
          <w:rFonts w:ascii="Arial" w:hAnsi="Arial" w:cs="Arial"/>
          <w:sz w:val="18"/>
          <w:szCs w:val="18"/>
        </w:rPr>
        <w:t xml:space="preserve">eguradoras do </w:t>
      </w:r>
      <w:r w:rsidR="00DA43B6">
        <w:rPr>
          <w:rFonts w:ascii="Arial" w:hAnsi="Arial" w:cs="Arial"/>
          <w:sz w:val="18"/>
          <w:szCs w:val="18"/>
        </w:rPr>
        <w:t>“</w:t>
      </w:r>
      <w:r w:rsidRPr="00B62F9D">
        <w:rPr>
          <w:rFonts w:ascii="Arial" w:hAnsi="Arial" w:cs="Arial"/>
          <w:sz w:val="18"/>
          <w:szCs w:val="18"/>
        </w:rPr>
        <w:t>Empresas Mais do Estadão</w:t>
      </w:r>
      <w:r w:rsidR="00DA43B6">
        <w:rPr>
          <w:rFonts w:ascii="Arial" w:hAnsi="Arial" w:cs="Arial"/>
          <w:sz w:val="18"/>
          <w:szCs w:val="18"/>
        </w:rPr>
        <w:t>”</w:t>
      </w:r>
      <w:r w:rsidRPr="00B62F9D">
        <w:rPr>
          <w:rFonts w:ascii="Arial" w:hAnsi="Arial" w:cs="Arial"/>
          <w:sz w:val="18"/>
          <w:szCs w:val="18"/>
        </w:rPr>
        <w:t xml:space="preserve">, premiação que avalia os critérios econômicos e a atuação de cada empresa nas áreas de Governança Corporativa e Inovação, apontando as empresas com melhor gestão e resultados do </w:t>
      </w:r>
      <w:r w:rsidR="00DA43B6">
        <w:rPr>
          <w:rFonts w:ascii="Arial" w:hAnsi="Arial" w:cs="Arial"/>
          <w:sz w:val="18"/>
          <w:szCs w:val="18"/>
        </w:rPr>
        <w:t>p</w:t>
      </w:r>
      <w:r w:rsidRPr="00B62F9D">
        <w:rPr>
          <w:rFonts w:ascii="Arial" w:hAnsi="Arial" w:cs="Arial"/>
          <w:sz w:val="18"/>
          <w:szCs w:val="18"/>
        </w:rPr>
        <w:t>aís. O ranking é criado pelo Estadão e conta com os parceiros Fia e Austin Rating. (nov/2021).</w:t>
      </w:r>
    </w:p>
    <w:p w14:paraId="3373A25D" w14:textId="685AA7A4" w:rsidR="005E3519" w:rsidRDefault="005E3519">
      <w:pPr>
        <w:rPr>
          <w:rFonts w:cs="Arial"/>
          <w:szCs w:val="18"/>
        </w:rPr>
      </w:pPr>
      <w:r>
        <w:rPr>
          <w:rFonts w:cs="Arial"/>
          <w:szCs w:val="18"/>
        </w:rPr>
        <w:br w:type="page"/>
      </w:r>
    </w:p>
    <w:p w14:paraId="7F05ADB7" w14:textId="77777777" w:rsidR="00C81A16" w:rsidRPr="00783390" w:rsidRDefault="00C81A16"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lastRenderedPageBreak/>
        <w:t>Brasilcap</w:t>
      </w:r>
    </w:p>
    <w:p w14:paraId="17E63D4B" w14:textId="77777777" w:rsidR="00C81A16" w:rsidRPr="00985AC5" w:rsidRDefault="00C81A16" w:rsidP="00C81A16">
      <w:pPr>
        <w:pStyle w:val="PargrafodaLista"/>
        <w:spacing w:after="0" w:line="240" w:lineRule="auto"/>
        <w:jc w:val="both"/>
        <w:rPr>
          <w:rFonts w:ascii="Arial" w:hAnsi="Arial" w:cs="Arial"/>
          <w:b/>
          <w:bCs/>
          <w:sz w:val="18"/>
          <w:szCs w:val="18"/>
          <w:highlight w:val="yellow"/>
        </w:rPr>
      </w:pPr>
    </w:p>
    <w:p w14:paraId="7D1C0B59" w14:textId="77777777" w:rsidR="00F86F99" w:rsidRDefault="00F86F99" w:rsidP="00F86F99">
      <w:pPr>
        <w:pStyle w:val="PargrafodaLista"/>
        <w:numPr>
          <w:ilvl w:val="0"/>
          <w:numId w:val="26"/>
        </w:numPr>
        <w:spacing w:after="0"/>
        <w:ind w:left="714" w:hanging="357"/>
        <w:jc w:val="both"/>
        <w:rPr>
          <w:rFonts w:ascii="Arial" w:hAnsi="Arial" w:cs="Arial"/>
          <w:sz w:val="18"/>
          <w:szCs w:val="18"/>
        </w:rPr>
      </w:pPr>
      <w:r>
        <w:rPr>
          <w:rFonts w:ascii="Arial" w:hAnsi="Arial" w:cs="Arial"/>
          <w:b/>
          <w:bCs/>
          <w:sz w:val="18"/>
          <w:szCs w:val="18"/>
        </w:rPr>
        <w:t>Certificado de Empresa Cidadã:</w:t>
      </w:r>
      <w:r>
        <w:rPr>
          <w:rFonts w:ascii="Arial" w:hAnsi="Arial" w:cs="Arial"/>
          <w:sz w:val="18"/>
          <w:szCs w:val="18"/>
        </w:rPr>
        <w:t xml:space="preserve"> pelo décimo primeiro ano consecutivo, a Brasilcap conquistou o Certificado de Empresa Cidadã. Em sua 19ª edição, a iniciativa do Conselho Regional de Contabilidade do Rio de Janeiro (CRCRJ) visa incentivar a excelência na qualidade das informações contábeis e socioambientais, publicadas nos relatórios anuais de empresas de todos os portes e segmentos do país; </w:t>
      </w:r>
    </w:p>
    <w:p w14:paraId="37EC56F5" w14:textId="77777777" w:rsidR="00F86F99" w:rsidRDefault="00F86F99" w:rsidP="00F86F99">
      <w:pPr>
        <w:spacing w:after="0"/>
        <w:ind w:left="714" w:hanging="357"/>
        <w:jc w:val="both"/>
        <w:rPr>
          <w:rFonts w:cs="Arial"/>
          <w:b/>
          <w:bCs/>
          <w:szCs w:val="18"/>
        </w:rPr>
      </w:pPr>
    </w:p>
    <w:p w14:paraId="00D0D823" w14:textId="77777777" w:rsidR="00F86F99" w:rsidRDefault="00F86F99" w:rsidP="00F86F99">
      <w:pPr>
        <w:pStyle w:val="PargrafodaLista"/>
        <w:numPr>
          <w:ilvl w:val="0"/>
          <w:numId w:val="26"/>
        </w:numPr>
        <w:spacing w:after="0"/>
        <w:ind w:left="709" w:hanging="357"/>
        <w:jc w:val="both"/>
        <w:rPr>
          <w:rFonts w:ascii="Arial" w:hAnsi="Arial" w:cs="Arial"/>
          <w:sz w:val="18"/>
          <w:szCs w:val="18"/>
        </w:rPr>
      </w:pPr>
      <w:r>
        <w:rPr>
          <w:rFonts w:ascii="Arial" w:hAnsi="Arial" w:cs="Arial"/>
          <w:b/>
          <w:bCs/>
          <w:sz w:val="18"/>
          <w:szCs w:val="18"/>
        </w:rPr>
        <w:t xml:space="preserve">Prêmio Consumidor Moderno: </w:t>
      </w:r>
      <w:r>
        <w:rPr>
          <w:rFonts w:ascii="Arial" w:hAnsi="Arial" w:cs="Arial"/>
          <w:sz w:val="18"/>
          <w:szCs w:val="18"/>
        </w:rPr>
        <w:t>a Brasilcap foi a vencedora, pelo segundo ano consecutivo, da 22ª edição do "</w:t>
      </w:r>
      <w:r>
        <w:rPr>
          <w:rFonts w:ascii="Tahoma" w:hAnsi="Tahoma" w:cs="Tahoma"/>
          <w:sz w:val="18"/>
          <w:szCs w:val="18"/>
        </w:rPr>
        <w:t>﻿﻿</w:t>
      </w:r>
      <w:r>
        <w:rPr>
          <w:rFonts w:ascii="Arial" w:hAnsi="Arial" w:cs="Arial"/>
          <w:sz w:val="18"/>
          <w:szCs w:val="18"/>
        </w:rPr>
        <w:t>Prêmio Consumidor Moderno de Excelência em Serviços ao Cliente"</w:t>
      </w:r>
      <w:r>
        <w:rPr>
          <w:rFonts w:ascii="Tahoma" w:hAnsi="Tahoma" w:cs="Tahoma"/>
          <w:sz w:val="18"/>
          <w:szCs w:val="18"/>
        </w:rPr>
        <w:t>﻿</w:t>
      </w:r>
      <w:r>
        <w:rPr>
          <w:rFonts w:ascii="Arial" w:hAnsi="Arial" w:cs="Arial"/>
          <w:sz w:val="18"/>
          <w:szCs w:val="18"/>
        </w:rPr>
        <w:t>, no segmento Previdência e Capitalização. O Prêmio é uma iniciativa da Revista Consumidor Moderno, em parceria com o Centro de Inteligência Padrão (CIP) e com a OnYou. O processo de análise envolveu três fases, com abordagens distintas, que garantiram a avaliação de diferentes aspectos do atendimento prestado pela Companhia. Este prêmio é referendado como o "</w:t>
      </w:r>
      <w:r>
        <w:rPr>
          <w:rFonts w:ascii="Tahoma" w:hAnsi="Tahoma" w:cs="Tahoma"/>
          <w:sz w:val="18"/>
          <w:szCs w:val="18"/>
        </w:rPr>
        <w:t>﻿</w:t>
      </w:r>
      <w:r>
        <w:rPr>
          <w:rFonts w:ascii="Arial" w:hAnsi="Arial" w:cs="Arial"/>
          <w:sz w:val="18"/>
          <w:szCs w:val="18"/>
        </w:rPr>
        <w:t>Oscar"</w:t>
      </w:r>
      <w:r>
        <w:rPr>
          <w:rFonts w:ascii="Tahoma" w:hAnsi="Tahoma" w:cs="Tahoma"/>
          <w:sz w:val="18"/>
          <w:szCs w:val="18"/>
        </w:rPr>
        <w:t>﻿</w:t>
      </w:r>
      <w:r>
        <w:rPr>
          <w:rFonts w:ascii="Arial" w:hAnsi="Arial" w:cs="Arial"/>
          <w:sz w:val="18"/>
          <w:szCs w:val="18"/>
        </w:rPr>
        <w:t> brasileiro para a excelência corporativa na gestão de clientes e consumidores.</w:t>
      </w:r>
    </w:p>
    <w:p w14:paraId="6700761A" w14:textId="77777777" w:rsidR="00F86F99" w:rsidRDefault="00F86F99" w:rsidP="00F86F99">
      <w:pPr>
        <w:pStyle w:val="PargrafodaLista"/>
        <w:rPr>
          <w:rFonts w:ascii="Arial" w:hAnsi="Arial" w:cs="Arial"/>
          <w:sz w:val="18"/>
          <w:szCs w:val="18"/>
        </w:rPr>
      </w:pPr>
    </w:p>
    <w:p w14:paraId="17BFB6EA" w14:textId="31633A50" w:rsidR="00F86F99" w:rsidRDefault="00F86F99" w:rsidP="00F86F99">
      <w:pPr>
        <w:pStyle w:val="PargrafodaLista"/>
        <w:numPr>
          <w:ilvl w:val="0"/>
          <w:numId w:val="26"/>
        </w:numPr>
        <w:spacing w:after="150"/>
        <w:ind w:left="714" w:hanging="357"/>
        <w:jc w:val="both"/>
        <w:rPr>
          <w:rFonts w:ascii="Arial" w:hAnsi="Arial" w:cs="Arial"/>
          <w:sz w:val="18"/>
          <w:szCs w:val="18"/>
        </w:rPr>
      </w:pPr>
      <w:r>
        <w:rPr>
          <w:rFonts w:ascii="Arial" w:hAnsi="Arial" w:cs="Arial"/>
          <w:b/>
          <w:bCs/>
          <w:sz w:val="18"/>
          <w:szCs w:val="18"/>
        </w:rPr>
        <w:t xml:space="preserve">Empresas Mais: </w:t>
      </w:r>
      <w:r>
        <w:rPr>
          <w:rFonts w:ascii="Arial" w:hAnsi="Arial" w:cs="Arial"/>
          <w:sz w:val="18"/>
          <w:szCs w:val="18"/>
        </w:rPr>
        <w:t>a Brasilcap ficou entre as três melhores na categoria “Serviços Financeiros – Capitalização” do prêmio Empresas Mais, realizado pelo jornal O Estado de São Paulo. O prêmio tem como objetivo valorizar as melhores práticas de inovação e governança. Este é o quinto ano consecutivo que a Brasilcap recebe esta premiação.</w:t>
      </w:r>
    </w:p>
    <w:p w14:paraId="5BB0722F" w14:textId="157297CC" w:rsidR="005E3519" w:rsidRDefault="005E3519">
      <w:pPr>
        <w:rPr>
          <w:rFonts w:cs="Arial"/>
          <w:sz w:val="22"/>
        </w:rPr>
      </w:pPr>
      <w:r>
        <w:rPr>
          <w:rFonts w:cs="Arial"/>
          <w:sz w:val="22"/>
        </w:rPr>
        <w:br w:type="page"/>
      </w:r>
    </w:p>
    <w:p w14:paraId="1B1961A6"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lastRenderedPageBreak/>
        <w:t>INFORMAÇÕES LEGAIS</w:t>
      </w:r>
    </w:p>
    <w:p w14:paraId="37C3D859" w14:textId="77777777" w:rsidR="00C81A16" w:rsidRDefault="00C81A16" w:rsidP="00C81A16">
      <w:pPr>
        <w:pStyle w:val="01-Textonormal"/>
      </w:pPr>
    </w:p>
    <w:p w14:paraId="6F4FAD43" w14:textId="00CE976C" w:rsidR="00C81A16" w:rsidRPr="00DB0FF9" w:rsidRDefault="00C81A16" w:rsidP="00C81A16">
      <w:pPr>
        <w:pStyle w:val="05-Textonormal"/>
        <w:rPr>
          <w:rFonts w:cs="Arial"/>
        </w:rPr>
      </w:pPr>
      <w:r w:rsidRPr="00DB0FF9">
        <w:rPr>
          <w:rFonts w:cs="Arial"/>
        </w:rPr>
        <w:t>No encerramento do exercício de 202</w:t>
      </w:r>
      <w:r w:rsidR="00DB0FF9" w:rsidRPr="00DB0FF9">
        <w:rPr>
          <w:rFonts w:cs="Arial"/>
        </w:rPr>
        <w:t>1</w:t>
      </w:r>
      <w:r w:rsidRPr="00DB0FF9">
        <w:rPr>
          <w:rFonts w:cs="Arial"/>
        </w:rPr>
        <w:t>, a BB Seguridade não registrou endividamento financeiro em suas demonstrações financeiras. A fonte de obtenção de recursos era constituída por capital próprio</w:t>
      </w:r>
      <w:r w:rsidR="00472291">
        <w:rPr>
          <w:rFonts w:cs="Arial"/>
        </w:rPr>
        <w:t>.</w:t>
      </w:r>
    </w:p>
    <w:p w14:paraId="5EB6E8DC" w14:textId="77777777" w:rsidR="00C81A16" w:rsidRPr="00DB0FF9" w:rsidRDefault="00C81A16" w:rsidP="00C81A16">
      <w:pPr>
        <w:pStyle w:val="05-Textonormal"/>
        <w:rPr>
          <w:rFonts w:cs="Arial"/>
        </w:rPr>
      </w:pPr>
      <w:r w:rsidRPr="00DB0FF9">
        <w:rPr>
          <w:rFonts w:cs="Arial"/>
        </w:rPr>
        <w:t>Os investimentos de suas companhias investidas seguirão seu fluxo normal de execução, de acordo com planos individuais estruturados por cada empresa.</w:t>
      </w:r>
    </w:p>
    <w:p w14:paraId="2A103423" w14:textId="690D6874" w:rsidR="00C81A16" w:rsidRPr="00DB0FF9" w:rsidRDefault="00C81A16" w:rsidP="00C81A16">
      <w:pPr>
        <w:pStyle w:val="05-Textonormal"/>
        <w:rPr>
          <w:rFonts w:cs="Arial"/>
        </w:rPr>
      </w:pPr>
      <w:r w:rsidRPr="00DB0FF9">
        <w:rPr>
          <w:rFonts w:cs="Arial"/>
        </w:rPr>
        <w:t>Em consonância com a Instrução CVM nº 381/03, informamos que durante o exercício de 202</w:t>
      </w:r>
      <w:r w:rsidR="00DB0FF9" w:rsidRPr="00DB0FF9">
        <w:rPr>
          <w:rFonts w:cs="Arial"/>
        </w:rPr>
        <w:t>1</w:t>
      </w:r>
      <w:r w:rsidRPr="00DB0FF9">
        <w:rPr>
          <w:rFonts w:cs="Arial"/>
        </w:rPr>
        <w:t xml:space="preserve"> a BB Seguridade utilizou os serviços de auditoria independente da Deloitte Touche Tohmatsu Auditores Independentes (“Deloitte”), por meio de contrato firmado pelo seu controlador, o Banco do Brasil S.A.</w:t>
      </w:r>
    </w:p>
    <w:p w14:paraId="4AACF1FD" w14:textId="7ED349B2" w:rsidR="00C81A16" w:rsidRPr="00DB0FF9" w:rsidRDefault="00C81A16" w:rsidP="00C81A16">
      <w:pPr>
        <w:pStyle w:val="05-Textonormal"/>
        <w:rPr>
          <w:rFonts w:cs="Arial"/>
        </w:rPr>
      </w:pPr>
      <w:r w:rsidRPr="00DB0FF9">
        <w:rPr>
          <w:rFonts w:cs="Arial"/>
        </w:rPr>
        <w:t>Ainda, a BB Seguridade e suas subsidiárias informam que a Deloitte Touche Tohmatsu Auditores Independente não prestou, em 202</w:t>
      </w:r>
      <w:r w:rsidR="00DB0FF9" w:rsidRPr="00DB0FF9">
        <w:rPr>
          <w:rFonts w:cs="Arial"/>
        </w:rPr>
        <w:t>1</w:t>
      </w:r>
      <w:r w:rsidRPr="00DB0FF9">
        <w:rPr>
          <w:rFonts w:cs="Arial"/>
        </w:rPr>
        <w:t xml:space="preserve">, serviços que pudessem afetar sua independência em relação aos trabalhos de auditoria, comprovada por meio de Carta de Independência apresentada à BB Seguridade. </w:t>
      </w:r>
    </w:p>
    <w:p w14:paraId="67CC577E" w14:textId="77777777" w:rsidR="00C81A16" w:rsidRPr="00DB0FF9" w:rsidRDefault="00C81A16" w:rsidP="00C81A16">
      <w:pPr>
        <w:pStyle w:val="05-Textonormal"/>
        <w:rPr>
          <w:rFonts w:cs="Arial"/>
        </w:rPr>
      </w:pPr>
      <w:r w:rsidRPr="00DB0FF9">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(ii) o auditor não deve atuar gerencialmente perante seu cliente, nem tampouco promover os interesses dele.</w:t>
      </w:r>
    </w:p>
    <w:p w14:paraId="70DEEDC8" w14:textId="62E90EFA" w:rsidR="00C81A16" w:rsidRPr="00DB0FF9" w:rsidRDefault="00C81A16" w:rsidP="00C81A16">
      <w:pPr>
        <w:pStyle w:val="05-Textonormal"/>
        <w:rPr>
          <w:rFonts w:cs="Arial"/>
        </w:rPr>
      </w:pPr>
      <w:r w:rsidRPr="00DB0FF9">
        <w:rPr>
          <w:rFonts w:cs="Arial"/>
        </w:rPr>
        <w:t>A tabela abaixo apresenta a relação de contratos de prestação de serviços que estiveram vigentes durante o ano de 202</w:t>
      </w:r>
      <w:r w:rsidR="00DB0FF9" w:rsidRPr="00DB0FF9">
        <w:rPr>
          <w:rFonts w:cs="Arial"/>
        </w:rPr>
        <w:t>1</w:t>
      </w:r>
      <w:r w:rsidRPr="00DB0FF9">
        <w:rPr>
          <w:rFonts w:cs="Arial"/>
        </w:rPr>
        <w:t xml:space="preserve"> entre a Deloitte e as empresas investidas e controladora da BB Seguridade:</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C81A16" w:rsidRPr="000A0843" w14:paraId="74B978A3" w14:textId="77777777" w:rsidTr="00C81A1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355019A" w14:textId="77777777" w:rsidR="00C81A16" w:rsidRPr="00DE647D" w:rsidRDefault="00C81A16">
            <w:pPr>
              <w:pStyle w:val="08-Tabelageral"/>
              <w:jc w:val="center"/>
              <w:rPr>
                <w:rFonts w:cs="Arial"/>
                <w:szCs w:val="14"/>
                <w:lang w:eastAsia="en-US"/>
              </w:rPr>
            </w:pPr>
            <w:r w:rsidRPr="00DE647D">
              <w:rPr>
                <w:rFonts w:cs="Arial"/>
                <w:bCs w:val="0"/>
                <w:szCs w:val="14"/>
                <w:lang w:eastAsia="en-US"/>
              </w:rPr>
              <w:t>Contratante</w:t>
            </w:r>
          </w:p>
        </w:tc>
        <w:tc>
          <w:tcPr>
            <w:tcW w:w="2031"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5F2B32CE" w14:textId="77777777" w:rsidR="00C81A16" w:rsidRPr="00DE647D" w:rsidRDefault="00C81A16">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Datas do Contrato</w:t>
            </w:r>
          </w:p>
        </w:tc>
        <w:tc>
          <w:tcPr>
            <w:tcW w:w="364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748FC14" w14:textId="77777777" w:rsidR="00C81A16" w:rsidRPr="00DE647D" w:rsidRDefault="00C81A16">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Natureza do Serviço</w:t>
            </w:r>
          </w:p>
        </w:tc>
        <w:tc>
          <w:tcPr>
            <w:tcW w:w="127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5FB4CAD" w14:textId="77777777" w:rsidR="00C81A16" w:rsidRPr="00DE647D" w:rsidRDefault="00C81A16">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Valor total dos honorários (R$)</w:t>
            </w:r>
          </w:p>
        </w:tc>
      </w:tr>
      <w:tr w:rsidR="00C81A16" w:rsidRPr="000A0843" w14:paraId="1CED700F"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8EAADB" w:themeColor="accent5" w:themeTint="99"/>
              <w:right w:val="nil"/>
            </w:tcBorders>
            <w:vAlign w:val="center"/>
            <w:hideMark/>
          </w:tcPr>
          <w:p w14:paraId="0A5605B8" w14:textId="77777777" w:rsidR="00C81A16" w:rsidRPr="00DE647D" w:rsidRDefault="00C81A16">
            <w:pPr>
              <w:rPr>
                <w:rFonts w:eastAsia="Times New Roman" w:cs="Arial"/>
                <w:spacing w:val="-2"/>
                <w:sz w:val="14"/>
                <w:szCs w:val="14"/>
              </w:rPr>
            </w:pPr>
          </w:p>
        </w:tc>
        <w:tc>
          <w:tcPr>
            <w:tcW w:w="1015" w:type="dxa"/>
            <w:tcBorders>
              <w:top w:val="nil"/>
              <w:left w:val="nil"/>
              <w:bottom w:val="single" w:sz="2" w:space="0" w:color="8EAADB" w:themeColor="accent5" w:themeTint="99"/>
              <w:right w:val="nil"/>
            </w:tcBorders>
            <w:hideMark/>
          </w:tcPr>
          <w:p w14:paraId="21262B1A" w14:textId="77777777"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DE647D">
              <w:rPr>
                <w:rFonts w:cs="Arial"/>
                <w:b/>
                <w:szCs w:val="14"/>
                <w:lang w:eastAsia="en-US"/>
              </w:rPr>
              <w:t>Início</w:t>
            </w:r>
          </w:p>
        </w:tc>
        <w:tc>
          <w:tcPr>
            <w:tcW w:w="1016" w:type="dxa"/>
            <w:tcBorders>
              <w:top w:val="nil"/>
              <w:left w:val="nil"/>
              <w:bottom w:val="single" w:sz="2" w:space="0" w:color="8EAADB" w:themeColor="accent5" w:themeTint="99"/>
              <w:right w:val="nil"/>
            </w:tcBorders>
            <w:hideMark/>
          </w:tcPr>
          <w:p w14:paraId="50505451" w14:textId="77777777" w:rsidR="00C81A16" w:rsidRPr="00DE647D" w:rsidRDefault="00C81A16">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E647D">
              <w:rPr>
                <w:rFonts w:cs="Arial"/>
                <w:b/>
                <w:szCs w:val="14"/>
                <w:lang w:eastAsia="en-US"/>
              </w:rPr>
              <w:t>Fim</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34BF9965" w14:textId="77777777" w:rsidR="00C81A16" w:rsidRPr="00DE647D" w:rsidRDefault="00C81A16">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356C75BC" w14:textId="77777777" w:rsidR="00C81A16" w:rsidRPr="00DE647D" w:rsidRDefault="00C81A16">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C81A16" w:rsidRPr="000A0843" w14:paraId="01097B18" w14:textId="77777777" w:rsidTr="00C81A16">
        <w:trPr>
          <w:trHeight w:hRule="exact" w:val="976"/>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5BF0C338" w14:textId="77777777" w:rsidR="00C81A16" w:rsidRPr="00DE647D" w:rsidRDefault="00C81A16">
            <w:pPr>
              <w:pStyle w:val="08-Tabelageral"/>
              <w:jc w:val="left"/>
              <w:rPr>
                <w:rFonts w:cs="Arial"/>
                <w:b w:val="0"/>
                <w:snapToGrid w:val="0"/>
                <w:szCs w:val="14"/>
                <w:lang w:eastAsia="en-US"/>
              </w:rPr>
            </w:pPr>
            <w:r w:rsidRPr="00DE647D">
              <w:rPr>
                <w:rFonts w:cs="Arial"/>
                <w:b w:val="0"/>
                <w:szCs w:val="14"/>
                <w:lang w:eastAsia="en-US"/>
              </w:rPr>
              <w:t>Banco do Brasil S.A.</w:t>
            </w:r>
          </w:p>
        </w:tc>
        <w:tc>
          <w:tcPr>
            <w:tcW w:w="1015" w:type="dxa"/>
            <w:tcBorders>
              <w:top w:val="nil"/>
              <w:left w:val="nil"/>
              <w:bottom w:val="nil"/>
              <w:right w:val="nil"/>
            </w:tcBorders>
            <w:vAlign w:val="center"/>
            <w:hideMark/>
          </w:tcPr>
          <w:p w14:paraId="3E7E1808" w14:textId="77777777" w:rsidR="00C81A16" w:rsidRPr="00DE647D"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22/03/2019</w:t>
            </w:r>
          </w:p>
        </w:tc>
        <w:tc>
          <w:tcPr>
            <w:tcW w:w="1016" w:type="dxa"/>
            <w:tcBorders>
              <w:top w:val="nil"/>
              <w:left w:val="nil"/>
              <w:bottom w:val="nil"/>
              <w:right w:val="nil"/>
            </w:tcBorders>
            <w:vAlign w:val="center"/>
            <w:hideMark/>
          </w:tcPr>
          <w:p w14:paraId="066CB8D6" w14:textId="08B96607" w:rsidR="00C81A16" w:rsidRPr="00DE647D"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22/03/202</w:t>
            </w:r>
            <w:r w:rsidR="00DE647D" w:rsidRPr="00DE647D">
              <w:rPr>
                <w:rFonts w:cs="Arial"/>
                <w:szCs w:val="14"/>
                <w:lang w:eastAsia="en-US"/>
              </w:rPr>
              <w:t>2</w:t>
            </w:r>
          </w:p>
        </w:tc>
        <w:tc>
          <w:tcPr>
            <w:tcW w:w="3640" w:type="dxa"/>
            <w:tcBorders>
              <w:top w:val="nil"/>
              <w:left w:val="nil"/>
              <w:bottom w:val="nil"/>
              <w:right w:val="nil"/>
            </w:tcBorders>
            <w:vAlign w:val="center"/>
            <w:hideMark/>
          </w:tcPr>
          <w:p w14:paraId="13FB99A0" w14:textId="77777777" w:rsidR="00C81A16" w:rsidRPr="00DE647D"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Serviços de auditoria contábil sobre as demonstrações contábeis do Conglomerado Banco do Brasil, elaboradas de acordo com as práticas contábeis adotadas no Brasil e com as normas internacionais de contabilidade (IFRS) e de outros serviços correlatos</w:t>
            </w:r>
          </w:p>
        </w:tc>
        <w:tc>
          <w:tcPr>
            <w:tcW w:w="1274" w:type="dxa"/>
            <w:tcBorders>
              <w:top w:val="nil"/>
              <w:left w:val="nil"/>
              <w:bottom w:val="nil"/>
              <w:right w:val="nil"/>
            </w:tcBorders>
            <w:vAlign w:val="center"/>
            <w:hideMark/>
          </w:tcPr>
          <w:p w14:paraId="36414539" w14:textId="1B05C717" w:rsidR="00C81A16" w:rsidRPr="00DE647D" w:rsidRDefault="00C81A16">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DE647D">
              <w:rPr>
                <w:rFonts w:cs="Arial"/>
                <w:sz w:val="14"/>
                <w:szCs w:val="14"/>
              </w:rPr>
              <w:t>1</w:t>
            </w:r>
            <w:r w:rsidR="00DE647D" w:rsidRPr="00DE647D">
              <w:rPr>
                <w:rFonts w:cs="Arial"/>
                <w:sz w:val="14"/>
                <w:szCs w:val="14"/>
              </w:rPr>
              <w:t>8</w:t>
            </w:r>
            <w:r w:rsidRPr="00DE647D">
              <w:rPr>
                <w:rFonts w:cs="Arial"/>
                <w:sz w:val="14"/>
                <w:szCs w:val="14"/>
              </w:rPr>
              <w:t>.</w:t>
            </w:r>
            <w:r w:rsidR="00DE647D" w:rsidRPr="00DE647D">
              <w:rPr>
                <w:rFonts w:cs="Arial"/>
                <w:sz w:val="14"/>
                <w:szCs w:val="14"/>
              </w:rPr>
              <w:t>182</w:t>
            </w:r>
            <w:r w:rsidRPr="00DE647D">
              <w:rPr>
                <w:rFonts w:cs="Arial"/>
                <w:sz w:val="14"/>
                <w:szCs w:val="14"/>
              </w:rPr>
              <w:t>.</w:t>
            </w:r>
            <w:r w:rsidR="00DE647D" w:rsidRPr="00DE647D">
              <w:rPr>
                <w:rFonts w:cs="Arial"/>
                <w:sz w:val="14"/>
                <w:szCs w:val="14"/>
              </w:rPr>
              <w:t>758</w:t>
            </w:r>
            <w:r w:rsidRPr="00DE647D">
              <w:rPr>
                <w:rFonts w:cs="Arial"/>
                <w:sz w:val="14"/>
                <w:szCs w:val="14"/>
              </w:rPr>
              <w:t>,</w:t>
            </w:r>
            <w:r w:rsidR="00DE647D" w:rsidRPr="00DE647D">
              <w:rPr>
                <w:rFonts w:cs="Arial"/>
                <w:sz w:val="14"/>
                <w:szCs w:val="14"/>
              </w:rPr>
              <w:t>13</w:t>
            </w:r>
          </w:p>
        </w:tc>
      </w:tr>
      <w:tr w:rsidR="00C81A16" w:rsidRPr="00DE647D" w14:paraId="11DF2744" w14:textId="77777777" w:rsidTr="00C81A16">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63C403F6" w14:textId="77777777" w:rsidR="00C81A16" w:rsidRPr="00DE647D" w:rsidRDefault="00C81A16">
            <w:pPr>
              <w:pStyle w:val="08-Tabelageral"/>
              <w:jc w:val="left"/>
              <w:rPr>
                <w:rFonts w:cs="Arial"/>
                <w:b w:val="0"/>
                <w:snapToGrid w:val="0"/>
                <w:szCs w:val="14"/>
                <w:lang w:eastAsia="en-US"/>
              </w:rPr>
            </w:pPr>
            <w:r w:rsidRPr="00DE647D">
              <w:rPr>
                <w:rFonts w:cs="Arial"/>
                <w:b w:val="0"/>
                <w:szCs w:val="14"/>
                <w:lang w:eastAsia="en-US"/>
              </w:rPr>
              <w:t>Brasilcap Capitalização S.A.</w:t>
            </w:r>
          </w:p>
        </w:tc>
        <w:tc>
          <w:tcPr>
            <w:tcW w:w="1015" w:type="dxa"/>
            <w:tcBorders>
              <w:top w:val="nil"/>
              <w:left w:val="nil"/>
              <w:bottom w:val="nil"/>
              <w:right w:val="nil"/>
            </w:tcBorders>
            <w:vAlign w:val="center"/>
            <w:hideMark/>
          </w:tcPr>
          <w:p w14:paraId="71D8CFB4" w14:textId="3620C9A3" w:rsidR="00C81A16" w:rsidRPr="00DE647D" w:rsidRDefault="00DE647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26</w:t>
            </w:r>
            <w:r w:rsidR="00C81A16" w:rsidRPr="00DE647D">
              <w:rPr>
                <w:rFonts w:cs="Arial"/>
                <w:szCs w:val="14"/>
                <w:lang w:eastAsia="en-US"/>
              </w:rPr>
              <w:t>/04/20</w:t>
            </w:r>
            <w:r w:rsidRPr="00DE647D">
              <w:rPr>
                <w:rFonts w:cs="Arial"/>
                <w:szCs w:val="14"/>
                <w:lang w:eastAsia="en-US"/>
              </w:rPr>
              <w:t>21</w:t>
            </w:r>
          </w:p>
        </w:tc>
        <w:tc>
          <w:tcPr>
            <w:tcW w:w="1016" w:type="dxa"/>
            <w:tcBorders>
              <w:top w:val="nil"/>
              <w:left w:val="nil"/>
              <w:bottom w:val="nil"/>
              <w:right w:val="nil"/>
            </w:tcBorders>
            <w:vAlign w:val="center"/>
            <w:hideMark/>
          </w:tcPr>
          <w:p w14:paraId="25A521CE" w14:textId="249BBF57" w:rsidR="00C81A16" w:rsidRPr="00DE647D" w:rsidRDefault="00DE647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25</w:t>
            </w:r>
            <w:r w:rsidR="00C81A16" w:rsidRPr="00DE647D">
              <w:rPr>
                <w:rFonts w:cs="Arial"/>
                <w:szCs w:val="14"/>
                <w:lang w:eastAsia="en-US"/>
              </w:rPr>
              <w:t>/04/202</w:t>
            </w:r>
            <w:r w:rsidRPr="00DE647D">
              <w:rPr>
                <w:rFonts w:cs="Arial"/>
                <w:szCs w:val="14"/>
                <w:lang w:eastAsia="en-US"/>
              </w:rPr>
              <w:t>3</w:t>
            </w:r>
          </w:p>
        </w:tc>
        <w:tc>
          <w:tcPr>
            <w:tcW w:w="3640" w:type="dxa"/>
            <w:tcBorders>
              <w:top w:val="nil"/>
              <w:left w:val="nil"/>
              <w:bottom w:val="nil"/>
              <w:right w:val="nil"/>
            </w:tcBorders>
            <w:vAlign w:val="center"/>
            <w:hideMark/>
          </w:tcPr>
          <w:p w14:paraId="4B0EA797" w14:textId="4D1FC14D"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DE647D">
              <w:rPr>
                <w:rFonts w:cs="Arial"/>
                <w:color w:val="000000"/>
                <w:szCs w:val="14"/>
                <w:lang w:eastAsia="en-US"/>
              </w:rPr>
              <w:t>Auditoria contábil sobre as demonstrações financeiras do exercício de 20</w:t>
            </w:r>
            <w:r w:rsidR="00DE647D" w:rsidRPr="00DE647D">
              <w:rPr>
                <w:rFonts w:cs="Arial"/>
                <w:color w:val="000000"/>
                <w:szCs w:val="14"/>
                <w:lang w:eastAsia="en-US"/>
              </w:rPr>
              <w:t>21</w:t>
            </w:r>
            <w:r w:rsidRPr="00DE647D">
              <w:rPr>
                <w:rFonts w:cs="Arial"/>
                <w:color w:val="000000"/>
                <w:szCs w:val="14"/>
                <w:lang w:eastAsia="en-US"/>
              </w:rPr>
              <w:t xml:space="preserve"> e 202</w:t>
            </w:r>
            <w:r w:rsidR="00DE647D" w:rsidRPr="00DE647D">
              <w:rPr>
                <w:rFonts w:cs="Arial"/>
                <w:color w:val="000000"/>
                <w:szCs w:val="14"/>
                <w:lang w:eastAsia="en-US"/>
              </w:rPr>
              <w:t>2</w:t>
            </w:r>
          </w:p>
        </w:tc>
        <w:tc>
          <w:tcPr>
            <w:tcW w:w="1274" w:type="dxa"/>
            <w:tcBorders>
              <w:top w:val="nil"/>
              <w:left w:val="nil"/>
              <w:bottom w:val="nil"/>
              <w:right w:val="nil"/>
            </w:tcBorders>
            <w:vAlign w:val="center"/>
            <w:hideMark/>
          </w:tcPr>
          <w:p w14:paraId="0C4017D6" w14:textId="48ED46FB" w:rsidR="00C81A16" w:rsidRPr="00DE647D" w:rsidRDefault="00DE647D">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rPr>
              <w:t>814</w:t>
            </w:r>
            <w:r w:rsidR="00C81A16" w:rsidRPr="00DE647D">
              <w:rPr>
                <w:rFonts w:cs="Arial"/>
                <w:sz w:val="14"/>
                <w:szCs w:val="14"/>
              </w:rPr>
              <w:t>.000,00</w:t>
            </w:r>
          </w:p>
        </w:tc>
      </w:tr>
      <w:tr w:rsidR="00C81A16" w:rsidRPr="000A0843" w14:paraId="43813C3C" w14:textId="77777777" w:rsidTr="00C81A16">
        <w:trPr>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hideMark/>
          </w:tcPr>
          <w:p w14:paraId="38F209DC" w14:textId="77777777" w:rsidR="00C81A16" w:rsidRPr="00B953D1" w:rsidRDefault="00C81A16">
            <w:pPr>
              <w:pStyle w:val="08-Tabelageral"/>
              <w:jc w:val="left"/>
              <w:rPr>
                <w:rFonts w:cs="Arial"/>
                <w:b w:val="0"/>
                <w:szCs w:val="14"/>
                <w:lang w:eastAsia="en-US"/>
              </w:rPr>
            </w:pPr>
            <w:r w:rsidRPr="00B953D1">
              <w:rPr>
                <w:rFonts w:cs="Arial"/>
                <w:b w:val="0"/>
                <w:szCs w:val="14"/>
                <w:lang w:eastAsia="en-US"/>
              </w:rPr>
              <w:t>Brasilprev Seguros e Previdência S.A.</w:t>
            </w:r>
          </w:p>
        </w:tc>
        <w:tc>
          <w:tcPr>
            <w:tcW w:w="1015" w:type="dxa"/>
            <w:tcBorders>
              <w:top w:val="nil"/>
              <w:left w:val="nil"/>
              <w:bottom w:val="single" w:sz="2" w:space="0" w:color="9CC2E5" w:themeColor="accent1" w:themeTint="99"/>
              <w:right w:val="nil"/>
            </w:tcBorders>
            <w:vAlign w:val="center"/>
            <w:hideMark/>
          </w:tcPr>
          <w:p w14:paraId="38711291" w14:textId="77777777" w:rsidR="00C81A16" w:rsidRPr="00B953D1"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01/03/2020</w:t>
            </w:r>
          </w:p>
        </w:tc>
        <w:tc>
          <w:tcPr>
            <w:tcW w:w="1016" w:type="dxa"/>
            <w:tcBorders>
              <w:top w:val="nil"/>
              <w:left w:val="nil"/>
              <w:bottom w:val="single" w:sz="2" w:space="0" w:color="9CC2E5" w:themeColor="accent1" w:themeTint="99"/>
              <w:right w:val="nil"/>
            </w:tcBorders>
            <w:vAlign w:val="center"/>
            <w:hideMark/>
          </w:tcPr>
          <w:p w14:paraId="64E20FC1" w14:textId="77777777" w:rsidR="00C81A16" w:rsidRPr="00B953D1"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30/04/2025</w:t>
            </w:r>
          </w:p>
        </w:tc>
        <w:tc>
          <w:tcPr>
            <w:tcW w:w="3640" w:type="dxa"/>
            <w:tcBorders>
              <w:top w:val="nil"/>
              <w:left w:val="nil"/>
              <w:bottom w:val="single" w:sz="2" w:space="0" w:color="9CC2E5" w:themeColor="accent1" w:themeTint="99"/>
              <w:right w:val="nil"/>
            </w:tcBorders>
            <w:vAlign w:val="center"/>
            <w:hideMark/>
          </w:tcPr>
          <w:p w14:paraId="4F83391A" w14:textId="77777777" w:rsidR="00C81A16" w:rsidRPr="00B953D1"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Contrato de auditoria contemplando a Auditoria Contábil e Atuarial para os semestres findos em 30/06/2020 à 31/12/2024</w:t>
            </w:r>
          </w:p>
        </w:tc>
        <w:tc>
          <w:tcPr>
            <w:tcW w:w="1274" w:type="dxa"/>
            <w:tcBorders>
              <w:top w:val="nil"/>
              <w:left w:val="nil"/>
              <w:bottom w:val="single" w:sz="2" w:space="0" w:color="9CC2E5" w:themeColor="accent1" w:themeTint="99"/>
              <w:right w:val="nil"/>
            </w:tcBorders>
            <w:vAlign w:val="center"/>
            <w:hideMark/>
          </w:tcPr>
          <w:p w14:paraId="78327A0D" w14:textId="7196ECF9" w:rsidR="00C81A16" w:rsidRPr="00B953D1" w:rsidRDefault="00B953D1">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B953D1">
              <w:rPr>
                <w:rFonts w:cs="Arial"/>
                <w:sz w:val="14"/>
                <w:szCs w:val="14"/>
              </w:rPr>
              <w:t>827</w:t>
            </w:r>
            <w:r w:rsidR="00C81A16" w:rsidRPr="00B953D1">
              <w:rPr>
                <w:rFonts w:cs="Arial"/>
                <w:sz w:val="14"/>
                <w:szCs w:val="14"/>
              </w:rPr>
              <w:t>.</w:t>
            </w:r>
            <w:r w:rsidRPr="00B953D1">
              <w:rPr>
                <w:rFonts w:cs="Arial"/>
                <w:sz w:val="14"/>
                <w:szCs w:val="14"/>
              </w:rPr>
              <w:t>637</w:t>
            </w:r>
            <w:r w:rsidR="00C81A16" w:rsidRPr="00B953D1">
              <w:rPr>
                <w:rFonts w:cs="Arial"/>
                <w:sz w:val="14"/>
                <w:szCs w:val="14"/>
              </w:rPr>
              <w:t>,</w:t>
            </w:r>
            <w:r w:rsidRPr="00B953D1">
              <w:rPr>
                <w:rFonts w:cs="Arial"/>
                <w:sz w:val="14"/>
                <w:szCs w:val="14"/>
              </w:rPr>
              <w:t>23</w:t>
            </w:r>
          </w:p>
        </w:tc>
      </w:tr>
      <w:tr w:rsidR="00C81A16" w:rsidRPr="000A0843" w14:paraId="2D039912" w14:textId="77777777" w:rsidTr="00055252">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9CC2E5" w:themeColor="accent1" w:themeTint="99"/>
              <w:right w:val="nil"/>
            </w:tcBorders>
            <w:vAlign w:val="center"/>
            <w:hideMark/>
          </w:tcPr>
          <w:p w14:paraId="4FF098D8" w14:textId="77777777" w:rsidR="00C81A16" w:rsidRPr="00DE647D" w:rsidRDefault="00C81A16">
            <w:pPr>
              <w:pStyle w:val="08-Tabelageral"/>
              <w:jc w:val="left"/>
              <w:rPr>
                <w:rFonts w:cs="Arial"/>
                <w:b w:val="0"/>
                <w:szCs w:val="14"/>
                <w:lang w:eastAsia="en-US"/>
              </w:rPr>
            </w:pPr>
            <w:r w:rsidRPr="00DE647D">
              <w:rPr>
                <w:rFonts w:cs="Arial"/>
                <w:b w:val="0"/>
                <w:szCs w:val="14"/>
                <w:lang w:eastAsia="en-US"/>
              </w:rPr>
              <w:t>Brasilseg Companhia de Seguros</w:t>
            </w:r>
          </w:p>
          <w:p w14:paraId="5C248882" w14:textId="77777777" w:rsidR="00C81A16" w:rsidRPr="00DE647D" w:rsidRDefault="00C81A16">
            <w:pPr>
              <w:pStyle w:val="08-Tabelageral"/>
              <w:jc w:val="left"/>
              <w:rPr>
                <w:rFonts w:cs="Arial"/>
                <w:b w:val="0"/>
                <w:snapToGrid w:val="0"/>
                <w:szCs w:val="14"/>
                <w:lang w:eastAsia="en-US"/>
              </w:rPr>
            </w:pPr>
            <w:r w:rsidRPr="00DE647D">
              <w:rPr>
                <w:rFonts w:cs="Arial"/>
                <w:b w:val="0"/>
                <w:szCs w:val="14"/>
                <w:lang w:eastAsia="en-US"/>
              </w:rPr>
              <w:t>Aliança do Brasil Seguros S/A</w:t>
            </w:r>
          </w:p>
        </w:tc>
        <w:tc>
          <w:tcPr>
            <w:tcW w:w="0" w:type="dxa"/>
            <w:tcBorders>
              <w:top w:val="nil"/>
              <w:left w:val="nil"/>
              <w:bottom w:val="single" w:sz="2" w:space="0" w:color="9CC2E5" w:themeColor="accent1" w:themeTint="99"/>
              <w:right w:val="nil"/>
            </w:tcBorders>
            <w:vAlign w:val="center"/>
            <w:hideMark/>
          </w:tcPr>
          <w:p w14:paraId="0095CE9A" w14:textId="23DD96AC"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15/10/202</w:t>
            </w:r>
            <w:r w:rsidR="00DB0FF9" w:rsidRPr="00DE647D">
              <w:rPr>
                <w:rFonts w:cs="Arial"/>
                <w:szCs w:val="14"/>
                <w:lang w:eastAsia="en-US"/>
              </w:rPr>
              <w:t>1</w:t>
            </w:r>
          </w:p>
        </w:tc>
        <w:tc>
          <w:tcPr>
            <w:tcW w:w="0" w:type="dxa"/>
            <w:tcBorders>
              <w:top w:val="nil"/>
              <w:left w:val="nil"/>
              <w:bottom w:val="single" w:sz="2" w:space="0" w:color="9CC2E5" w:themeColor="accent1" w:themeTint="99"/>
              <w:right w:val="nil"/>
            </w:tcBorders>
            <w:vAlign w:val="center"/>
            <w:hideMark/>
          </w:tcPr>
          <w:p w14:paraId="0E23A897" w14:textId="5D949397"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14/10/202</w:t>
            </w:r>
            <w:r w:rsidR="00DB0FF9" w:rsidRPr="00DE647D">
              <w:rPr>
                <w:rFonts w:cs="Arial"/>
                <w:szCs w:val="14"/>
                <w:lang w:eastAsia="en-US"/>
              </w:rPr>
              <w:t>2</w:t>
            </w:r>
          </w:p>
        </w:tc>
        <w:tc>
          <w:tcPr>
            <w:tcW w:w="0" w:type="dxa"/>
            <w:tcBorders>
              <w:top w:val="nil"/>
              <w:left w:val="nil"/>
              <w:bottom w:val="single" w:sz="2" w:space="0" w:color="9CC2E5" w:themeColor="accent1" w:themeTint="99"/>
              <w:right w:val="nil"/>
            </w:tcBorders>
            <w:vAlign w:val="center"/>
            <w:hideMark/>
          </w:tcPr>
          <w:p w14:paraId="090756A4" w14:textId="16B928C6"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Auditoria Atuarial para o exercício social de 202</w:t>
            </w:r>
            <w:r w:rsidR="00DB0FF9" w:rsidRPr="00DE647D">
              <w:rPr>
                <w:rFonts w:cs="Arial"/>
                <w:szCs w:val="14"/>
                <w:lang w:eastAsia="en-US"/>
              </w:rPr>
              <w:t>1</w:t>
            </w:r>
          </w:p>
        </w:tc>
        <w:tc>
          <w:tcPr>
            <w:tcW w:w="0" w:type="dxa"/>
            <w:tcBorders>
              <w:top w:val="nil"/>
              <w:left w:val="nil"/>
              <w:bottom w:val="single" w:sz="2" w:space="0" w:color="9CC2E5" w:themeColor="accent1" w:themeTint="99"/>
              <w:right w:val="nil"/>
            </w:tcBorders>
            <w:vAlign w:val="center"/>
            <w:hideMark/>
          </w:tcPr>
          <w:p w14:paraId="79938FE1" w14:textId="77777777" w:rsidR="00C81A16" w:rsidRPr="00DE647D" w:rsidRDefault="00C81A16">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rPr>
              <w:t>237.500,00</w:t>
            </w:r>
          </w:p>
        </w:tc>
      </w:tr>
    </w:tbl>
    <w:p w14:paraId="7E14202D" w14:textId="77777777" w:rsidR="00C81A16" w:rsidRPr="000A0843" w:rsidRDefault="00C81A16" w:rsidP="00C81A16">
      <w:pPr>
        <w:pStyle w:val="07-Legenda"/>
        <w:rPr>
          <w:rFonts w:cs="Arial"/>
          <w:color w:val="FF0000"/>
          <w:highlight w:val="yellow"/>
        </w:rPr>
      </w:pPr>
    </w:p>
    <w:p w14:paraId="652359FA" w14:textId="005AB8FF" w:rsidR="00C81A16" w:rsidRDefault="00C81A16" w:rsidP="00C81A16">
      <w:pPr>
        <w:pStyle w:val="05-Textonormal"/>
        <w:rPr>
          <w:rFonts w:cs="Arial"/>
        </w:rPr>
      </w:pPr>
      <w:r w:rsidRPr="00B953D1">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w:t>
      </w:r>
      <w:r w:rsidR="00B953D1">
        <w:rPr>
          <w:rFonts w:cs="Arial"/>
        </w:rPr>
        <w:t>2</w:t>
      </w:r>
      <w:r w:rsidRPr="00B953D1">
        <w:rPr>
          <w:rFonts w:cs="Arial"/>
        </w:rPr>
        <w:t>.</w:t>
      </w:r>
    </w:p>
    <w:p w14:paraId="60D966FD" w14:textId="0F73A1CF" w:rsidR="005E3519" w:rsidRDefault="005E3519">
      <w:pPr>
        <w:rPr>
          <w:rFonts w:eastAsia="Times New Roman" w:cs="Arial"/>
          <w:szCs w:val="20"/>
          <w:lang w:eastAsia="pt-BR"/>
        </w:rPr>
      </w:pPr>
      <w:r>
        <w:rPr>
          <w:rFonts w:eastAsia="Times New Roman" w:cs="Arial"/>
          <w:szCs w:val="20"/>
          <w:lang w:eastAsia="pt-BR"/>
        </w:rPr>
        <w:br w:type="page"/>
      </w:r>
    </w:p>
    <w:p w14:paraId="621333E0" w14:textId="77777777" w:rsidR="00C81A16" w:rsidRDefault="00C81A16" w:rsidP="00C81A16">
      <w:pPr>
        <w:rPr>
          <w:rFonts w:eastAsia="Times New Roman" w:cs="Arial"/>
          <w:szCs w:val="20"/>
          <w:lang w:eastAsia="pt-BR"/>
        </w:rPr>
      </w:pPr>
    </w:p>
    <w:p w14:paraId="0F50F3C5"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Agradecimentos</w:t>
      </w:r>
    </w:p>
    <w:p w14:paraId="2FA489B6" w14:textId="237703CF" w:rsidR="00C81A16" w:rsidRDefault="00C81A16" w:rsidP="00C81A16">
      <w:pPr>
        <w:pStyle w:val="05-Textonormal"/>
        <w:rPr>
          <w:rFonts w:cs="Arial"/>
        </w:rPr>
      </w:pPr>
      <w:r w:rsidRPr="00DE647D">
        <w:rPr>
          <w:rFonts w:cs="Arial"/>
        </w:rPr>
        <w:t>Agradecemos a dedicação e o empenho de nossos funcionários e colaboradores e à rede de distribuição do Banco do Brasil e demais parceiros, fundamentais para a manutenção de um atendimento de qualidade aos clientes e da conformidade dos processos em um ano tão desafiador como o de 202</w:t>
      </w:r>
      <w:r w:rsidR="00DE647D" w:rsidRPr="00DE647D">
        <w:rPr>
          <w:rFonts w:cs="Arial"/>
        </w:rPr>
        <w:t>1</w:t>
      </w:r>
      <w:r w:rsidRPr="00DE647D">
        <w:rPr>
          <w:rFonts w:cs="Arial"/>
        </w:rPr>
        <w:t>, além da confiança depositada por acionistas, clientes e sociedade em geral.</w:t>
      </w:r>
    </w:p>
    <w:p w14:paraId="5643C6FC" w14:textId="77777777" w:rsidR="00C81A16" w:rsidRDefault="00C81A16" w:rsidP="00C81A16">
      <w:pPr>
        <w:pStyle w:val="05-Textonormal"/>
        <w:rPr>
          <w:rFonts w:cs="Arial"/>
        </w:rPr>
      </w:pPr>
    </w:p>
    <w:p w14:paraId="01359069" w14:textId="37E0209A"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Brasília, 202</w:t>
      </w:r>
      <w:r w:rsidR="00140617">
        <w:rPr>
          <w:rFonts w:ascii="Arial" w:eastAsia="Times New Roman" w:hAnsi="Arial" w:cs="Times New Roman"/>
          <w:b/>
          <w:color w:val="1F4E79" w:themeColor="accent1" w:themeShade="80"/>
          <w:spacing w:val="-2"/>
          <w:sz w:val="20"/>
          <w:szCs w:val="20"/>
          <w:lang w:eastAsia="pt-BR"/>
        </w:rPr>
        <w:t>2</w:t>
      </w:r>
    </w:p>
    <w:p w14:paraId="7EF1BDF8"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1B11CB48"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 Administração</w:t>
      </w:r>
    </w:p>
    <w:p w14:paraId="294B0685" w14:textId="77777777" w:rsidR="00DC6373" w:rsidRPr="00C81A16" w:rsidRDefault="00DC6373" w:rsidP="00C81A16"/>
    <w:sectPr w:rsidR="00DC6373" w:rsidRPr="00C81A16" w:rsidSect="0096592B">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851" w:left="1134" w:header="851"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9CD77" w14:textId="77777777" w:rsidR="00D75655" w:rsidRDefault="00D75655" w:rsidP="001170F1">
      <w:pPr>
        <w:spacing w:after="0" w:line="240" w:lineRule="auto"/>
      </w:pPr>
      <w:r>
        <w:separator/>
      </w:r>
    </w:p>
  </w:endnote>
  <w:endnote w:type="continuationSeparator" w:id="0">
    <w:p w14:paraId="1277CD3E" w14:textId="77777777" w:rsidR="00D75655" w:rsidRDefault="00D75655"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altName w:val="Calibri"/>
    <w:panose1 w:val="000004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0F98C" w14:textId="77777777" w:rsidR="003E76EF" w:rsidRDefault="003E76E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63702" w14:textId="77777777" w:rsidR="003E76EF" w:rsidRDefault="003E76EF"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9DBB1" w14:textId="77777777" w:rsidR="003E76EF" w:rsidRDefault="003E76EF">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50739" w14:textId="77777777" w:rsidR="00D75655" w:rsidRDefault="00D75655">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3B264" w14:textId="77777777" w:rsidR="00D75655" w:rsidRPr="0018454B" w:rsidRDefault="00D75655" w:rsidP="00EE26B1">
    <w:pPr>
      <w:pStyle w:val="Rodap"/>
      <w:spacing w:line="130" w:lineRule="exact"/>
      <w:ind w:right="-57"/>
      <w:rPr>
        <w:rFonts w:asciiTheme="minorHAnsi" w:eastAsia="Verdana" w:hAnsiTheme="minorHAnsi" w:cstheme="minorHAnsi"/>
        <w:sz w:val="11"/>
        <w:szCs w:val="11"/>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CF77A" w14:textId="77777777" w:rsidR="00D75655" w:rsidRDefault="00D756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24B50B" w14:textId="77777777" w:rsidR="00D75655" w:rsidRDefault="00D75655" w:rsidP="001170F1">
      <w:pPr>
        <w:spacing w:after="0" w:line="240" w:lineRule="auto"/>
      </w:pPr>
      <w:r>
        <w:separator/>
      </w:r>
    </w:p>
  </w:footnote>
  <w:footnote w:type="continuationSeparator" w:id="0">
    <w:p w14:paraId="05292CAC" w14:textId="77777777" w:rsidR="00D75655" w:rsidRDefault="00D75655" w:rsidP="001170F1">
      <w:pPr>
        <w:spacing w:after="0" w:line="240" w:lineRule="auto"/>
      </w:pPr>
      <w:r>
        <w:continuationSeparator/>
      </w:r>
    </w:p>
  </w:footnote>
  <w:footnote w:id="1">
    <w:p w14:paraId="25A42635" w14:textId="20D4CAEC" w:rsidR="005C107F" w:rsidRDefault="005C107F" w:rsidP="005C107F">
      <w:pPr>
        <w:pStyle w:val="Textodenotaderodap"/>
      </w:pPr>
      <w:r w:rsidRPr="009D6016">
        <w:rPr>
          <w:rStyle w:val="Refdenotaderodap"/>
          <w:rFonts w:ascii="Arial" w:hAnsi="Arial" w:cs="Arial"/>
          <w:sz w:val="16"/>
          <w:szCs w:val="16"/>
        </w:rPr>
        <w:footnoteRef/>
      </w:r>
      <w:r w:rsidRPr="009D6016">
        <w:rPr>
          <w:rFonts w:ascii="Arial" w:hAnsi="Arial" w:cs="Arial"/>
        </w:rPr>
        <w:t xml:space="preserve"> </w:t>
      </w:r>
      <w:r>
        <w:rPr>
          <w:rFonts w:ascii="Arial" w:hAnsi="Arial" w:cs="Arial"/>
          <w:sz w:val="16"/>
          <w:szCs w:val="16"/>
        </w:rPr>
        <w:t xml:space="preserve">Variação total da soma de prêmios emitidos, contribuições de previdência e arrecadação de capitalização. Não inclui seguro saúde. Fonte: </w:t>
      </w:r>
      <w:r w:rsidRPr="009D6016">
        <w:rPr>
          <w:rFonts w:ascii="Arial" w:hAnsi="Arial" w:cs="Arial"/>
          <w:sz w:val="16"/>
          <w:szCs w:val="16"/>
        </w:rPr>
        <w:t>SUSEP – Data-base 11M21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19289" w14:textId="77777777" w:rsidR="003E76EF" w:rsidRDefault="003E76E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29EF5" w14:textId="3E305EC2" w:rsidR="003E76EF" w:rsidRPr="008540AD" w:rsidRDefault="003E76EF" w:rsidP="006B2DA2">
    <w:pPr>
      <w:pStyle w:val="Cabealho"/>
      <w:tabs>
        <w:tab w:val="clear" w:pos="4252"/>
        <w:tab w:val="clear" w:pos="8504"/>
        <w:tab w:val="left" w:pos="3576"/>
      </w:tabs>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F9AB2" w14:textId="77777777" w:rsidR="003E76EF" w:rsidRDefault="003E76EF">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33E86" w14:textId="77777777" w:rsidR="00D75655" w:rsidRDefault="00D75655">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F2061" w14:textId="0D3D156D" w:rsidR="00D75655" w:rsidRDefault="00AF1E5B" w:rsidP="004A70E2">
    <w:pPr>
      <w:pStyle w:val="Cabealho"/>
      <w:tabs>
        <w:tab w:val="clear" w:pos="4252"/>
        <w:tab w:val="clear" w:pos="8504"/>
        <w:tab w:val="left" w:pos="1452"/>
        <w:tab w:val="left" w:pos="1944"/>
      </w:tabs>
    </w:pPr>
    <w:r w:rsidRPr="005D303B">
      <w:rPr>
        <w:b/>
        <w:noProof/>
        <w:color w:val="1F4E79" w:themeColor="accent1" w:themeShade="80"/>
        <w:lang w:eastAsia="pt-BR"/>
      </w:rPr>
      <mc:AlternateContent>
        <mc:Choice Requires="wps">
          <w:drawing>
            <wp:anchor distT="0" distB="0" distL="114300" distR="114300" simplePos="0" relativeHeight="251668992" behindDoc="0" locked="0" layoutInCell="1" allowOverlap="1" wp14:anchorId="1B902C84" wp14:editId="355547F0">
              <wp:simplePos x="0" y="0"/>
              <wp:positionH relativeFrom="page">
                <wp:posOffset>-327660</wp:posOffset>
              </wp:positionH>
              <wp:positionV relativeFrom="paragraph">
                <wp:posOffset>-41275</wp:posOffset>
              </wp:positionV>
              <wp:extent cx="10690860" cy="52705"/>
              <wp:effectExtent l="0" t="0" r="0" b="4445"/>
              <wp:wrapNone/>
              <wp:docPr id="35" name="Retângulo 35"/>
              <wp:cNvGraphicFramePr/>
              <a:graphic xmlns:a="http://schemas.openxmlformats.org/drawingml/2006/main">
                <a:graphicData uri="http://schemas.microsoft.com/office/word/2010/wordprocessingShape">
                  <wps:wsp>
                    <wps:cNvSpPr/>
                    <wps:spPr>
                      <a:xfrm flipV="1">
                        <a:off x="0" y="0"/>
                        <a:ext cx="1069086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B866637" id="Retângulo 35" o:spid="_x0000_s1026" style="position:absolute;margin-left:-25.8pt;margin-top:-3.25pt;width:841.8pt;height:4.15pt;flip:y;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" fillcolor="#f9dd16" stroked="f" strokeweight="1pt">
              <w10:wrap anchorx="page"/>
            </v:rect>
          </w:pict>
        </mc:Fallback>
      </mc:AlternateContent>
    </w:r>
    <w:r w:rsidR="003E76EF">
      <w:rPr>
        <w:noProof/>
        <w:sz w:val="20"/>
        <w:szCs w:val="20"/>
        <w:lang w:eastAsia="pt-BR"/>
      </w:rPr>
      <mc:AlternateContent>
        <mc:Choice Requires="wps">
          <w:drawing>
            <wp:anchor distT="0" distB="0" distL="114300" distR="114300" simplePos="0" relativeHeight="251659775" behindDoc="0" locked="0" layoutInCell="0" allowOverlap="1" wp14:anchorId="0AF38975" wp14:editId="0449F446">
              <wp:simplePos x="0" y="0"/>
              <wp:positionH relativeFrom="page">
                <wp:posOffset>0</wp:posOffset>
              </wp:positionH>
              <wp:positionV relativeFrom="page">
                <wp:posOffset>190500</wp:posOffset>
              </wp:positionV>
              <wp:extent cx="7560310" cy="273050"/>
              <wp:effectExtent l="0" t="0" r="0" b="12700"/>
              <wp:wrapNone/>
              <wp:docPr id="48" name="MSIPCMd95447d3969f4ef3196189e2" descr="{&quot;HashCode&quot;:344086827,&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346FE5" w14:textId="7B6BBE13" w:rsidR="003E76EF" w:rsidRPr="00AF1E5B" w:rsidRDefault="00AF1E5B" w:rsidP="00AF1E5B">
                          <w:pPr>
                            <w:spacing w:after="0"/>
                            <w:jc w:val="right"/>
                            <w:rPr>
                              <w:rFonts w:ascii="Calibri" w:hAnsi="Calibri"/>
                              <w:color w:val="000000"/>
                              <w:sz w:val="20"/>
                            </w:rPr>
                          </w:pPr>
                          <w:r>
                            <w:rPr>
                              <w:rFonts w:ascii="Calibri" w:hAnsi="Calibri"/>
                              <w:color w:val="000000"/>
                              <w:sz w:val="20"/>
                            </w:rPr>
                            <w:t>#Pública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AF38975" id="_x0000_t202" coordsize="21600,21600" o:spt="202" path="m,l,21600r21600,l21600,xe">
              <v:stroke joinstyle="miter"/>
              <v:path gradientshapeok="t" o:connecttype="rect"/>
            </v:shapetype>
            <v:shape id="MSIPCMd95447d3969f4ef3196189e2" o:spid="_x0000_s1066" type="#_x0000_t202" alt="{&quot;HashCode&quot;:344086827,&quot;Height&quot;:841.0,&quot;Width&quot;:595.0,&quot;Placement&quot;:&quot;Header&quot;,&quot;Index&quot;:&quot;Primary&quot;,&quot;Section&quot;:2,&quot;Top&quot;:0.0,&quot;Left&quot;:0.0}" style="position:absolute;margin-left:0;margin-top:15pt;width:595.3pt;height:21.5pt;z-index:25165977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" o:allowincell="f" filled="f" stroked="f" strokeweight=".5pt">
              <v:fill o:detectmouseclick="t"/>
              <v:textbox inset=",0,20pt,0">
                <w:txbxContent>
                  <w:p w14:paraId="0E346FE5" w14:textId="7B6BBE13" w:rsidR="003E76EF" w:rsidRPr="00AF1E5B" w:rsidRDefault="00AF1E5B" w:rsidP="00AF1E5B">
                    <w:pPr>
                      <w:spacing w:after="0"/>
                      <w:jc w:val="right"/>
                      <w:rPr>
                        <w:rFonts w:ascii="Calibri" w:hAnsi="Calibri"/>
                        <w:color w:val="000000"/>
                        <w:sz w:val="20"/>
                      </w:rPr>
                    </w:pPr>
                    <w:r>
                      <w:rPr>
                        <w:rFonts w:ascii="Calibri" w:hAnsi="Calibri"/>
                        <w:color w:val="000000"/>
                        <w:sz w:val="20"/>
                      </w:rPr>
                      <w:t>#Pública</w:t>
                    </w:r>
                  </w:p>
                </w:txbxContent>
              </v:textbox>
              <w10:wrap anchorx="page" anchory="page"/>
            </v:shape>
          </w:pict>
        </mc:Fallback>
      </mc:AlternateContent>
    </w:r>
    <w:r w:rsidR="00D75655">
      <w:rPr>
        <w:noProof/>
        <w:sz w:val="20"/>
        <w:szCs w:val="20"/>
        <w:lang w:eastAsia="pt-BR"/>
      </w:rPr>
      <mc:AlternateContent>
        <mc:Choice Requires="wps">
          <w:drawing>
            <wp:anchor distT="0" distB="0" distL="114300" distR="114300" simplePos="0" relativeHeight="251658750" behindDoc="0" locked="0" layoutInCell="0" allowOverlap="1" wp14:anchorId="017FACD8" wp14:editId="23ECBF13">
              <wp:simplePos x="0" y="0"/>
              <wp:positionH relativeFrom="page">
                <wp:posOffset>0</wp:posOffset>
              </wp:positionH>
              <wp:positionV relativeFrom="page">
                <wp:posOffset>190500</wp:posOffset>
              </wp:positionV>
              <wp:extent cx="7560310" cy="273050"/>
              <wp:effectExtent l="0" t="0" r="0" b="12700"/>
              <wp:wrapNone/>
              <wp:docPr id="1" name="MSIPCMe11f4bb5995c4b4d9f9695a1" descr="{&quot;HashCode&quot;:3440868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32DA94" w14:textId="4E6133B0" w:rsidR="00D75655" w:rsidRPr="00AF1E5B" w:rsidRDefault="00AF1E5B" w:rsidP="00AF1E5B">
                          <w:pPr>
                            <w:spacing w:after="0"/>
                            <w:jc w:val="right"/>
                            <w:rPr>
                              <w:rFonts w:ascii="Calibri" w:hAnsi="Calibri" w:cs="Calibri"/>
                              <w:color w:val="000000"/>
                              <w:sz w:val="20"/>
                            </w:rPr>
                          </w:pPr>
                          <w:r w:rsidRPr="00AF1E5B">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017FACD8" id="MSIPCMe11f4bb5995c4b4d9f9695a1" o:spid="_x0000_s1067" type="#_x0000_t202" alt="{&quot;HashCode&quot;:344086827,&quot;Height&quot;:841.0,&quot;Width&quot;:595.0,&quot;Placement&quot;:&quot;Header&quot;,&quot;Index&quot;:&quot;Primary&quot;,&quot;Section&quot;:1,&quot;Top&quot;:0.0,&quot;Left&quot;:0.0}" style="position:absolute;margin-left:0;margin-top:15pt;width:595.3pt;height:21.5pt;z-index:25165875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" o:allowincell="f" filled="f" stroked="f" strokeweight=".5pt">
              <v:textbox inset=",0,20pt,0">
                <w:txbxContent>
                  <w:p w14:paraId="3132DA94" w14:textId="4E6133B0" w:rsidR="00D75655" w:rsidRPr="00AF1E5B" w:rsidRDefault="00AF1E5B" w:rsidP="00AF1E5B">
                    <w:pPr>
                      <w:spacing w:after="0"/>
                      <w:jc w:val="right"/>
                      <w:rPr>
                        <w:rFonts w:ascii="Calibri" w:hAnsi="Calibri" w:cs="Calibri"/>
                        <w:color w:val="000000"/>
                        <w:sz w:val="20"/>
                      </w:rPr>
                    </w:pPr>
                    <w:r w:rsidRPr="00AF1E5B">
                      <w:rPr>
                        <w:rFonts w:ascii="Calibri" w:hAnsi="Calibri" w:cs="Calibri"/>
                        <w:color w:val="000000"/>
                        <w:sz w:val="20"/>
                      </w:rPr>
                      <w:t>#Pública</w:t>
                    </w:r>
                  </w:p>
                </w:txbxContent>
              </v:textbox>
              <w10:wrap anchorx="page" anchory="page"/>
            </v:shape>
          </w:pict>
        </mc:Fallback>
      </mc:AlternateContent>
    </w:r>
    <w:r w:rsidR="00D75655">
      <w:rPr>
        <w:noProof/>
        <w:sz w:val="20"/>
        <w:szCs w:val="20"/>
        <w:lang w:eastAsia="pt-BR"/>
      </w:rPr>
      <mc:AlternateContent>
        <mc:Choice Requires="wps">
          <w:drawing>
            <wp:anchor distT="0" distB="0" distL="114300" distR="114300" simplePos="0" relativeHeight="251666944" behindDoc="0" locked="0" layoutInCell="1" allowOverlap="1" wp14:anchorId="74CA0699" wp14:editId="6B23D8E4">
              <wp:simplePos x="0" y="0"/>
              <wp:positionH relativeFrom="column">
                <wp:posOffset>1746885</wp:posOffset>
              </wp:positionH>
              <wp:positionV relativeFrom="paragraph">
                <wp:posOffset>-464185</wp:posOffset>
              </wp:positionV>
              <wp:extent cx="4882515" cy="402590"/>
              <wp:effectExtent l="0" t="0" r="0" b="0"/>
              <wp:wrapNone/>
              <wp:docPr id="34" name="Caixa de Texto 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3B9BBF2F" w14:textId="4D79856A" w:rsidR="00D75655" w:rsidRPr="00E16BE7" w:rsidRDefault="00D75655" w:rsidP="00E30BC8">
                          <w:pPr>
                            <w:jc w:val="right"/>
                            <w:rPr>
                              <w:rFonts w:cs="Arial"/>
                              <w:color w:val="FFFFFF" w:themeColor="background1"/>
                              <w:szCs w:val="18"/>
                            </w:rPr>
                          </w:pPr>
                          <w:r>
                            <w:rPr>
                              <w:rFonts w:cs="Arial"/>
                              <w:color w:val="FFFFFF" w:themeColor="background1"/>
                              <w:szCs w:val="18"/>
                            </w:rPr>
                            <w:t>Relatório Anual da Administração</w:t>
                          </w:r>
                          <w:r w:rsidRPr="00EE26C5">
                            <w:rPr>
                              <w:rFonts w:cs="Arial"/>
                              <w:color w:val="FFFFFF" w:themeColor="background1"/>
                              <w:szCs w:val="18"/>
                            </w:rPr>
                            <w:t xml:space="preserve"> – </w:t>
                          </w:r>
                          <w:r>
                            <w:rPr>
                              <w:rFonts w:cs="Arial"/>
                              <w:color w:val="FFFFFF" w:themeColor="background1"/>
                              <w:szCs w:val="18"/>
                            </w:rPr>
                            <w:t>Exercício</w:t>
                          </w:r>
                          <w:r w:rsidRPr="001F0F91">
                            <w:rPr>
                              <w:rFonts w:cs="Arial"/>
                              <w:color w:val="FFFFFF" w:themeColor="background1"/>
                              <w:szCs w:val="18"/>
                            </w:rPr>
                            <w:t xml:space="preserve"> </w:t>
                          </w:r>
                          <w:r w:rsidRPr="00EE26C5">
                            <w:rPr>
                              <w:rFonts w:cs="Arial"/>
                              <w:color w:val="FFFFFF" w:themeColor="background1"/>
                              <w:szCs w:val="18"/>
                            </w:rPr>
                            <w:t>2021</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61024344" w14:textId="77777777" w:rsidR="00D75655" w:rsidRPr="00E16BE7" w:rsidRDefault="00D756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A0699" id="Caixa de Texto 34" o:spid="_x0000_s1068" type="#_x0000_t202" style="position:absolute;margin-left:137.55pt;margin-top:-36.55pt;width:384.45pt;height:31.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" filled="f" stroked="f" strokeweight=".5pt">
              <v:textbox>
                <w:txbxContent>
                  <w:p w14:paraId="3B9BBF2F" w14:textId="4D79856A" w:rsidR="00D75655" w:rsidRPr="00E16BE7" w:rsidRDefault="00D75655" w:rsidP="00E30BC8">
                    <w:pPr>
                      <w:jc w:val="right"/>
                      <w:rPr>
                        <w:rFonts w:cs="Arial"/>
                        <w:color w:val="FFFFFF" w:themeColor="background1"/>
                        <w:szCs w:val="18"/>
                      </w:rPr>
                    </w:pPr>
                    <w:r>
                      <w:rPr>
                        <w:rFonts w:cs="Arial"/>
                        <w:color w:val="FFFFFF" w:themeColor="background1"/>
                        <w:szCs w:val="18"/>
                      </w:rPr>
                      <w:t>Relatório Anual da Administração</w:t>
                    </w:r>
                    <w:r w:rsidRPr="00EE26C5">
                      <w:rPr>
                        <w:rFonts w:cs="Arial"/>
                        <w:color w:val="FFFFFF" w:themeColor="background1"/>
                        <w:szCs w:val="18"/>
                      </w:rPr>
                      <w:t xml:space="preserve"> – </w:t>
                    </w:r>
                    <w:r>
                      <w:rPr>
                        <w:rFonts w:cs="Arial"/>
                        <w:color w:val="FFFFFF" w:themeColor="background1"/>
                        <w:szCs w:val="18"/>
                      </w:rPr>
                      <w:t>Exercício</w:t>
                    </w:r>
                    <w:r w:rsidRPr="001F0F91">
                      <w:rPr>
                        <w:rFonts w:cs="Arial"/>
                        <w:color w:val="FFFFFF" w:themeColor="background1"/>
                        <w:szCs w:val="18"/>
                      </w:rPr>
                      <w:t xml:space="preserve"> </w:t>
                    </w:r>
                    <w:r w:rsidRPr="00EE26C5">
                      <w:rPr>
                        <w:rFonts w:cs="Arial"/>
                        <w:color w:val="FFFFFF" w:themeColor="background1"/>
                        <w:szCs w:val="18"/>
                      </w:rPr>
                      <w:t>2021</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61024344" w14:textId="77777777" w:rsidR="00D75655" w:rsidRPr="00E16BE7" w:rsidRDefault="00D75655"/>
                </w:txbxContent>
              </v:textbox>
            </v:shape>
          </w:pict>
        </mc:Fallback>
      </mc:AlternateContent>
    </w:r>
    <w:r w:rsidR="00D75655">
      <w:rPr>
        <w:noProof/>
        <w:sz w:val="20"/>
        <w:szCs w:val="20"/>
        <w:lang w:eastAsia="pt-BR"/>
      </w:rPr>
      <w:drawing>
        <wp:anchor distT="0" distB="0" distL="114300" distR="114300" simplePos="0" relativeHeight="251663872" behindDoc="0" locked="0" layoutInCell="1" allowOverlap="1" wp14:anchorId="32CBD243" wp14:editId="2E87F919">
          <wp:simplePos x="0" y="0"/>
          <wp:positionH relativeFrom="margin">
            <wp:posOffset>-453606</wp:posOffset>
          </wp:positionH>
          <wp:positionV relativeFrom="paragraph">
            <wp:posOffset>-380365</wp:posOffset>
          </wp:positionV>
          <wp:extent cx="967740" cy="198755"/>
          <wp:effectExtent l="0" t="0" r="381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D75655" w:rsidRPr="0069353A">
      <w:rPr>
        <w:noProof/>
        <w:sz w:val="20"/>
        <w:szCs w:val="20"/>
        <w:lang w:eastAsia="pt-BR"/>
      </w:rPr>
      <mc:AlternateContent>
        <mc:Choice Requires="wps">
          <w:drawing>
            <wp:anchor distT="0" distB="0" distL="114300" distR="114300" simplePos="0" relativeHeight="251660800" behindDoc="1" locked="0" layoutInCell="1" allowOverlap="1" wp14:anchorId="5EE1B3D3" wp14:editId="316BFA97">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EDB75B3" w14:textId="77777777" w:rsidR="00D75655" w:rsidRDefault="00D75655" w:rsidP="00E30BC8">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1B3D3" id="Retângulo 36" o:spid="_x0000_s1069" style="position:absolute;margin-left:0;margin-top:-42.55pt;width:594.75pt;height:39.2pt;z-index:-2516556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" fillcolor="#002d4b" stroked="f" strokeweight="1pt">
              <v:textbox>
                <w:txbxContent>
                  <w:p w14:paraId="2EDB75B3" w14:textId="77777777" w:rsidR="00D75655" w:rsidRDefault="00D75655" w:rsidP="00E30BC8">
                    <w:pPr>
                      <w:ind w:left="708"/>
                      <w:jc w:val="right"/>
                    </w:pPr>
                  </w:p>
                </w:txbxContent>
              </v:textbox>
              <w10:wrap type="through" anchorx="page"/>
            </v:rect>
          </w:pict>
        </mc:Fallback>
      </mc:AlternateContent>
    </w:r>
    <w:r w:rsidR="00D75655">
      <w:tab/>
    </w:r>
    <w:r w:rsidR="00D75655">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C9521" w14:textId="77777777" w:rsidR="00D75655" w:rsidRDefault="00D7565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76BFD"/>
    <w:multiLevelType w:val="hybridMultilevel"/>
    <w:tmpl w:val="4CAA957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BE7E32"/>
    <w:multiLevelType w:val="hybridMultilevel"/>
    <w:tmpl w:val="91ACD6D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EE5FC0"/>
    <w:multiLevelType w:val="hybridMultilevel"/>
    <w:tmpl w:val="24D8F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7E3048"/>
    <w:multiLevelType w:val="hybridMultilevel"/>
    <w:tmpl w:val="F43A00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15:restartNumberingAfterBreak="0">
    <w:nsid w:val="4E513421"/>
    <w:multiLevelType w:val="hybridMultilevel"/>
    <w:tmpl w:val="4578738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7"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9"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11"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98245A3"/>
    <w:multiLevelType w:val="hybridMultilevel"/>
    <w:tmpl w:val="F2066144"/>
    <w:lvl w:ilvl="0" w:tplc="04090001">
      <w:start w:val="1"/>
      <w:numFmt w:val="bullet"/>
      <w:lvlText w:val=""/>
      <w:lvlJc w:val="left"/>
      <w:pPr>
        <w:ind w:left="720" w:hanging="360"/>
      </w:pPr>
      <w:rPr>
        <w:rFonts w:ascii="Symbol" w:hAnsi="Symbol" w:hint="default"/>
      </w:rPr>
    </w:lvl>
    <w:lvl w:ilvl="1" w:tplc="DB609508">
      <w:numFmt w:val="bullet"/>
      <w:lvlText w:val="•"/>
      <w:lvlJc w:val="left"/>
      <w:pPr>
        <w:ind w:left="1692" w:hanging="612"/>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
  </w:num>
  <w:num w:numId="4">
    <w:abstractNumId w:val="8"/>
  </w:num>
  <w:num w:numId="5">
    <w:abstractNumId w:val="11"/>
  </w:num>
  <w:num w:numId="6">
    <w:abstractNumId w:val="13"/>
  </w:num>
  <w:num w:numId="7">
    <w:abstractNumId w:val="2"/>
  </w:num>
  <w:num w:numId="8">
    <w:abstractNumId w:val="14"/>
  </w:num>
  <w:num w:numId="9">
    <w:abstractNumId w:val="12"/>
  </w:num>
  <w:num w:numId="10">
    <w:abstractNumId w:val="6"/>
  </w:num>
  <w:num w:numId="11">
    <w:abstractNumId w:val="15"/>
  </w:num>
  <w:num w:numId="12">
    <w:abstractNumId w:val="9"/>
  </w:num>
  <w:num w:numId="13">
    <w:abstractNumId w:val="7"/>
  </w:num>
  <w:num w:numId="14">
    <w:abstractNumId w:val="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6"/>
  </w:num>
  <w:num w:numId="19">
    <w:abstractNumId w:val="15"/>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4"/>
  </w:num>
  <w:num w:numId="24">
    <w:abstractNumId w:val="7"/>
  </w:num>
  <w:num w:numId="25">
    <w:abstractNumId w:val="16"/>
  </w:num>
  <w:num w:numId="26">
    <w:abstractNumId w:val="7"/>
  </w:num>
  <w:num w:numId="27">
    <w:abstractNumId w:val="12"/>
  </w:num>
  <w:num w:numId="28">
    <w:abstractNumId w:val="14"/>
  </w:num>
  <w:num w:numId="29">
    <w:abstractNumId w:val="3"/>
  </w:num>
  <w:num w:numId="3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3530"/>
    <w:rsid w:val="00005CAA"/>
    <w:rsid w:val="0000601B"/>
    <w:rsid w:val="00006824"/>
    <w:rsid w:val="00006A20"/>
    <w:rsid w:val="0000734A"/>
    <w:rsid w:val="0000759E"/>
    <w:rsid w:val="00007A5D"/>
    <w:rsid w:val="00011C04"/>
    <w:rsid w:val="00012049"/>
    <w:rsid w:val="00012577"/>
    <w:rsid w:val="00013BC0"/>
    <w:rsid w:val="00014EC1"/>
    <w:rsid w:val="00015A21"/>
    <w:rsid w:val="000161AB"/>
    <w:rsid w:val="00020A6E"/>
    <w:rsid w:val="00020DDE"/>
    <w:rsid w:val="0002119F"/>
    <w:rsid w:val="00021545"/>
    <w:rsid w:val="00022BC3"/>
    <w:rsid w:val="00022E32"/>
    <w:rsid w:val="0002315B"/>
    <w:rsid w:val="00023D8F"/>
    <w:rsid w:val="00024751"/>
    <w:rsid w:val="00024D0B"/>
    <w:rsid w:val="00030E5D"/>
    <w:rsid w:val="00031BD2"/>
    <w:rsid w:val="0003451E"/>
    <w:rsid w:val="00034B53"/>
    <w:rsid w:val="000355CB"/>
    <w:rsid w:val="00036121"/>
    <w:rsid w:val="00037AC3"/>
    <w:rsid w:val="00047718"/>
    <w:rsid w:val="000507BA"/>
    <w:rsid w:val="000511AA"/>
    <w:rsid w:val="00052B25"/>
    <w:rsid w:val="00053E4D"/>
    <w:rsid w:val="0005468C"/>
    <w:rsid w:val="00054BF7"/>
    <w:rsid w:val="00055252"/>
    <w:rsid w:val="0005562A"/>
    <w:rsid w:val="00056C09"/>
    <w:rsid w:val="00064557"/>
    <w:rsid w:val="0006681B"/>
    <w:rsid w:val="00070DC9"/>
    <w:rsid w:val="00071223"/>
    <w:rsid w:val="00071241"/>
    <w:rsid w:val="000754CA"/>
    <w:rsid w:val="0007615B"/>
    <w:rsid w:val="00077564"/>
    <w:rsid w:val="00077F31"/>
    <w:rsid w:val="000803CF"/>
    <w:rsid w:val="00080A12"/>
    <w:rsid w:val="00081E77"/>
    <w:rsid w:val="000838E1"/>
    <w:rsid w:val="00083959"/>
    <w:rsid w:val="00083A9B"/>
    <w:rsid w:val="000844DC"/>
    <w:rsid w:val="00086354"/>
    <w:rsid w:val="000967DE"/>
    <w:rsid w:val="00096E88"/>
    <w:rsid w:val="000A04FE"/>
    <w:rsid w:val="000A0843"/>
    <w:rsid w:val="000A33F3"/>
    <w:rsid w:val="000A3AB8"/>
    <w:rsid w:val="000A3D92"/>
    <w:rsid w:val="000A42FF"/>
    <w:rsid w:val="000A6F34"/>
    <w:rsid w:val="000B2E2F"/>
    <w:rsid w:val="000B3282"/>
    <w:rsid w:val="000B3796"/>
    <w:rsid w:val="000B3E9C"/>
    <w:rsid w:val="000B4735"/>
    <w:rsid w:val="000B4867"/>
    <w:rsid w:val="000B60F3"/>
    <w:rsid w:val="000B6AA4"/>
    <w:rsid w:val="000C088E"/>
    <w:rsid w:val="000C1469"/>
    <w:rsid w:val="000C4D7D"/>
    <w:rsid w:val="000C78FC"/>
    <w:rsid w:val="000D44F1"/>
    <w:rsid w:val="000D5FC1"/>
    <w:rsid w:val="000D610E"/>
    <w:rsid w:val="000E0CEF"/>
    <w:rsid w:val="000E24B2"/>
    <w:rsid w:val="000E2536"/>
    <w:rsid w:val="000E415C"/>
    <w:rsid w:val="000E42E6"/>
    <w:rsid w:val="000E4573"/>
    <w:rsid w:val="000E53EE"/>
    <w:rsid w:val="000F0924"/>
    <w:rsid w:val="000F2546"/>
    <w:rsid w:val="000F3AD5"/>
    <w:rsid w:val="000F417D"/>
    <w:rsid w:val="000F5078"/>
    <w:rsid w:val="000F6165"/>
    <w:rsid w:val="0010388A"/>
    <w:rsid w:val="00104483"/>
    <w:rsid w:val="00105347"/>
    <w:rsid w:val="00106C5A"/>
    <w:rsid w:val="00107277"/>
    <w:rsid w:val="00107E85"/>
    <w:rsid w:val="00111800"/>
    <w:rsid w:val="00111B62"/>
    <w:rsid w:val="00112C07"/>
    <w:rsid w:val="001143BB"/>
    <w:rsid w:val="00114C44"/>
    <w:rsid w:val="00114D47"/>
    <w:rsid w:val="00114D85"/>
    <w:rsid w:val="00116243"/>
    <w:rsid w:val="0011706C"/>
    <w:rsid w:val="001170F1"/>
    <w:rsid w:val="00117C0C"/>
    <w:rsid w:val="00123D8D"/>
    <w:rsid w:val="001248B6"/>
    <w:rsid w:val="001278B9"/>
    <w:rsid w:val="00127C78"/>
    <w:rsid w:val="00130452"/>
    <w:rsid w:val="00132148"/>
    <w:rsid w:val="00133C71"/>
    <w:rsid w:val="001340D2"/>
    <w:rsid w:val="00134161"/>
    <w:rsid w:val="001354EE"/>
    <w:rsid w:val="001357EC"/>
    <w:rsid w:val="00140617"/>
    <w:rsid w:val="00141687"/>
    <w:rsid w:val="001441C1"/>
    <w:rsid w:val="00146A99"/>
    <w:rsid w:val="00147A61"/>
    <w:rsid w:val="00150A99"/>
    <w:rsid w:val="001521B5"/>
    <w:rsid w:val="0015348F"/>
    <w:rsid w:val="00154AFC"/>
    <w:rsid w:val="001558CC"/>
    <w:rsid w:val="0015797D"/>
    <w:rsid w:val="00162CC0"/>
    <w:rsid w:val="00162D44"/>
    <w:rsid w:val="001631A2"/>
    <w:rsid w:val="0016383D"/>
    <w:rsid w:val="00165367"/>
    <w:rsid w:val="00166975"/>
    <w:rsid w:val="00167252"/>
    <w:rsid w:val="00167CF0"/>
    <w:rsid w:val="00170F44"/>
    <w:rsid w:val="00172111"/>
    <w:rsid w:val="00172674"/>
    <w:rsid w:val="00172B50"/>
    <w:rsid w:val="001740E9"/>
    <w:rsid w:val="00174BE0"/>
    <w:rsid w:val="001816AF"/>
    <w:rsid w:val="00182802"/>
    <w:rsid w:val="00182A47"/>
    <w:rsid w:val="0018325A"/>
    <w:rsid w:val="001836F3"/>
    <w:rsid w:val="00183946"/>
    <w:rsid w:val="00183D72"/>
    <w:rsid w:val="00183FBF"/>
    <w:rsid w:val="001849B5"/>
    <w:rsid w:val="00187B50"/>
    <w:rsid w:val="00191372"/>
    <w:rsid w:val="00191F19"/>
    <w:rsid w:val="00196E37"/>
    <w:rsid w:val="001A2C69"/>
    <w:rsid w:val="001A3250"/>
    <w:rsid w:val="001A3719"/>
    <w:rsid w:val="001A7DD3"/>
    <w:rsid w:val="001B0F14"/>
    <w:rsid w:val="001B14AB"/>
    <w:rsid w:val="001B28ED"/>
    <w:rsid w:val="001B50A9"/>
    <w:rsid w:val="001C1882"/>
    <w:rsid w:val="001C1964"/>
    <w:rsid w:val="001C425E"/>
    <w:rsid w:val="001C6A80"/>
    <w:rsid w:val="001C7B46"/>
    <w:rsid w:val="001D2FA3"/>
    <w:rsid w:val="001D5664"/>
    <w:rsid w:val="001D5AF7"/>
    <w:rsid w:val="001D70A7"/>
    <w:rsid w:val="001E29F0"/>
    <w:rsid w:val="001E2C25"/>
    <w:rsid w:val="001E4241"/>
    <w:rsid w:val="001F0A82"/>
    <w:rsid w:val="001F2E08"/>
    <w:rsid w:val="001F3823"/>
    <w:rsid w:val="001F3D77"/>
    <w:rsid w:val="001F5AF8"/>
    <w:rsid w:val="001F6CFC"/>
    <w:rsid w:val="0020171B"/>
    <w:rsid w:val="00204930"/>
    <w:rsid w:val="00207B4A"/>
    <w:rsid w:val="00210ED2"/>
    <w:rsid w:val="0021172A"/>
    <w:rsid w:val="00211BB6"/>
    <w:rsid w:val="00212FCB"/>
    <w:rsid w:val="002132A2"/>
    <w:rsid w:val="0021343F"/>
    <w:rsid w:val="00226141"/>
    <w:rsid w:val="002269ED"/>
    <w:rsid w:val="00230B22"/>
    <w:rsid w:val="00231AF4"/>
    <w:rsid w:val="002344D7"/>
    <w:rsid w:val="00234AD5"/>
    <w:rsid w:val="00234F0B"/>
    <w:rsid w:val="00242321"/>
    <w:rsid w:val="00244BA9"/>
    <w:rsid w:val="00247657"/>
    <w:rsid w:val="00247781"/>
    <w:rsid w:val="002500BA"/>
    <w:rsid w:val="00251262"/>
    <w:rsid w:val="002513D4"/>
    <w:rsid w:val="00252C5F"/>
    <w:rsid w:val="00254D28"/>
    <w:rsid w:val="0025582B"/>
    <w:rsid w:val="00256752"/>
    <w:rsid w:val="00260B51"/>
    <w:rsid w:val="00264A7E"/>
    <w:rsid w:val="00264C3C"/>
    <w:rsid w:val="00265B2D"/>
    <w:rsid w:val="002663FA"/>
    <w:rsid w:val="0026664B"/>
    <w:rsid w:val="00275580"/>
    <w:rsid w:val="00276764"/>
    <w:rsid w:val="00280A05"/>
    <w:rsid w:val="00280F70"/>
    <w:rsid w:val="00282200"/>
    <w:rsid w:val="00284AD6"/>
    <w:rsid w:val="0028560A"/>
    <w:rsid w:val="00285DC8"/>
    <w:rsid w:val="00291F73"/>
    <w:rsid w:val="00292056"/>
    <w:rsid w:val="00292D9D"/>
    <w:rsid w:val="002944DD"/>
    <w:rsid w:val="00295CB7"/>
    <w:rsid w:val="00297B22"/>
    <w:rsid w:val="002A22F3"/>
    <w:rsid w:val="002B0076"/>
    <w:rsid w:val="002B3E58"/>
    <w:rsid w:val="002B5111"/>
    <w:rsid w:val="002B59B6"/>
    <w:rsid w:val="002B6EB8"/>
    <w:rsid w:val="002B7069"/>
    <w:rsid w:val="002C0684"/>
    <w:rsid w:val="002C0F19"/>
    <w:rsid w:val="002C3B69"/>
    <w:rsid w:val="002C4688"/>
    <w:rsid w:val="002C4924"/>
    <w:rsid w:val="002C562D"/>
    <w:rsid w:val="002C5B84"/>
    <w:rsid w:val="002D143C"/>
    <w:rsid w:val="002D2E67"/>
    <w:rsid w:val="002D5A83"/>
    <w:rsid w:val="002D65D2"/>
    <w:rsid w:val="002D68C2"/>
    <w:rsid w:val="002D71EB"/>
    <w:rsid w:val="002D7D9E"/>
    <w:rsid w:val="002D7FD5"/>
    <w:rsid w:val="002E070F"/>
    <w:rsid w:val="002E099E"/>
    <w:rsid w:val="002E0EC5"/>
    <w:rsid w:val="002E3C67"/>
    <w:rsid w:val="002E452F"/>
    <w:rsid w:val="002E5479"/>
    <w:rsid w:val="002E561F"/>
    <w:rsid w:val="002E7410"/>
    <w:rsid w:val="002E756A"/>
    <w:rsid w:val="002E7736"/>
    <w:rsid w:val="002F0B11"/>
    <w:rsid w:val="002F0DC8"/>
    <w:rsid w:val="002F6917"/>
    <w:rsid w:val="002F7E14"/>
    <w:rsid w:val="00300419"/>
    <w:rsid w:val="00307AD1"/>
    <w:rsid w:val="00311A33"/>
    <w:rsid w:val="00311A34"/>
    <w:rsid w:val="00312B45"/>
    <w:rsid w:val="00313C3B"/>
    <w:rsid w:val="00314402"/>
    <w:rsid w:val="00315C3C"/>
    <w:rsid w:val="003160DD"/>
    <w:rsid w:val="00316347"/>
    <w:rsid w:val="00317905"/>
    <w:rsid w:val="00317F7D"/>
    <w:rsid w:val="00321043"/>
    <w:rsid w:val="00321EC5"/>
    <w:rsid w:val="0032249A"/>
    <w:rsid w:val="0032286E"/>
    <w:rsid w:val="0032296E"/>
    <w:rsid w:val="00324C45"/>
    <w:rsid w:val="003252A8"/>
    <w:rsid w:val="003252DC"/>
    <w:rsid w:val="003253D6"/>
    <w:rsid w:val="00326C6A"/>
    <w:rsid w:val="00327364"/>
    <w:rsid w:val="00336EA5"/>
    <w:rsid w:val="00342AFD"/>
    <w:rsid w:val="003432FE"/>
    <w:rsid w:val="00343E4E"/>
    <w:rsid w:val="00344965"/>
    <w:rsid w:val="003469CC"/>
    <w:rsid w:val="00346CEF"/>
    <w:rsid w:val="0035572B"/>
    <w:rsid w:val="00355FF0"/>
    <w:rsid w:val="00356AB8"/>
    <w:rsid w:val="003574A9"/>
    <w:rsid w:val="00360713"/>
    <w:rsid w:val="00361F6F"/>
    <w:rsid w:val="0036211D"/>
    <w:rsid w:val="00364937"/>
    <w:rsid w:val="00365D56"/>
    <w:rsid w:val="00365F37"/>
    <w:rsid w:val="0036729E"/>
    <w:rsid w:val="00367ACF"/>
    <w:rsid w:val="00370F8A"/>
    <w:rsid w:val="00370FE2"/>
    <w:rsid w:val="003712B8"/>
    <w:rsid w:val="00373A06"/>
    <w:rsid w:val="00373E08"/>
    <w:rsid w:val="0037479E"/>
    <w:rsid w:val="00375231"/>
    <w:rsid w:val="00376A10"/>
    <w:rsid w:val="00377C47"/>
    <w:rsid w:val="00382527"/>
    <w:rsid w:val="0038713C"/>
    <w:rsid w:val="003905D1"/>
    <w:rsid w:val="00391F99"/>
    <w:rsid w:val="00396647"/>
    <w:rsid w:val="00397AA6"/>
    <w:rsid w:val="003A237E"/>
    <w:rsid w:val="003A369A"/>
    <w:rsid w:val="003A3BB0"/>
    <w:rsid w:val="003A3E69"/>
    <w:rsid w:val="003A46E3"/>
    <w:rsid w:val="003A46FA"/>
    <w:rsid w:val="003A496C"/>
    <w:rsid w:val="003A583A"/>
    <w:rsid w:val="003A5FCE"/>
    <w:rsid w:val="003A68DE"/>
    <w:rsid w:val="003B0871"/>
    <w:rsid w:val="003B0A01"/>
    <w:rsid w:val="003B1062"/>
    <w:rsid w:val="003B3EF2"/>
    <w:rsid w:val="003B6A34"/>
    <w:rsid w:val="003B6C01"/>
    <w:rsid w:val="003B6D97"/>
    <w:rsid w:val="003B7789"/>
    <w:rsid w:val="003B79C1"/>
    <w:rsid w:val="003C0129"/>
    <w:rsid w:val="003C03F6"/>
    <w:rsid w:val="003C2712"/>
    <w:rsid w:val="003C43EB"/>
    <w:rsid w:val="003C462F"/>
    <w:rsid w:val="003C4E13"/>
    <w:rsid w:val="003C513B"/>
    <w:rsid w:val="003C56B0"/>
    <w:rsid w:val="003C6682"/>
    <w:rsid w:val="003C76C4"/>
    <w:rsid w:val="003D04B4"/>
    <w:rsid w:val="003D1CDE"/>
    <w:rsid w:val="003D521E"/>
    <w:rsid w:val="003D61C6"/>
    <w:rsid w:val="003D7C55"/>
    <w:rsid w:val="003E102C"/>
    <w:rsid w:val="003E1DF3"/>
    <w:rsid w:val="003E1F82"/>
    <w:rsid w:val="003E23FC"/>
    <w:rsid w:val="003E5B86"/>
    <w:rsid w:val="003E752D"/>
    <w:rsid w:val="003E7547"/>
    <w:rsid w:val="003E76EF"/>
    <w:rsid w:val="003F6F8D"/>
    <w:rsid w:val="00402DCE"/>
    <w:rsid w:val="00403DDD"/>
    <w:rsid w:val="00404148"/>
    <w:rsid w:val="00405A2F"/>
    <w:rsid w:val="00412829"/>
    <w:rsid w:val="00413185"/>
    <w:rsid w:val="004140F2"/>
    <w:rsid w:val="00414271"/>
    <w:rsid w:val="00415064"/>
    <w:rsid w:val="004155A1"/>
    <w:rsid w:val="00420180"/>
    <w:rsid w:val="004216E3"/>
    <w:rsid w:val="004221F2"/>
    <w:rsid w:val="00425DE8"/>
    <w:rsid w:val="0042606E"/>
    <w:rsid w:val="00426DEA"/>
    <w:rsid w:val="00427B99"/>
    <w:rsid w:val="004304DF"/>
    <w:rsid w:val="00431D8B"/>
    <w:rsid w:val="004345E8"/>
    <w:rsid w:val="00435016"/>
    <w:rsid w:val="00435972"/>
    <w:rsid w:val="00435ED1"/>
    <w:rsid w:val="00436660"/>
    <w:rsid w:val="00436698"/>
    <w:rsid w:val="004405C7"/>
    <w:rsid w:val="00445209"/>
    <w:rsid w:val="004509A2"/>
    <w:rsid w:val="00450E29"/>
    <w:rsid w:val="00451174"/>
    <w:rsid w:val="00454D9F"/>
    <w:rsid w:val="00456104"/>
    <w:rsid w:val="004577EF"/>
    <w:rsid w:val="00457A25"/>
    <w:rsid w:val="00457D29"/>
    <w:rsid w:val="004618D3"/>
    <w:rsid w:val="004640C8"/>
    <w:rsid w:val="00464624"/>
    <w:rsid w:val="00464F97"/>
    <w:rsid w:val="0046510B"/>
    <w:rsid w:val="00465810"/>
    <w:rsid w:val="00465C18"/>
    <w:rsid w:val="004665B2"/>
    <w:rsid w:val="00467245"/>
    <w:rsid w:val="004678AB"/>
    <w:rsid w:val="004706AD"/>
    <w:rsid w:val="00471986"/>
    <w:rsid w:val="00472291"/>
    <w:rsid w:val="00472309"/>
    <w:rsid w:val="00472D3C"/>
    <w:rsid w:val="0047521F"/>
    <w:rsid w:val="004753EF"/>
    <w:rsid w:val="004777A0"/>
    <w:rsid w:val="0048278C"/>
    <w:rsid w:val="00482B72"/>
    <w:rsid w:val="004830F0"/>
    <w:rsid w:val="00484D66"/>
    <w:rsid w:val="00486355"/>
    <w:rsid w:val="00486767"/>
    <w:rsid w:val="0048752F"/>
    <w:rsid w:val="004878A8"/>
    <w:rsid w:val="0049071F"/>
    <w:rsid w:val="004913BA"/>
    <w:rsid w:val="00491AD0"/>
    <w:rsid w:val="00492B28"/>
    <w:rsid w:val="00493598"/>
    <w:rsid w:val="0049511F"/>
    <w:rsid w:val="004952EC"/>
    <w:rsid w:val="004959B9"/>
    <w:rsid w:val="00497D57"/>
    <w:rsid w:val="004A04A5"/>
    <w:rsid w:val="004A26EE"/>
    <w:rsid w:val="004A2B2E"/>
    <w:rsid w:val="004A5980"/>
    <w:rsid w:val="004A5CDD"/>
    <w:rsid w:val="004A619F"/>
    <w:rsid w:val="004A6656"/>
    <w:rsid w:val="004A70E2"/>
    <w:rsid w:val="004A7933"/>
    <w:rsid w:val="004B00DD"/>
    <w:rsid w:val="004B1897"/>
    <w:rsid w:val="004B1EE7"/>
    <w:rsid w:val="004B3BAB"/>
    <w:rsid w:val="004B5423"/>
    <w:rsid w:val="004B56B5"/>
    <w:rsid w:val="004B60D3"/>
    <w:rsid w:val="004B659D"/>
    <w:rsid w:val="004B6AF4"/>
    <w:rsid w:val="004B7A95"/>
    <w:rsid w:val="004C461F"/>
    <w:rsid w:val="004C4B52"/>
    <w:rsid w:val="004C4E4A"/>
    <w:rsid w:val="004C7FF9"/>
    <w:rsid w:val="004D1DA8"/>
    <w:rsid w:val="004D27B6"/>
    <w:rsid w:val="004D41EE"/>
    <w:rsid w:val="004D6B19"/>
    <w:rsid w:val="004D6CE0"/>
    <w:rsid w:val="004D716E"/>
    <w:rsid w:val="004D75D7"/>
    <w:rsid w:val="004D7A2F"/>
    <w:rsid w:val="004E0039"/>
    <w:rsid w:val="004E0279"/>
    <w:rsid w:val="004E0822"/>
    <w:rsid w:val="004E230D"/>
    <w:rsid w:val="004E3014"/>
    <w:rsid w:val="004E4B98"/>
    <w:rsid w:val="004E5AC7"/>
    <w:rsid w:val="004E7140"/>
    <w:rsid w:val="004F12A3"/>
    <w:rsid w:val="004F2709"/>
    <w:rsid w:val="004F509B"/>
    <w:rsid w:val="004F5BF3"/>
    <w:rsid w:val="004F712D"/>
    <w:rsid w:val="00500AB3"/>
    <w:rsid w:val="005061D2"/>
    <w:rsid w:val="00506AE7"/>
    <w:rsid w:val="0051329F"/>
    <w:rsid w:val="00514B04"/>
    <w:rsid w:val="00516724"/>
    <w:rsid w:val="00516F75"/>
    <w:rsid w:val="005212E8"/>
    <w:rsid w:val="0052662E"/>
    <w:rsid w:val="005271F8"/>
    <w:rsid w:val="0052784B"/>
    <w:rsid w:val="00531205"/>
    <w:rsid w:val="0053756D"/>
    <w:rsid w:val="00537934"/>
    <w:rsid w:val="00537D3A"/>
    <w:rsid w:val="00540F6B"/>
    <w:rsid w:val="00543849"/>
    <w:rsid w:val="005449F8"/>
    <w:rsid w:val="00545A3F"/>
    <w:rsid w:val="0054696D"/>
    <w:rsid w:val="00550987"/>
    <w:rsid w:val="00551188"/>
    <w:rsid w:val="0055271D"/>
    <w:rsid w:val="00552B23"/>
    <w:rsid w:val="0055368E"/>
    <w:rsid w:val="00553F85"/>
    <w:rsid w:val="00555BE6"/>
    <w:rsid w:val="005573C3"/>
    <w:rsid w:val="00560119"/>
    <w:rsid w:val="00560BA4"/>
    <w:rsid w:val="00560D1E"/>
    <w:rsid w:val="00560E22"/>
    <w:rsid w:val="005614B4"/>
    <w:rsid w:val="0056394D"/>
    <w:rsid w:val="00565150"/>
    <w:rsid w:val="0056534D"/>
    <w:rsid w:val="005678EB"/>
    <w:rsid w:val="00567DAB"/>
    <w:rsid w:val="00576B7C"/>
    <w:rsid w:val="00580320"/>
    <w:rsid w:val="005820DF"/>
    <w:rsid w:val="00582DF1"/>
    <w:rsid w:val="00583EE6"/>
    <w:rsid w:val="00590D4B"/>
    <w:rsid w:val="005912C9"/>
    <w:rsid w:val="00591873"/>
    <w:rsid w:val="00592EB1"/>
    <w:rsid w:val="00595E16"/>
    <w:rsid w:val="00595FEE"/>
    <w:rsid w:val="00597253"/>
    <w:rsid w:val="005A0035"/>
    <w:rsid w:val="005A0095"/>
    <w:rsid w:val="005A0C14"/>
    <w:rsid w:val="005A1528"/>
    <w:rsid w:val="005A393B"/>
    <w:rsid w:val="005A7BDF"/>
    <w:rsid w:val="005A7EAF"/>
    <w:rsid w:val="005A7F7E"/>
    <w:rsid w:val="005B1C07"/>
    <w:rsid w:val="005B37F6"/>
    <w:rsid w:val="005B47AA"/>
    <w:rsid w:val="005B6937"/>
    <w:rsid w:val="005B6BDB"/>
    <w:rsid w:val="005C107F"/>
    <w:rsid w:val="005C1702"/>
    <w:rsid w:val="005C50CA"/>
    <w:rsid w:val="005C5DF2"/>
    <w:rsid w:val="005C6790"/>
    <w:rsid w:val="005C6C97"/>
    <w:rsid w:val="005D1684"/>
    <w:rsid w:val="005D208E"/>
    <w:rsid w:val="005D3551"/>
    <w:rsid w:val="005D5A74"/>
    <w:rsid w:val="005D6646"/>
    <w:rsid w:val="005D7AB0"/>
    <w:rsid w:val="005E3172"/>
    <w:rsid w:val="005E3519"/>
    <w:rsid w:val="005E35F9"/>
    <w:rsid w:val="005E3985"/>
    <w:rsid w:val="005E6124"/>
    <w:rsid w:val="005F2BEE"/>
    <w:rsid w:val="005F54ED"/>
    <w:rsid w:val="005F5610"/>
    <w:rsid w:val="005F5825"/>
    <w:rsid w:val="005F645D"/>
    <w:rsid w:val="00600E3D"/>
    <w:rsid w:val="0060186D"/>
    <w:rsid w:val="006022A7"/>
    <w:rsid w:val="00602327"/>
    <w:rsid w:val="00603247"/>
    <w:rsid w:val="00606D03"/>
    <w:rsid w:val="00610938"/>
    <w:rsid w:val="0061154C"/>
    <w:rsid w:val="00614E78"/>
    <w:rsid w:val="006162F6"/>
    <w:rsid w:val="00622B94"/>
    <w:rsid w:val="006242DA"/>
    <w:rsid w:val="00627550"/>
    <w:rsid w:val="006311E9"/>
    <w:rsid w:val="00631FAC"/>
    <w:rsid w:val="00634343"/>
    <w:rsid w:val="006353CD"/>
    <w:rsid w:val="00636A46"/>
    <w:rsid w:val="006400D9"/>
    <w:rsid w:val="006434F9"/>
    <w:rsid w:val="00644F94"/>
    <w:rsid w:val="006462C1"/>
    <w:rsid w:val="006464F7"/>
    <w:rsid w:val="00646918"/>
    <w:rsid w:val="00646930"/>
    <w:rsid w:val="00651620"/>
    <w:rsid w:val="0065178D"/>
    <w:rsid w:val="00652402"/>
    <w:rsid w:val="00653248"/>
    <w:rsid w:val="006534AE"/>
    <w:rsid w:val="00653ADB"/>
    <w:rsid w:val="00654335"/>
    <w:rsid w:val="00655E03"/>
    <w:rsid w:val="006562F4"/>
    <w:rsid w:val="00656B14"/>
    <w:rsid w:val="00656BE5"/>
    <w:rsid w:val="00657A40"/>
    <w:rsid w:val="0066037A"/>
    <w:rsid w:val="006620C9"/>
    <w:rsid w:val="00662995"/>
    <w:rsid w:val="00663504"/>
    <w:rsid w:val="006637E5"/>
    <w:rsid w:val="00664D3C"/>
    <w:rsid w:val="00665954"/>
    <w:rsid w:val="006660C1"/>
    <w:rsid w:val="00666CC4"/>
    <w:rsid w:val="0066770E"/>
    <w:rsid w:val="00670F43"/>
    <w:rsid w:val="00672BFD"/>
    <w:rsid w:val="00680454"/>
    <w:rsid w:val="00681655"/>
    <w:rsid w:val="00684091"/>
    <w:rsid w:val="006855C8"/>
    <w:rsid w:val="00685C30"/>
    <w:rsid w:val="006877EF"/>
    <w:rsid w:val="006878AC"/>
    <w:rsid w:val="00687F43"/>
    <w:rsid w:val="00690389"/>
    <w:rsid w:val="0069069C"/>
    <w:rsid w:val="006912B6"/>
    <w:rsid w:val="006921D0"/>
    <w:rsid w:val="00694E37"/>
    <w:rsid w:val="00695DEF"/>
    <w:rsid w:val="00697D18"/>
    <w:rsid w:val="006A185F"/>
    <w:rsid w:val="006A2A9B"/>
    <w:rsid w:val="006B0CC6"/>
    <w:rsid w:val="006B2578"/>
    <w:rsid w:val="006B46BB"/>
    <w:rsid w:val="006B5B6D"/>
    <w:rsid w:val="006B7102"/>
    <w:rsid w:val="006C0347"/>
    <w:rsid w:val="006C0920"/>
    <w:rsid w:val="006C5DAA"/>
    <w:rsid w:val="006C75CF"/>
    <w:rsid w:val="006C7FF3"/>
    <w:rsid w:val="006D440B"/>
    <w:rsid w:val="006D5442"/>
    <w:rsid w:val="006D57D9"/>
    <w:rsid w:val="006D61C2"/>
    <w:rsid w:val="006D7B24"/>
    <w:rsid w:val="006D7E60"/>
    <w:rsid w:val="006E1046"/>
    <w:rsid w:val="006E2013"/>
    <w:rsid w:val="006E3626"/>
    <w:rsid w:val="006E38A3"/>
    <w:rsid w:val="006E5096"/>
    <w:rsid w:val="006E5BED"/>
    <w:rsid w:val="006E7638"/>
    <w:rsid w:val="006F1A58"/>
    <w:rsid w:val="006F4088"/>
    <w:rsid w:val="006F4787"/>
    <w:rsid w:val="006F7155"/>
    <w:rsid w:val="006F72FF"/>
    <w:rsid w:val="00701473"/>
    <w:rsid w:val="007023E1"/>
    <w:rsid w:val="00704963"/>
    <w:rsid w:val="00704FD8"/>
    <w:rsid w:val="00704FEB"/>
    <w:rsid w:val="0070509B"/>
    <w:rsid w:val="007069AA"/>
    <w:rsid w:val="007071A6"/>
    <w:rsid w:val="007102C0"/>
    <w:rsid w:val="007114C6"/>
    <w:rsid w:val="00712367"/>
    <w:rsid w:val="00712539"/>
    <w:rsid w:val="00712A0A"/>
    <w:rsid w:val="0071598E"/>
    <w:rsid w:val="0071689C"/>
    <w:rsid w:val="00717787"/>
    <w:rsid w:val="00723526"/>
    <w:rsid w:val="007239F4"/>
    <w:rsid w:val="00724A2F"/>
    <w:rsid w:val="00724A34"/>
    <w:rsid w:val="0073051B"/>
    <w:rsid w:val="007308D3"/>
    <w:rsid w:val="0073139A"/>
    <w:rsid w:val="0073170F"/>
    <w:rsid w:val="00731B91"/>
    <w:rsid w:val="00732591"/>
    <w:rsid w:val="00732B7F"/>
    <w:rsid w:val="00733EBF"/>
    <w:rsid w:val="00734646"/>
    <w:rsid w:val="007353AB"/>
    <w:rsid w:val="0073583C"/>
    <w:rsid w:val="00735AA2"/>
    <w:rsid w:val="00735AE5"/>
    <w:rsid w:val="007375D5"/>
    <w:rsid w:val="0074062A"/>
    <w:rsid w:val="00741A94"/>
    <w:rsid w:val="00743DD3"/>
    <w:rsid w:val="00743DD8"/>
    <w:rsid w:val="007443CB"/>
    <w:rsid w:val="00745891"/>
    <w:rsid w:val="007467A0"/>
    <w:rsid w:val="0074702E"/>
    <w:rsid w:val="00747E94"/>
    <w:rsid w:val="0075117B"/>
    <w:rsid w:val="007520B3"/>
    <w:rsid w:val="00753018"/>
    <w:rsid w:val="007534CC"/>
    <w:rsid w:val="00753698"/>
    <w:rsid w:val="0075483B"/>
    <w:rsid w:val="00756E16"/>
    <w:rsid w:val="00761A6D"/>
    <w:rsid w:val="00762A2F"/>
    <w:rsid w:val="00763042"/>
    <w:rsid w:val="00763418"/>
    <w:rsid w:val="007655C8"/>
    <w:rsid w:val="007661E3"/>
    <w:rsid w:val="00767545"/>
    <w:rsid w:val="00771231"/>
    <w:rsid w:val="00771F0E"/>
    <w:rsid w:val="00772866"/>
    <w:rsid w:val="00773920"/>
    <w:rsid w:val="00773CBB"/>
    <w:rsid w:val="0077430A"/>
    <w:rsid w:val="007743B1"/>
    <w:rsid w:val="00776D8A"/>
    <w:rsid w:val="00780592"/>
    <w:rsid w:val="00783390"/>
    <w:rsid w:val="007835DF"/>
    <w:rsid w:val="00783C3E"/>
    <w:rsid w:val="00787055"/>
    <w:rsid w:val="0079296B"/>
    <w:rsid w:val="00793325"/>
    <w:rsid w:val="00793743"/>
    <w:rsid w:val="007938B6"/>
    <w:rsid w:val="00797B19"/>
    <w:rsid w:val="00797FB0"/>
    <w:rsid w:val="007A1401"/>
    <w:rsid w:val="007A17D5"/>
    <w:rsid w:val="007A1F5D"/>
    <w:rsid w:val="007A2127"/>
    <w:rsid w:val="007A2CBB"/>
    <w:rsid w:val="007A30A5"/>
    <w:rsid w:val="007A4BB7"/>
    <w:rsid w:val="007A6137"/>
    <w:rsid w:val="007A69DC"/>
    <w:rsid w:val="007B071A"/>
    <w:rsid w:val="007B1042"/>
    <w:rsid w:val="007B1EB3"/>
    <w:rsid w:val="007B58CB"/>
    <w:rsid w:val="007B6512"/>
    <w:rsid w:val="007B6C64"/>
    <w:rsid w:val="007B7175"/>
    <w:rsid w:val="007B7769"/>
    <w:rsid w:val="007C2233"/>
    <w:rsid w:val="007C6614"/>
    <w:rsid w:val="007C667C"/>
    <w:rsid w:val="007D09B8"/>
    <w:rsid w:val="007D328C"/>
    <w:rsid w:val="007D450B"/>
    <w:rsid w:val="007D4585"/>
    <w:rsid w:val="007D4A37"/>
    <w:rsid w:val="007D6C0C"/>
    <w:rsid w:val="007E0D51"/>
    <w:rsid w:val="007E5C6C"/>
    <w:rsid w:val="007E6073"/>
    <w:rsid w:val="007E6836"/>
    <w:rsid w:val="007E6C69"/>
    <w:rsid w:val="007E7311"/>
    <w:rsid w:val="007E7539"/>
    <w:rsid w:val="007F0B8B"/>
    <w:rsid w:val="007F0ED4"/>
    <w:rsid w:val="007F4528"/>
    <w:rsid w:val="007F469B"/>
    <w:rsid w:val="007F6BEC"/>
    <w:rsid w:val="00801648"/>
    <w:rsid w:val="00801D7D"/>
    <w:rsid w:val="00802626"/>
    <w:rsid w:val="008026CA"/>
    <w:rsid w:val="00802A29"/>
    <w:rsid w:val="00804A6C"/>
    <w:rsid w:val="0080511E"/>
    <w:rsid w:val="00806739"/>
    <w:rsid w:val="00807154"/>
    <w:rsid w:val="00812D7E"/>
    <w:rsid w:val="00812E4F"/>
    <w:rsid w:val="0081392E"/>
    <w:rsid w:val="00813E8D"/>
    <w:rsid w:val="0081415C"/>
    <w:rsid w:val="008142B1"/>
    <w:rsid w:val="008149FC"/>
    <w:rsid w:val="00814AB0"/>
    <w:rsid w:val="008163D5"/>
    <w:rsid w:val="008210FE"/>
    <w:rsid w:val="0082232E"/>
    <w:rsid w:val="00822FBD"/>
    <w:rsid w:val="00823953"/>
    <w:rsid w:val="00823E21"/>
    <w:rsid w:val="00824879"/>
    <w:rsid w:val="0082704A"/>
    <w:rsid w:val="008274CD"/>
    <w:rsid w:val="00831EB8"/>
    <w:rsid w:val="00832617"/>
    <w:rsid w:val="00835801"/>
    <w:rsid w:val="00835C1A"/>
    <w:rsid w:val="00836F72"/>
    <w:rsid w:val="00840D3A"/>
    <w:rsid w:val="0084275E"/>
    <w:rsid w:val="008441E6"/>
    <w:rsid w:val="00845BDA"/>
    <w:rsid w:val="00846654"/>
    <w:rsid w:val="008519FF"/>
    <w:rsid w:val="00851CCD"/>
    <w:rsid w:val="00853298"/>
    <w:rsid w:val="00857220"/>
    <w:rsid w:val="0085753A"/>
    <w:rsid w:val="00860655"/>
    <w:rsid w:val="00863319"/>
    <w:rsid w:val="008643DD"/>
    <w:rsid w:val="0086485E"/>
    <w:rsid w:val="0086529B"/>
    <w:rsid w:val="0086595F"/>
    <w:rsid w:val="00865ACA"/>
    <w:rsid w:val="00865B50"/>
    <w:rsid w:val="0086687C"/>
    <w:rsid w:val="008701A5"/>
    <w:rsid w:val="00870BB8"/>
    <w:rsid w:val="008722CF"/>
    <w:rsid w:val="008724EF"/>
    <w:rsid w:val="00872C20"/>
    <w:rsid w:val="008736E7"/>
    <w:rsid w:val="00874E75"/>
    <w:rsid w:val="008772C3"/>
    <w:rsid w:val="00880C68"/>
    <w:rsid w:val="00880EAA"/>
    <w:rsid w:val="00880F20"/>
    <w:rsid w:val="0088169A"/>
    <w:rsid w:val="00881964"/>
    <w:rsid w:val="008907B9"/>
    <w:rsid w:val="00894CBA"/>
    <w:rsid w:val="008A0533"/>
    <w:rsid w:val="008A4094"/>
    <w:rsid w:val="008A54FE"/>
    <w:rsid w:val="008A64AF"/>
    <w:rsid w:val="008A79BA"/>
    <w:rsid w:val="008B0062"/>
    <w:rsid w:val="008B01F4"/>
    <w:rsid w:val="008B1488"/>
    <w:rsid w:val="008B17D2"/>
    <w:rsid w:val="008B3917"/>
    <w:rsid w:val="008B50EE"/>
    <w:rsid w:val="008B567C"/>
    <w:rsid w:val="008B6528"/>
    <w:rsid w:val="008B6712"/>
    <w:rsid w:val="008B69BD"/>
    <w:rsid w:val="008B6B6B"/>
    <w:rsid w:val="008C1FA3"/>
    <w:rsid w:val="008C2DEA"/>
    <w:rsid w:val="008C7616"/>
    <w:rsid w:val="008D0DAC"/>
    <w:rsid w:val="008D1158"/>
    <w:rsid w:val="008D1D4E"/>
    <w:rsid w:val="008D3C3C"/>
    <w:rsid w:val="008D4094"/>
    <w:rsid w:val="008D4CAF"/>
    <w:rsid w:val="008D5169"/>
    <w:rsid w:val="008D5D88"/>
    <w:rsid w:val="008D5EE8"/>
    <w:rsid w:val="008D69F9"/>
    <w:rsid w:val="008E05B3"/>
    <w:rsid w:val="008E0AFA"/>
    <w:rsid w:val="008E18ED"/>
    <w:rsid w:val="008E3FA2"/>
    <w:rsid w:val="008E4C6E"/>
    <w:rsid w:val="008E6A2D"/>
    <w:rsid w:val="008E7061"/>
    <w:rsid w:val="008E7417"/>
    <w:rsid w:val="008F1E0A"/>
    <w:rsid w:val="008F2106"/>
    <w:rsid w:val="008F523A"/>
    <w:rsid w:val="008F5303"/>
    <w:rsid w:val="008F5FF2"/>
    <w:rsid w:val="008F7BB6"/>
    <w:rsid w:val="009059A1"/>
    <w:rsid w:val="009122E9"/>
    <w:rsid w:val="00914D93"/>
    <w:rsid w:val="00915FC7"/>
    <w:rsid w:val="009175BE"/>
    <w:rsid w:val="00917D32"/>
    <w:rsid w:val="009203BB"/>
    <w:rsid w:val="00922ECD"/>
    <w:rsid w:val="00923FD5"/>
    <w:rsid w:val="00924A10"/>
    <w:rsid w:val="00926891"/>
    <w:rsid w:val="009301E3"/>
    <w:rsid w:val="009328E7"/>
    <w:rsid w:val="00934CFE"/>
    <w:rsid w:val="00935A45"/>
    <w:rsid w:val="0093615E"/>
    <w:rsid w:val="00936758"/>
    <w:rsid w:val="0093718F"/>
    <w:rsid w:val="009416B9"/>
    <w:rsid w:val="00941FC9"/>
    <w:rsid w:val="00942600"/>
    <w:rsid w:val="00943313"/>
    <w:rsid w:val="009449D2"/>
    <w:rsid w:val="0094548E"/>
    <w:rsid w:val="00951092"/>
    <w:rsid w:val="00951E78"/>
    <w:rsid w:val="009522A3"/>
    <w:rsid w:val="00953527"/>
    <w:rsid w:val="009538DA"/>
    <w:rsid w:val="00954BF4"/>
    <w:rsid w:val="0095634D"/>
    <w:rsid w:val="00957DE6"/>
    <w:rsid w:val="00961750"/>
    <w:rsid w:val="009622D5"/>
    <w:rsid w:val="00962E61"/>
    <w:rsid w:val="00963D5A"/>
    <w:rsid w:val="00965828"/>
    <w:rsid w:val="0096592B"/>
    <w:rsid w:val="00965B07"/>
    <w:rsid w:val="0097051E"/>
    <w:rsid w:val="00970625"/>
    <w:rsid w:val="00970A35"/>
    <w:rsid w:val="00970D92"/>
    <w:rsid w:val="00975391"/>
    <w:rsid w:val="0097637E"/>
    <w:rsid w:val="00982503"/>
    <w:rsid w:val="00982ECE"/>
    <w:rsid w:val="00982F3F"/>
    <w:rsid w:val="009859A7"/>
    <w:rsid w:val="00985AC5"/>
    <w:rsid w:val="00985EA9"/>
    <w:rsid w:val="009869A3"/>
    <w:rsid w:val="009873B0"/>
    <w:rsid w:val="00992E6F"/>
    <w:rsid w:val="00993DB9"/>
    <w:rsid w:val="00994807"/>
    <w:rsid w:val="00995020"/>
    <w:rsid w:val="0099631F"/>
    <w:rsid w:val="0099705B"/>
    <w:rsid w:val="00997507"/>
    <w:rsid w:val="009A02F5"/>
    <w:rsid w:val="009A099C"/>
    <w:rsid w:val="009A1484"/>
    <w:rsid w:val="009A37BF"/>
    <w:rsid w:val="009A403C"/>
    <w:rsid w:val="009A69C0"/>
    <w:rsid w:val="009B1893"/>
    <w:rsid w:val="009B4B74"/>
    <w:rsid w:val="009B66E0"/>
    <w:rsid w:val="009B67E5"/>
    <w:rsid w:val="009B6F98"/>
    <w:rsid w:val="009C09F8"/>
    <w:rsid w:val="009C1FED"/>
    <w:rsid w:val="009C2040"/>
    <w:rsid w:val="009C3C83"/>
    <w:rsid w:val="009C5236"/>
    <w:rsid w:val="009C54F0"/>
    <w:rsid w:val="009C5F6A"/>
    <w:rsid w:val="009C79F4"/>
    <w:rsid w:val="009C7F10"/>
    <w:rsid w:val="009D0CDD"/>
    <w:rsid w:val="009D1426"/>
    <w:rsid w:val="009D2F1B"/>
    <w:rsid w:val="009D6016"/>
    <w:rsid w:val="009D60C3"/>
    <w:rsid w:val="009D731F"/>
    <w:rsid w:val="009E0642"/>
    <w:rsid w:val="009E1FF3"/>
    <w:rsid w:val="009E2072"/>
    <w:rsid w:val="009E2DA6"/>
    <w:rsid w:val="009E534E"/>
    <w:rsid w:val="009E5728"/>
    <w:rsid w:val="009E6AAA"/>
    <w:rsid w:val="009E72BA"/>
    <w:rsid w:val="009F355B"/>
    <w:rsid w:val="009F41F0"/>
    <w:rsid w:val="009F602C"/>
    <w:rsid w:val="009F6A39"/>
    <w:rsid w:val="009F6EC6"/>
    <w:rsid w:val="009F7DA2"/>
    <w:rsid w:val="00A00D72"/>
    <w:rsid w:val="00A023C4"/>
    <w:rsid w:val="00A0595F"/>
    <w:rsid w:val="00A05AB5"/>
    <w:rsid w:val="00A12267"/>
    <w:rsid w:val="00A122D4"/>
    <w:rsid w:val="00A13206"/>
    <w:rsid w:val="00A1375C"/>
    <w:rsid w:val="00A13AA8"/>
    <w:rsid w:val="00A143D3"/>
    <w:rsid w:val="00A14B51"/>
    <w:rsid w:val="00A157D0"/>
    <w:rsid w:val="00A234DA"/>
    <w:rsid w:val="00A239A0"/>
    <w:rsid w:val="00A250DB"/>
    <w:rsid w:val="00A25DA0"/>
    <w:rsid w:val="00A26587"/>
    <w:rsid w:val="00A26F22"/>
    <w:rsid w:val="00A301F5"/>
    <w:rsid w:val="00A3330F"/>
    <w:rsid w:val="00A338B9"/>
    <w:rsid w:val="00A406AD"/>
    <w:rsid w:val="00A414A6"/>
    <w:rsid w:val="00A4438E"/>
    <w:rsid w:val="00A526E0"/>
    <w:rsid w:val="00A52ED7"/>
    <w:rsid w:val="00A55F00"/>
    <w:rsid w:val="00A562D7"/>
    <w:rsid w:val="00A611D1"/>
    <w:rsid w:val="00A66C10"/>
    <w:rsid w:val="00A709A8"/>
    <w:rsid w:val="00A70FD9"/>
    <w:rsid w:val="00A713B2"/>
    <w:rsid w:val="00A72706"/>
    <w:rsid w:val="00A746C8"/>
    <w:rsid w:val="00A81D77"/>
    <w:rsid w:val="00A84259"/>
    <w:rsid w:val="00A86DC8"/>
    <w:rsid w:val="00A8709D"/>
    <w:rsid w:val="00A87709"/>
    <w:rsid w:val="00A879F9"/>
    <w:rsid w:val="00A90900"/>
    <w:rsid w:val="00A91F59"/>
    <w:rsid w:val="00A93D1E"/>
    <w:rsid w:val="00A94AE9"/>
    <w:rsid w:val="00A9577C"/>
    <w:rsid w:val="00A95A81"/>
    <w:rsid w:val="00A961A5"/>
    <w:rsid w:val="00A96DFB"/>
    <w:rsid w:val="00AA267D"/>
    <w:rsid w:val="00AA27C6"/>
    <w:rsid w:val="00AA423E"/>
    <w:rsid w:val="00AA50EF"/>
    <w:rsid w:val="00AA6D51"/>
    <w:rsid w:val="00AB1BFC"/>
    <w:rsid w:val="00AB1E6B"/>
    <w:rsid w:val="00AB2BE0"/>
    <w:rsid w:val="00AB439F"/>
    <w:rsid w:val="00AB46A7"/>
    <w:rsid w:val="00AB48EA"/>
    <w:rsid w:val="00AB523D"/>
    <w:rsid w:val="00AB539B"/>
    <w:rsid w:val="00AB5F4A"/>
    <w:rsid w:val="00AB6F8B"/>
    <w:rsid w:val="00AB7A15"/>
    <w:rsid w:val="00AC067E"/>
    <w:rsid w:val="00AC06D9"/>
    <w:rsid w:val="00AC0A33"/>
    <w:rsid w:val="00AC1C23"/>
    <w:rsid w:val="00AC2A1C"/>
    <w:rsid w:val="00AC2BB9"/>
    <w:rsid w:val="00AC643A"/>
    <w:rsid w:val="00AD1528"/>
    <w:rsid w:val="00AD2B43"/>
    <w:rsid w:val="00AD5A3F"/>
    <w:rsid w:val="00AD6158"/>
    <w:rsid w:val="00AD75AD"/>
    <w:rsid w:val="00AD774F"/>
    <w:rsid w:val="00AD77F2"/>
    <w:rsid w:val="00AE25AC"/>
    <w:rsid w:val="00AE28A4"/>
    <w:rsid w:val="00AE3207"/>
    <w:rsid w:val="00AE57E0"/>
    <w:rsid w:val="00AE6740"/>
    <w:rsid w:val="00AF1E5B"/>
    <w:rsid w:val="00AF488C"/>
    <w:rsid w:val="00AF5126"/>
    <w:rsid w:val="00AF7C4F"/>
    <w:rsid w:val="00B00776"/>
    <w:rsid w:val="00B011A6"/>
    <w:rsid w:val="00B0121F"/>
    <w:rsid w:val="00B027D5"/>
    <w:rsid w:val="00B070A9"/>
    <w:rsid w:val="00B12A34"/>
    <w:rsid w:val="00B14BAA"/>
    <w:rsid w:val="00B1568A"/>
    <w:rsid w:val="00B20D14"/>
    <w:rsid w:val="00B21E2A"/>
    <w:rsid w:val="00B22BFA"/>
    <w:rsid w:val="00B231DD"/>
    <w:rsid w:val="00B23F82"/>
    <w:rsid w:val="00B2459F"/>
    <w:rsid w:val="00B24D17"/>
    <w:rsid w:val="00B2571B"/>
    <w:rsid w:val="00B25BB0"/>
    <w:rsid w:val="00B25C80"/>
    <w:rsid w:val="00B27496"/>
    <w:rsid w:val="00B27C74"/>
    <w:rsid w:val="00B30310"/>
    <w:rsid w:val="00B30B20"/>
    <w:rsid w:val="00B30C3C"/>
    <w:rsid w:val="00B313CB"/>
    <w:rsid w:val="00B32495"/>
    <w:rsid w:val="00B326FF"/>
    <w:rsid w:val="00B32B69"/>
    <w:rsid w:val="00B32FB6"/>
    <w:rsid w:val="00B35610"/>
    <w:rsid w:val="00B36CDF"/>
    <w:rsid w:val="00B3775A"/>
    <w:rsid w:val="00B41419"/>
    <w:rsid w:val="00B42C48"/>
    <w:rsid w:val="00B50327"/>
    <w:rsid w:val="00B50E6B"/>
    <w:rsid w:val="00B51184"/>
    <w:rsid w:val="00B5406D"/>
    <w:rsid w:val="00B558DA"/>
    <w:rsid w:val="00B61AAF"/>
    <w:rsid w:val="00B61BE7"/>
    <w:rsid w:val="00B6362F"/>
    <w:rsid w:val="00B63985"/>
    <w:rsid w:val="00B64CBB"/>
    <w:rsid w:val="00B65A85"/>
    <w:rsid w:val="00B671A3"/>
    <w:rsid w:val="00B67E8C"/>
    <w:rsid w:val="00B702D2"/>
    <w:rsid w:val="00B71850"/>
    <w:rsid w:val="00B726D8"/>
    <w:rsid w:val="00B7556C"/>
    <w:rsid w:val="00B761A3"/>
    <w:rsid w:val="00B76A0E"/>
    <w:rsid w:val="00B77D4C"/>
    <w:rsid w:val="00B77D58"/>
    <w:rsid w:val="00B81162"/>
    <w:rsid w:val="00B83A38"/>
    <w:rsid w:val="00B844EB"/>
    <w:rsid w:val="00B85BEE"/>
    <w:rsid w:val="00B86789"/>
    <w:rsid w:val="00B877BA"/>
    <w:rsid w:val="00B87FE6"/>
    <w:rsid w:val="00B90156"/>
    <w:rsid w:val="00B92D83"/>
    <w:rsid w:val="00B953D1"/>
    <w:rsid w:val="00B96E81"/>
    <w:rsid w:val="00BA011B"/>
    <w:rsid w:val="00BA0F9D"/>
    <w:rsid w:val="00BA469B"/>
    <w:rsid w:val="00BA4E2B"/>
    <w:rsid w:val="00BA5AE7"/>
    <w:rsid w:val="00BB0017"/>
    <w:rsid w:val="00BB00D1"/>
    <w:rsid w:val="00BB042E"/>
    <w:rsid w:val="00BB0A3F"/>
    <w:rsid w:val="00BB0F4B"/>
    <w:rsid w:val="00BB2741"/>
    <w:rsid w:val="00BB405E"/>
    <w:rsid w:val="00BB4313"/>
    <w:rsid w:val="00BB514B"/>
    <w:rsid w:val="00BB6C9B"/>
    <w:rsid w:val="00BC3B21"/>
    <w:rsid w:val="00BC6FCF"/>
    <w:rsid w:val="00BD04D6"/>
    <w:rsid w:val="00BD0FBD"/>
    <w:rsid w:val="00BD49F5"/>
    <w:rsid w:val="00BE162E"/>
    <w:rsid w:val="00BE18DD"/>
    <w:rsid w:val="00BE3C4B"/>
    <w:rsid w:val="00BE4552"/>
    <w:rsid w:val="00BE79E4"/>
    <w:rsid w:val="00BF39C7"/>
    <w:rsid w:val="00BF5979"/>
    <w:rsid w:val="00C0078D"/>
    <w:rsid w:val="00C0092F"/>
    <w:rsid w:val="00C01B3E"/>
    <w:rsid w:val="00C027BC"/>
    <w:rsid w:val="00C032C2"/>
    <w:rsid w:val="00C033E2"/>
    <w:rsid w:val="00C046C1"/>
    <w:rsid w:val="00C06F6F"/>
    <w:rsid w:val="00C078F6"/>
    <w:rsid w:val="00C07C14"/>
    <w:rsid w:val="00C10035"/>
    <w:rsid w:val="00C1015B"/>
    <w:rsid w:val="00C12147"/>
    <w:rsid w:val="00C145BC"/>
    <w:rsid w:val="00C15528"/>
    <w:rsid w:val="00C212D8"/>
    <w:rsid w:val="00C249C1"/>
    <w:rsid w:val="00C255CD"/>
    <w:rsid w:val="00C2600B"/>
    <w:rsid w:val="00C265AE"/>
    <w:rsid w:val="00C31422"/>
    <w:rsid w:val="00C31A45"/>
    <w:rsid w:val="00C32719"/>
    <w:rsid w:val="00C327B4"/>
    <w:rsid w:val="00C34075"/>
    <w:rsid w:val="00C34A32"/>
    <w:rsid w:val="00C35C07"/>
    <w:rsid w:val="00C373B6"/>
    <w:rsid w:val="00C37DF6"/>
    <w:rsid w:val="00C41921"/>
    <w:rsid w:val="00C44136"/>
    <w:rsid w:val="00C51DEB"/>
    <w:rsid w:val="00C55440"/>
    <w:rsid w:val="00C57A48"/>
    <w:rsid w:val="00C611CE"/>
    <w:rsid w:val="00C61DF8"/>
    <w:rsid w:val="00C62DC8"/>
    <w:rsid w:val="00C635EC"/>
    <w:rsid w:val="00C67BBA"/>
    <w:rsid w:val="00C7401B"/>
    <w:rsid w:val="00C80BBE"/>
    <w:rsid w:val="00C81A16"/>
    <w:rsid w:val="00C82368"/>
    <w:rsid w:val="00C83B70"/>
    <w:rsid w:val="00C86AB1"/>
    <w:rsid w:val="00C928AB"/>
    <w:rsid w:val="00C92B28"/>
    <w:rsid w:val="00C951B9"/>
    <w:rsid w:val="00C96AB9"/>
    <w:rsid w:val="00C96E65"/>
    <w:rsid w:val="00C978CD"/>
    <w:rsid w:val="00CA0446"/>
    <w:rsid w:val="00CA2F51"/>
    <w:rsid w:val="00CA37DF"/>
    <w:rsid w:val="00CA6680"/>
    <w:rsid w:val="00CA6E04"/>
    <w:rsid w:val="00CB1114"/>
    <w:rsid w:val="00CB4344"/>
    <w:rsid w:val="00CB6B23"/>
    <w:rsid w:val="00CC0E70"/>
    <w:rsid w:val="00CC3F6C"/>
    <w:rsid w:val="00CD08F4"/>
    <w:rsid w:val="00CD09AB"/>
    <w:rsid w:val="00CD2425"/>
    <w:rsid w:val="00CD3B98"/>
    <w:rsid w:val="00CD43F9"/>
    <w:rsid w:val="00CD520D"/>
    <w:rsid w:val="00CD6175"/>
    <w:rsid w:val="00CD6230"/>
    <w:rsid w:val="00CD68E5"/>
    <w:rsid w:val="00CD74C4"/>
    <w:rsid w:val="00CE6B57"/>
    <w:rsid w:val="00CF0D90"/>
    <w:rsid w:val="00CF1C78"/>
    <w:rsid w:val="00CF569B"/>
    <w:rsid w:val="00CF7426"/>
    <w:rsid w:val="00D01F17"/>
    <w:rsid w:val="00D01F34"/>
    <w:rsid w:val="00D02561"/>
    <w:rsid w:val="00D04834"/>
    <w:rsid w:val="00D05F8F"/>
    <w:rsid w:val="00D11A95"/>
    <w:rsid w:val="00D14316"/>
    <w:rsid w:val="00D16F14"/>
    <w:rsid w:val="00D203E6"/>
    <w:rsid w:val="00D20A6B"/>
    <w:rsid w:val="00D22A0E"/>
    <w:rsid w:val="00D246B1"/>
    <w:rsid w:val="00D31089"/>
    <w:rsid w:val="00D310B4"/>
    <w:rsid w:val="00D32E9F"/>
    <w:rsid w:val="00D34F12"/>
    <w:rsid w:val="00D37213"/>
    <w:rsid w:val="00D37286"/>
    <w:rsid w:val="00D37872"/>
    <w:rsid w:val="00D37CB8"/>
    <w:rsid w:val="00D40A47"/>
    <w:rsid w:val="00D42EE5"/>
    <w:rsid w:val="00D46F6F"/>
    <w:rsid w:val="00D4791D"/>
    <w:rsid w:val="00D511DF"/>
    <w:rsid w:val="00D52475"/>
    <w:rsid w:val="00D52611"/>
    <w:rsid w:val="00D52BFE"/>
    <w:rsid w:val="00D5414D"/>
    <w:rsid w:val="00D55BCA"/>
    <w:rsid w:val="00D57385"/>
    <w:rsid w:val="00D57DBF"/>
    <w:rsid w:val="00D611E5"/>
    <w:rsid w:val="00D63764"/>
    <w:rsid w:val="00D63B33"/>
    <w:rsid w:val="00D64500"/>
    <w:rsid w:val="00D67213"/>
    <w:rsid w:val="00D67854"/>
    <w:rsid w:val="00D72646"/>
    <w:rsid w:val="00D729DF"/>
    <w:rsid w:val="00D73085"/>
    <w:rsid w:val="00D7329A"/>
    <w:rsid w:val="00D73532"/>
    <w:rsid w:val="00D736B8"/>
    <w:rsid w:val="00D73A46"/>
    <w:rsid w:val="00D73FAB"/>
    <w:rsid w:val="00D74D85"/>
    <w:rsid w:val="00D750CE"/>
    <w:rsid w:val="00D75655"/>
    <w:rsid w:val="00D7595E"/>
    <w:rsid w:val="00D800D2"/>
    <w:rsid w:val="00D8271D"/>
    <w:rsid w:val="00D82801"/>
    <w:rsid w:val="00D82FEC"/>
    <w:rsid w:val="00D84911"/>
    <w:rsid w:val="00D84C89"/>
    <w:rsid w:val="00D8781E"/>
    <w:rsid w:val="00D905EC"/>
    <w:rsid w:val="00D90E43"/>
    <w:rsid w:val="00D95BBE"/>
    <w:rsid w:val="00D9714C"/>
    <w:rsid w:val="00D97454"/>
    <w:rsid w:val="00DA0CEE"/>
    <w:rsid w:val="00DA22A9"/>
    <w:rsid w:val="00DA2C8D"/>
    <w:rsid w:val="00DA43B6"/>
    <w:rsid w:val="00DA49CC"/>
    <w:rsid w:val="00DA7665"/>
    <w:rsid w:val="00DB0F43"/>
    <w:rsid w:val="00DB0FF9"/>
    <w:rsid w:val="00DB1AA6"/>
    <w:rsid w:val="00DB1FA5"/>
    <w:rsid w:val="00DB24D0"/>
    <w:rsid w:val="00DB32BE"/>
    <w:rsid w:val="00DB3B17"/>
    <w:rsid w:val="00DB669F"/>
    <w:rsid w:val="00DB7488"/>
    <w:rsid w:val="00DB75CB"/>
    <w:rsid w:val="00DB7890"/>
    <w:rsid w:val="00DB7F33"/>
    <w:rsid w:val="00DC0B1A"/>
    <w:rsid w:val="00DC29B8"/>
    <w:rsid w:val="00DC312D"/>
    <w:rsid w:val="00DC3779"/>
    <w:rsid w:val="00DC6373"/>
    <w:rsid w:val="00DC7272"/>
    <w:rsid w:val="00DD0CE1"/>
    <w:rsid w:val="00DD31E0"/>
    <w:rsid w:val="00DD3719"/>
    <w:rsid w:val="00DD3809"/>
    <w:rsid w:val="00DD50A3"/>
    <w:rsid w:val="00DD6DE1"/>
    <w:rsid w:val="00DD7095"/>
    <w:rsid w:val="00DD7522"/>
    <w:rsid w:val="00DE021E"/>
    <w:rsid w:val="00DE0E10"/>
    <w:rsid w:val="00DE16FC"/>
    <w:rsid w:val="00DE1E42"/>
    <w:rsid w:val="00DE366A"/>
    <w:rsid w:val="00DE4110"/>
    <w:rsid w:val="00DE647D"/>
    <w:rsid w:val="00DF19C1"/>
    <w:rsid w:val="00DF387C"/>
    <w:rsid w:val="00DF4A52"/>
    <w:rsid w:val="00DF6A7B"/>
    <w:rsid w:val="00DF726C"/>
    <w:rsid w:val="00DF77DE"/>
    <w:rsid w:val="00E0073C"/>
    <w:rsid w:val="00E0126D"/>
    <w:rsid w:val="00E02FD0"/>
    <w:rsid w:val="00E030A8"/>
    <w:rsid w:val="00E07CC0"/>
    <w:rsid w:val="00E112B8"/>
    <w:rsid w:val="00E12532"/>
    <w:rsid w:val="00E12D0C"/>
    <w:rsid w:val="00E12FE6"/>
    <w:rsid w:val="00E1402A"/>
    <w:rsid w:val="00E201B8"/>
    <w:rsid w:val="00E21163"/>
    <w:rsid w:val="00E21184"/>
    <w:rsid w:val="00E22619"/>
    <w:rsid w:val="00E2281B"/>
    <w:rsid w:val="00E23311"/>
    <w:rsid w:val="00E24A6D"/>
    <w:rsid w:val="00E24DE2"/>
    <w:rsid w:val="00E30BC8"/>
    <w:rsid w:val="00E3253A"/>
    <w:rsid w:val="00E35803"/>
    <w:rsid w:val="00E35ACF"/>
    <w:rsid w:val="00E43437"/>
    <w:rsid w:val="00E457A8"/>
    <w:rsid w:val="00E50EC6"/>
    <w:rsid w:val="00E54C4D"/>
    <w:rsid w:val="00E54DA8"/>
    <w:rsid w:val="00E559A7"/>
    <w:rsid w:val="00E56506"/>
    <w:rsid w:val="00E57E03"/>
    <w:rsid w:val="00E6109F"/>
    <w:rsid w:val="00E62978"/>
    <w:rsid w:val="00E64FAB"/>
    <w:rsid w:val="00E66AED"/>
    <w:rsid w:val="00E67722"/>
    <w:rsid w:val="00E7122A"/>
    <w:rsid w:val="00E71B2A"/>
    <w:rsid w:val="00E751E3"/>
    <w:rsid w:val="00E82C47"/>
    <w:rsid w:val="00E832B7"/>
    <w:rsid w:val="00E84DAB"/>
    <w:rsid w:val="00E84EC2"/>
    <w:rsid w:val="00E86E3F"/>
    <w:rsid w:val="00E908B8"/>
    <w:rsid w:val="00E90EAF"/>
    <w:rsid w:val="00E94899"/>
    <w:rsid w:val="00E95971"/>
    <w:rsid w:val="00E96EF7"/>
    <w:rsid w:val="00EA11A4"/>
    <w:rsid w:val="00EA14D1"/>
    <w:rsid w:val="00EA249D"/>
    <w:rsid w:val="00EA49DA"/>
    <w:rsid w:val="00EB1880"/>
    <w:rsid w:val="00EB245F"/>
    <w:rsid w:val="00EB2F53"/>
    <w:rsid w:val="00EC40F0"/>
    <w:rsid w:val="00EC41DF"/>
    <w:rsid w:val="00EC6491"/>
    <w:rsid w:val="00EC7C14"/>
    <w:rsid w:val="00ED07D7"/>
    <w:rsid w:val="00ED1DCB"/>
    <w:rsid w:val="00ED23B2"/>
    <w:rsid w:val="00ED2447"/>
    <w:rsid w:val="00ED35F1"/>
    <w:rsid w:val="00ED5B6F"/>
    <w:rsid w:val="00ED5CBA"/>
    <w:rsid w:val="00EE124F"/>
    <w:rsid w:val="00EE26B1"/>
    <w:rsid w:val="00EE3A94"/>
    <w:rsid w:val="00EE5877"/>
    <w:rsid w:val="00EE62B0"/>
    <w:rsid w:val="00EE7103"/>
    <w:rsid w:val="00EF0B9D"/>
    <w:rsid w:val="00EF2DED"/>
    <w:rsid w:val="00EF2FA0"/>
    <w:rsid w:val="00EF771D"/>
    <w:rsid w:val="00F002FA"/>
    <w:rsid w:val="00F011EC"/>
    <w:rsid w:val="00F02F80"/>
    <w:rsid w:val="00F03056"/>
    <w:rsid w:val="00F03B88"/>
    <w:rsid w:val="00F03BE5"/>
    <w:rsid w:val="00F054EB"/>
    <w:rsid w:val="00F074F3"/>
    <w:rsid w:val="00F137C0"/>
    <w:rsid w:val="00F13A48"/>
    <w:rsid w:val="00F15F7A"/>
    <w:rsid w:val="00F167E3"/>
    <w:rsid w:val="00F178A9"/>
    <w:rsid w:val="00F178E0"/>
    <w:rsid w:val="00F200E9"/>
    <w:rsid w:val="00F21CC3"/>
    <w:rsid w:val="00F22707"/>
    <w:rsid w:val="00F232C0"/>
    <w:rsid w:val="00F26972"/>
    <w:rsid w:val="00F307FC"/>
    <w:rsid w:val="00F31E8F"/>
    <w:rsid w:val="00F32FAC"/>
    <w:rsid w:val="00F35D25"/>
    <w:rsid w:val="00F36F6B"/>
    <w:rsid w:val="00F4035C"/>
    <w:rsid w:val="00F415A4"/>
    <w:rsid w:val="00F416C3"/>
    <w:rsid w:val="00F428A9"/>
    <w:rsid w:val="00F4395B"/>
    <w:rsid w:val="00F441A9"/>
    <w:rsid w:val="00F50CC3"/>
    <w:rsid w:val="00F54F6C"/>
    <w:rsid w:val="00F5692C"/>
    <w:rsid w:val="00F60070"/>
    <w:rsid w:val="00F60574"/>
    <w:rsid w:val="00F619D6"/>
    <w:rsid w:val="00F62C60"/>
    <w:rsid w:val="00F63BDD"/>
    <w:rsid w:val="00F64FA8"/>
    <w:rsid w:val="00F65DBF"/>
    <w:rsid w:val="00F678FE"/>
    <w:rsid w:val="00F67C3A"/>
    <w:rsid w:val="00F70BB3"/>
    <w:rsid w:val="00F717C6"/>
    <w:rsid w:val="00F72087"/>
    <w:rsid w:val="00F72513"/>
    <w:rsid w:val="00F727C1"/>
    <w:rsid w:val="00F72DFD"/>
    <w:rsid w:val="00F74DD3"/>
    <w:rsid w:val="00F820D9"/>
    <w:rsid w:val="00F82BCF"/>
    <w:rsid w:val="00F852DD"/>
    <w:rsid w:val="00F8648D"/>
    <w:rsid w:val="00F86F99"/>
    <w:rsid w:val="00F8715C"/>
    <w:rsid w:val="00F924D1"/>
    <w:rsid w:val="00F92A38"/>
    <w:rsid w:val="00F92E93"/>
    <w:rsid w:val="00F9533D"/>
    <w:rsid w:val="00F95AE4"/>
    <w:rsid w:val="00F96D14"/>
    <w:rsid w:val="00F97024"/>
    <w:rsid w:val="00F978B2"/>
    <w:rsid w:val="00FA0867"/>
    <w:rsid w:val="00FA16CE"/>
    <w:rsid w:val="00FA1E7D"/>
    <w:rsid w:val="00FA29D1"/>
    <w:rsid w:val="00FA31E9"/>
    <w:rsid w:val="00FA33D6"/>
    <w:rsid w:val="00FA447F"/>
    <w:rsid w:val="00FA56FC"/>
    <w:rsid w:val="00FA6C78"/>
    <w:rsid w:val="00FB3385"/>
    <w:rsid w:val="00FB368D"/>
    <w:rsid w:val="00FB4BEC"/>
    <w:rsid w:val="00FB5458"/>
    <w:rsid w:val="00FB599D"/>
    <w:rsid w:val="00FB5F03"/>
    <w:rsid w:val="00FB65E9"/>
    <w:rsid w:val="00FB73B2"/>
    <w:rsid w:val="00FC30DB"/>
    <w:rsid w:val="00FC3966"/>
    <w:rsid w:val="00FC4652"/>
    <w:rsid w:val="00FC723F"/>
    <w:rsid w:val="00FD1C08"/>
    <w:rsid w:val="00FD2995"/>
    <w:rsid w:val="00FD2CCF"/>
    <w:rsid w:val="00FD6272"/>
    <w:rsid w:val="00FD72E4"/>
    <w:rsid w:val="00FE1334"/>
    <w:rsid w:val="00FE25ED"/>
    <w:rsid w:val="00FE54EC"/>
    <w:rsid w:val="00FE58C1"/>
    <w:rsid w:val="00FE603A"/>
    <w:rsid w:val="00FF092C"/>
    <w:rsid w:val="00FF212B"/>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CB6B23"/>
    <w:pPr>
      <w:keepNext/>
      <w:keepLines/>
      <w:pageBreakBefore/>
      <w:spacing w:before="240" w:after="200"/>
      <w:jc w:val="both"/>
      <w:outlineLvl w:val="0"/>
    </w:pPr>
    <w:rPr>
      <w:rFonts w:eastAsia="Times New Roman" w:cs="Arial"/>
      <w:b/>
      <w:bCs/>
      <w:color w:val="1F4E79" w:themeColor="accent1" w:themeShade="80"/>
      <w:szCs w:val="18"/>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CB6B23"/>
    <w:rPr>
      <w:rFonts w:ascii="Arial" w:eastAsia="Times New Roman" w:hAnsi="Arial" w:cs="Arial"/>
      <w:b/>
      <w:bCs/>
      <w:color w:val="1F4E79" w:themeColor="accent1" w:themeShade="80"/>
      <w:sz w:val="18"/>
      <w:szCs w:val="18"/>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uiPriority w:val="99"/>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uiPriority w:val="99"/>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2"/>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4"/>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styleId="MenoPendente">
    <w:name w:val="Unresolved Mention"/>
    <w:basedOn w:val="Fontepargpadro"/>
    <w:uiPriority w:val="99"/>
    <w:semiHidden/>
    <w:unhideWhenUsed/>
    <w:rsid w:val="00117C0C"/>
    <w:rPr>
      <w:color w:val="605E5C"/>
      <w:shd w:val="clear" w:color="auto" w:fill="E1DFDD"/>
    </w:rPr>
  </w:style>
  <w:style w:type="paragraph" w:customStyle="1" w:styleId="Lista1">
    <w:name w:val="Lista1"/>
    <w:basedOn w:val="Normal"/>
    <w:qFormat/>
    <w:rsid w:val="00402DCE"/>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7D328C"/>
    <w:pPr>
      <w:tabs>
        <w:tab w:val="left" w:pos="7083"/>
      </w:tabs>
      <w:spacing w:before="120" w:after="120" w:line="240" w:lineRule="auto"/>
      <w:ind w:right="57"/>
      <w:jc w:val="both"/>
    </w:pPr>
    <w:rPr>
      <w:rFonts w:ascii="Calibri" w:hAnsi="Calibri"/>
      <w:color w:val="002D4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05191220">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6147439">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25110055">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5571087">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754550956">
      <w:bodyDiv w:val="1"/>
      <w:marLeft w:val="0"/>
      <w:marRight w:val="0"/>
      <w:marTop w:val="0"/>
      <w:marBottom w:val="0"/>
      <w:divBdr>
        <w:top w:val="none" w:sz="0" w:space="0" w:color="auto"/>
        <w:left w:val="none" w:sz="0" w:space="0" w:color="auto"/>
        <w:bottom w:val="none" w:sz="0" w:space="0" w:color="auto"/>
        <w:right w:val="none" w:sz="0" w:space="0" w:color="auto"/>
      </w:divBdr>
    </w:div>
    <w:div w:id="1826971378">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0540172">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1.brasilprev.com.br/quem-somo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limatebonds.net/market/country/brasil/declaracao-de-investidore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bseguros.com.br/seguradora/seguros/quem-somos/sustentabilidade"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bbseguridaderi.com.br/sustentabilidade-e-governanca/sustentabilidade/" TargetMode="External"/><Relationship Id="rId22" Type="http://schemas.openxmlformats.org/officeDocument/2006/relationships/header" Target="header6.xml"/></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10714</Words>
  <Characters>57857</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68435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Suzi Hayashi Arakawa</cp:lastModifiedBy>
  <cp:revision>3</cp:revision>
  <cp:lastPrinted>2021-11-05T22:28:00Z</cp:lastPrinted>
  <dcterms:created xsi:type="dcterms:W3CDTF">2022-02-08T14:58:00Z</dcterms:created>
  <dcterms:modified xsi:type="dcterms:W3CDTF">2022-02-08T15:00:00Z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a22eba-d59e-42ba-acb9-085eb1026b66_Enabled">
    <vt:lpwstr>true</vt:lpwstr>
  </property>
  <property fmtid="{D5CDD505-2E9C-101B-9397-08002B2CF9AE}" pid="3" name="MSIP_Label_1ba22eba-d59e-42ba-acb9-085eb1026b66_SetDate">
    <vt:lpwstr>2022-02-08T15:00:04Z</vt:lpwstr>
  </property>
  <property fmtid="{D5CDD505-2E9C-101B-9397-08002B2CF9AE}" pid="4" name="MSIP_Label_1ba22eba-d59e-42ba-acb9-085eb1026b66_Method">
    <vt:lpwstr>Privileged</vt:lpwstr>
  </property>
  <property fmtid="{D5CDD505-2E9C-101B-9397-08002B2CF9AE}" pid="5" name="MSIP_Label_1ba22eba-d59e-42ba-acb9-085eb1026b66_Name">
    <vt:lpwstr>1ba22eba-d59e-42ba-acb9-085eb1026b66</vt:lpwstr>
  </property>
  <property fmtid="{D5CDD505-2E9C-101B-9397-08002B2CF9AE}" pid="6" name="MSIP_Label_1ba22eba-d59e-42ba-acb9-085eb1026b66_SiteId">
    <vt:lpwstr>ea0c2907-38d2-4181-8750-b0b190b60443</vt:lpwstr>
  </property>
  <property fmtid="{D5CDD505-2E9C-101B-9397-08002B2CF9AE}" pid="7" name="MSIP_Label_1ba22eba-d59e-42ba-acb9-085eb1026b66_ActionId">
    <vt:lpwstr>4d2cb897-5613-4587-b22a-652b5559174a</vt:lpwstr>
  </property>
  <property fmtid="{D5CDD505-2E9C-101B-9397-08002B2CF9AE}" pid="8" name="MSIP_Label_1ba22eba-d59e-42ba-acb9-085eb1026b66_ContentBits">
    <vt:lpwstr>1</vt:lpwstr>
  </property>
</Properties>
</file>