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0BED5C" w14:textId="77777777" w:rsidR="00BB15B8" w:rsidRDefault="00BB15B8" w:rsidP="00BB15B8">
      <w:pPr>
        <w:pStyle w:val="05-Textonormal"/>
        <w:rPr>
          <w:rFonts w:eastAsiaTheme="minorEastAsia"/>
          <w:noProof/>
        </w:rPr>
        <w:sectPr w:rsidR="00BB15B8" w:rsidSect="008540AD">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pgNumType w:start="1"/>
          <w:cols w:space="708"/>
          <w:docGrid w:linePitch="360"/>
        </w:sectPr>
      </w:pPr>
      <w:r>
        <w:rPr>
          <w:noProof/>
        </w:rPr>
        <mc:AlternateContent>
          <mc:Choice Requires="wpg">
            <w:drawing>
              <wp:anchor distT="0" distB="0" distL="114300" distR="114300" simplePos="0" relativeHeight="251659264" behindDoc="0" locked="0" layoutInCell="1" allowOverlap="1" wp14:anchorId="339DB12C" wp14:editId="30E47283">
                <wp:simplePos x="0" y="0"/>
                <wp:positionH relativeFrom="column">
                  <wp:posOffset>0</wp:posOffset>
                </wp:positionH>
                <wp:positionV relativeFrom="paragraph">
                  <wp:posOffset>0</wp:posOffset>
                </wp:positionV>
                <wp:extent cx="12921615" cy="11406505"/>
                <wp:effectExtent l="0" t="0" r="13335" b="23495"/>
                <wp:wrapTight wrapText="bothSides">
                  <wp:wrapPolygon edited="0">
                    <wp:start x="0" y="0"/>
                    <wp:lineTo x="0" y="20274"/>
                    <wp:lineTo x="8280" y="20779"/>
                    <wp:lineTo x="8280" y="20815"/>
                    <wp:lineTo x="9840" y="21428"/>
                    <wp:lineTo x="10954" y="21608"/>
                    <wp:lineTo x="11273" y="21608"/>
                    <wp:lineTo x="12865" y="21608"/>
                    <wp:lineTo x="13184" y="21608"/>
                    <wp:lineTo x="14298" y="21392"/>
                    <wp:lineTo x="14425" y="21356"/>
                    <wp:lineTo x="15858" y="20815"/>
                    <wp:lineTo x="16909" y="20202"/>
                    <wp:lineTo x="17705" y="19624"/>
                    <wp:lineTo x="18916" y="18470"/>
                    <wp:lineTo x="20157" y="16738"/>
                    <wp:lineTo x="20731" y="15584"/>
                    <wp:lineTo x="21113" y="14430"/>
                    <wp:lineTo x="21431" y="13275"/>
                    <wp:lineTo x="21590" y="12121"/>
                    <wp:lineTo x="21590" y="9560"/>
                    <wp:lineTo x="21495" y="8658"/>
                    <wp:lineTo x="21049" y="6926"/>
                    <wp:lineTo x="20571" y="5772"/>
                    <wp:lineTo x="19966" y="4617"/>
                    <wp:lineTo x="19138" y="3463"/>
                    <wp:lineTo x="18056" y="2309"/>
                    <wp:lineTo x="17355" y="1732"/>
                    <wp:lineTo x="16495" y="1154"/>
                    <wp:lineTo x="15699" y="758"/>
                    <wp:lineTo x="15285" y="469"/>
                    <wp:lineTo x="13406" y="36"/>
                    <wp:lineTo x="12770" y="0"/>
                    <wp:lineTo x="0" y="0"/>
                  </wp:wrapPolygon>
                </wp:wrapTight>
                <wp:docPr id="2" name="Gráfico 7"/>
                <wp:cNvGraphicFramePr/>
                <a:graphic xmlns:a="http://schemas.openxmlformats.org/drawingml/2006/main">
                  <a:graphicData uri="http://schemas.microsoft.com/office/word/2010/wordprocessingGroup">
                    <wpg:wgp>
                      <wpg:cNvGrpSpPr/>
                      <wpg:grpSpPr>
                        <a:xfrm>
                          <a:off x="0" y="0"/>
                          <a:ext cx="12921615" cy="11406505"/>
                          <a:chOff x="0" y="0"/>
                          <a:chExt cx="12921931" cy="11407086"/>
                        </a:xfrm>
                      </wpg:grpSpPr>
                      <wps:wsp>
                        <wps:cNvPr id="3" name="Forma Livre: Forma 3"/>
                        <wps:cNvSpPr/>
                        <wps:spPr>
                          <a:xfrm>
                            <a:off x="0" y="0"/>
                            <a:ext cx="7553657" cy="10698428"/>
                          </a:xfrm>
                          <a:custGeom>
                            <a:avLst/>
                            <a:gdLst>
                              <a:gd name="connsiteX0" fmla="*/ 0 w 7553657"/>
                              <a:gd name="connsiteY0" fmla="*/ 0 h 10698428"/>
                              <a:gd name="connsiteX1" fmla="*/ 7553657 w 7553657"/>
                              <a:gd name="connsiteY1" fmla="*/ 0 h 10698428"/>
                              <a:gd name="connsiteX2" fmla="*/ 7553657 w 7553657"/>
                              <a:gd name="connsiteY2" fmla="*/ 10698429 h 10698428"/>
                              <a:gd name="connsiteX3" fmla="*/ 0 w 7553657"/>
                              <a:gd name="connsiteY3" fmla="*/ 10698429 h 10698428"/>
                            </a:gdLst>
                            <a:ahLst/>
                            <a:cxnLst>
                              <a:cxn ang="0">
                                <a:pos x="connsiteX0" y="connsiteY0"/>
                              </a:cxn>
                              <a:cxn ang="0">
                                <a:pos x="connsiteX1" y="connsiteY1"/>
                              </a:cxn>
                              <a:cxn ang="0">
                                <a:pos x="connsiteX2" y="connsiteY2"/>
                              </a:cxn>
                              <a:cxn ang="0">
                                <a:pos x="connsiteX3" y="connsiteY3"/>
                              </a:cxn>
                            </a:cxnLst>
                            <a:rect l="l" t="t" r="r" b="b"/>
                            <a:pathLst>
                              <a:path w="7553657" h="10698428">
                                <a:moveTo>
                                  <a:pt x="0" y="0"/>
                                </a:moveTo>
                                <a:lnTo>
                                  <a:pt x="7553657" y="0"/>
                                </a:lnTo>
                                <a:lnTo>
                                  <a:pt x="7553657" y="10698429"/>
                                </a:lnTo>
                                <a:lnTo>
                                  <a:pt x="0" y="10698429"/>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Forma Livre: Forma 4"/>
                        <wps:cNvSpPr/>
                        <wps:spPr>
                          <a:xfrm>
                            <a:off x="1530529" y="7620"/>
                            <a:ext cx="11391402" cy="11399466"/>
                          </a:xfrm>
                          <a:custGeom>
                            <a:avLst/>
                            <a:gdLst>
                              <a:gd name="connsiteX0" fmla="*/ 0 w 11391402"/>
                              <a:gd name="connsiteY0" fmla="*/ 5699731 h 11399466"/>
                              <a:gd name="connsiteX1" fmla="*/ 5695701 w 11391402"/>
                              <a:gd name="connsiteY1" fmla="*/ 0 h 11399466"/>
                              <a:gd name="connsiteX2" fmla="*/ 11391402 w 11391402"/>
                              <a:gd name="connsiteY2" fmla="*/ 5699731 h 11399466"/>
                              <a:gd name="connsiteX3" fmla="*/ 5695701 w 11391402"/>
                              <a:gd name="connsiteY3" fmla="*/ 11399467 h 11399466"/>
                              <a:gd name="connsiteX4" fmla="*/ 0 w 11391402"/>
                              <a:gd name="connsiteY4" fmla="*/ 5699731 h 1139946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91402" h="11399466">
                                <a:moveTo>
                                  <a:pt x="0" y="5699731"/>
                                </a:moveTo>
                                <a:cubicBezTo>
                                  <a:pt x="0" y="2551851"/>
                                  <a:pt x="2550060" y="0"/>
                                  <a:pt x="5695701" y="0"/>
                                </a:cubicBezTo>
                                <a:cubicBezTo>
                                  <a:pt x="8841357" y="0"/>
                                  <a:pt x="11391402" y="2551851"/>
                                  <a:pt x="11391402" y="5699731"/>
                                </a:cubicBezTo>
                                <a:cubicBezTo>
                                  <a:pt x="11391402" y="8847610"/>
                                  <a:pt x="8841357" y="11399467"/>
                                  <a:pt x="5695701" y="11399467"/>
                                </a:cubicBezTo>
                                <a:cubicBezTo>
                                  <a:pt x="2550060" y="11399467"/>
                                  <a:pt x="0" y="8847610"/>
                                  <a:pt x="0" y="5699731"/>
                                </a:cubicBezTo>
                                <a:close/>
                              </a:path>
                            </a:pathLst>
                          </a:custGeom>
                          <a:noFill/>
                          <a:ln w="19034" cap="flat">
                            <a:solidFill>
                              <a:srgbClr val="B4AFD2"/>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 name="Forma Livre: Forma 5"/>
                        <wps:cNvSpPr/>
                        <wps:spPr>
                          <a:xfrm>
                            <a:off x="4759108" y="2430769"/>
                            <a:ext cx="6548533" cy="6568406"/>
                          </a:xfrm>
                          <a:custGeom>
                            <a:avLst/>
                            <a:gdLst>
                              <a:gd name="connsiteX0" fmla="*/ 0 w 6548533"/>
                              <a:gd name="connsiteY0" fmla="*/ 3284196 h 6568406"/>
                              <a:gd name="connsiteX1" fmla="*/ 3274267 w 6548533"/>
                              <a:gd name="connsiteY1" fmla="*/ 0 h 6568406"/>
                              <a:gd name="connsiteX2" fmla="*/ 6548534 w 6548533"/>
                              <a:gd name="connsiteY2" fmla="*/ 3284196 h 6568406"/>
                              <a:gd name="connsiteX3" fmla="*/ 3274267 w 6548533"/>
                              <a:gd name="connsiteY3" fmla="*/ 6568407 h 6568406"/>
                              <a:gd name="connsiteX4" fmla="*/ 0 w 6548533"/>
                              <a:gd name="connsiteY4" fmla="*/ 3284196 h 65684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48533" h="6568406">
                                <a:moveTo>
                                  <a:pt x="0" y="3284196"/>
                                </a:moveTo>
                                <a:cubicBezTo>
                                  <a:pt x="0" y="1470389"/>
                                  <a:pt x="1465943" y="0"/>
                                  <a:pt x="3274267" y="0"/>
                                </a:cubicBezTo>
                                <a:cubicBezTo>
                                  <a:pt x="5082591" y="0"/>
                                  <a:pt x="6548534" y="1470389"/>
                                  <a:pt x="6548534" y="3284196"/>
                                </a:cubicBezTo>
                                <a:cubicBezTo>
                                  <a:pt x="6548534" y="5098018"/>
                                  <a:pt x="5082591" y="6568407"/>
                                  <a:pt x="3274267" y="6568407"/>
                                </a:cubicBezTo>
                                <a:cubicBezTo>
                                  <a:pt x="1465943" y="6568407"/>
                                  <a:pt x="0" y="5098018"/>
                                  <a:pt x="0" y="3284196"/>
                                </a:cubicBezTo>
                                <a:close/>
                              </a:path>
                            </a:pathLst>
                          </a:custGeom>
                          <a:noFill/>
                          <a:ln w="19034" cap="flat">
                            <a:solidFill>
                              <a:srgbClr val="B4AFD2"/>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vre: Forma 6"/>
                        <wps:cNvSpPr/>
                        <wps:spPr>
                          <a:xfrm>
                            <a:off x="3190506" y="876295"/>
                            <a:ext cx="9700966" cy="9707823"/>
                          </a:xfrm>
                          <a:custGeom>
                            <a:avLst/>
                            <a:gdLst>
                              <a:gd name="connsiteX0" fmla="*/ 0 w 9700966"/>
                              <a:gd name="connsiteY0" fmla="*/ 4853914 h 9707823"/>
                              <a:gd name="connsiteX1" fmla="*/ 4850484 w 9700966"/>
                              <a:gd name="connsiteY1" fmla="*/ 0 h 9707823"/>
                              <a:gd name="connsiteX2" fmla="*/ 9700967 w 9700966"/>
                              <a:gd name="connsiteY2" fmla="*/ 4853914 h 9707823"/>
                              <a:gd name="connsiteX3" fmla="*/ 4850484 w 9700966"/>
                              <a:gd name="connsiteY3" fmla="*/ 9707824 h 9707823"/>
                              <a:gd name="connsiteX4" fmla="*/ 0 w 9700966"/>
                              <a:gd name="connsiteY4" fmla="*/ 4853914 h 970782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700966" h="9707823">
                                <a:moveTo>
                                  <a:pt x="0" y="4853914"/>
                                </a:moveTo>
                                <a:cubicBezTo>
                                  <a:pt x="0" y="2173173"/>
                                  <a:pt x="2171631" y="0"/>
                                  <a:pt x="4850484" y="0"/>
                                </a:cubicBezTo>
                                <a:cubicBezTo>
                                  <a:pt x="7529337" y="0"/>
                                  <a:pt x="9700967" y="2173173"/>
                                  <a:pt x="9700967" y="4853914"/>
                                </a:cubicBezTo>
                                <a:cubicBezTo>
                                  <a:pt x="9700967" y="7534655"/>
                                  <a:pt x="7529337" y="9707824"/>
                                  <a:pt x="4850484" y="9707824"/>
                                </a:cubicBezTo>
                                <a:cubicBezTo>
                                  <a:pt x="2171631" y="9707824"/>
                                  <a:pt x="0" y="7534655"/>
                                  <a:pt x="0" y="4853914"/>
                                </a:cubicBezTo>
                                <a:close/>
                              </a:path>
                            </a:pathLst>
                          </a:custGeom>
                          <a:noFill/>
                          <a:ln w="19034" cap="flat">
                            <a:solidFill>
                              <a:srgbClr val="FFFFFF"/>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vre: Forma 9"/>
                        <wps:cNvSpPr/>
                        <wps:spPr>
                          <a:xfrm>
                            <a:off x="228437" y="5928325"/>
                            <a:ext cx="3746370" cy="929635"/>
                          </a:xfrm>
                          <a:custGeom>
                            <a:avLst/>
                            <a:gdLst>
                              <a:gd name="connsiteX0" fmla="*/ 0 w 3746370"/>
                              <a:gd name="connsiteY0" fmla="*/ 0 h 929635"/>
                              <a:gd name="connsiteX1" fmla="*/ 3746370 w 3746370"/>
                              <a:gd name="connsiteY1" fmla="*/ 0 h 929635"/>
                              <a:gd name="connsiteX2" fmla="*/ 3746370 w 3746370"/>
                              <a:gd name="connsiteY2" fmla="*/ 929636 h 929635"/>
                              <a:gd name="connsiteX3" fmla="*/ 0 w 3746370"/>
                              <a:gd name="connsiteY3" fmla="*/ 929636 h 929635"/>
                            </a:gdLst>
                            <a:ahLst/>
                            <a:cxnLst>
                              <a:cxn ang="0">
                                <a:pos x="connsiteX0" y="connsiteY0"/>
                              </a:cxn>
                              <a:cxn ang="0">
                                <a:pos x="connsiteX1" y="connsiteY1"/>
                              </a:cxn>
                              <a:cxn ang="0">
                                <a:pos x="connsiteX2" y="connsiteY2"/>
                              </a:cxn>
                              <a:cxn ang="0">
                                <a:pos x="connsiteX3" y="connsiteY3"/>
                              </a:cxn>
                            </a:cxnLst>
                            <a:rect l="l" t="t" r="r" b="b"/>
                            <a:pathLst>
                              <a:path w="3746370" h="929635">
                                <a:moveTo>
                                  <a:pt x="0" y="0"/>
                                </a:moveTo>
                                <a:lnTo>
                                  <a:pt x="3746370" y="0"/>
                                </a:lnTo>
                                <a:lnTo>
                                  <a:pt x="3746370" y="929636"/>
                                </a:lnTo>
                                <a:lnTo>
                                  <a:pt x="0" y="929636"/>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Caixa de Texto 8"/>
                        <wps:cNvSpPr txBox="1"/>
                        <wps:spPr>
                          <a:xfrm>
                            <a:off x="300039" y="5938879"/>
                            <a:ext cx="488315" cy="476885"/>
                          </a:xfrm>
                          <a:prstGeom prst="rect">
                            <a:avLst/>
                          </a:prstGeom>
                          <a:noFill/>
                        </wps:spPr>
                        <wps:txbx>
                          <w:txbxContent>
                            <w:p w14:paraId="5F573C9E" w14:textId="77777777" w:rsidR="00BB15B8" w:rsidRDefault="00BB15B8" w:rsidP="00BB15B8">
                              <w:pPr>
                                <w:textAlignment w:val="baseline"/>
                                <w:rPr>
                                  <w:rFonts w:cs="Arial"/>
                                  <w:color w:val="FFFFFF"/>
                                  <w:sz w:val="36"/>
                                  <w:szCs w:val="36"/>
                                </w:rPr>
                              </w:pPr>
                              <w:r>
                                <w:rPr>
                                  <w:rFonts w:cs="Arial"/>
                                  <w:color w:val="FFFFFF"/>
                                  <w:sz w:val="36"/>
                                  <w:szCs w:val="36"/>
                                </w:rPr>
                                <w:t xml:space="preserve">BB </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1" name="Caixa de Texto 9"/>
                        <wps:cNvSpPr txBox="1"/>
                        <wps:spPr>
                          <a:xfrm>
                            <a:off x="639485" y="5938879"/>
                            <a:ext cx="1352550" cy="476885"/>
                          </a:xfrm>
                          <a:prstGeom prst="rect">
                            <a:avLst/>
                          </a:prstGeom>
                          <a:noFill/>
                        </wps:spPr>
                        <wps:txbx>
                          <w:txbxContent>
                            <w:p w14:paraId="6A3D7C2F" w14:textId="77777777" w:rsidR="00BB15B8" w:rsidRDefault="00BB15B8" w:rsidP="00BB15B8">
                              <w:pPr>
                                <w:textAlignment w:val="baseline"/>
                                <w:rPr>
                                  <w:rFonts w:cs="Arial"/>
                                  <w:color w:val="FFFFFF"/>
                                  <w:sz w:val="36"/>
                                  <w:szCs w:val="36"/>
                                </w:rPr>
                              </w:pPr>
                              <w:r>
                                <w:rPr>
                                  <w:rFonts w:cs="Arial"/>
                                  <w:color w:val="FFFFFF"/>
                                  <w:sz w:val="36"/>
                                  <w:szCs w:val="36"/>
                                </w:rPr>
                                <w:t>Seguridade</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2" name="Caixa de Texto 10"/>
                        <wps:cNvSpPr txBox="1"/>
                        <wps:spPr>
                          <a:xfrm>
                            <a:off x="1908441" y="5938879"/>
                            <a:ext cx="1555750" cy="476885"/>
                          </a:xfrm>
                          <a:prstGeom prst="rect">
                            <a:avLst/>
                          </a:prstGeom>
                          <a:noFill/>
                        </wps:spPr>
                        <wps:txbx>
                          <w:txbxContent>
                            <w:p w14:paraId="3AAC14CE" w14:textId="77777777" w:rsidR="00BB15B8" w:rsidRDefault="00BB15B8" w:rsidP="00BB15B8">
                              <w:pPr>
                                <w:textAlignment w:val="baseline"/>
                                <w:rPr>
                                  <w:rFonts w:cs="Arial"/>
                                  <w:color w:val="FFFFFF"/>
                                  <w:sz w:val="36"/>
                                  <w:szCs w:val="36"/>
                                </w:rPr>
                              </w:pPr>
                              <w:r>
                                <w:rPr>
                                  <w:rFonts w:cs="Arial"/>
                                  <w:color w:val="FFFFFF"/>
                                  <w:sz w:val="36"/>
                                  <w:szCs w:val="36"/>
                                </w:rPr>
                                <w:t>Participações</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3" name="Caixa de Texto 11"/>
                        <wps:cNvSpPr txBox="1"/>
                        <wps:spPr>
                          <a:xfrm>
                            <a:off x="3385190" y="5938879"/>
                            <a:ext cx="615315" cy="476885"/>
                          </a:xfrm>
                          <a:prstGeom prst="rect">
                            <a:avLst/>
                          </a:prstGeom>
                          <a:noFill/>
                        </wps:spPr>
                        <wps:txbx>
                          <w:txbxContent>
                            <w:p w14:paraId="00381F04" w14:textId="77777777" w:rsidR="00BB15B8" w:rsidRDefault="00BB15B8" w:rsidP="00BB15B8">
                              <w:pPr>
                                <w:textAlignment w:val="baseline"/>
                                <w:rPr>
                                  <w:rFonts w:cs="Arial"/>
                                  <w:color w:val="FFFFFF"/>
                                  <w:sz w:val="36"/>
                                  <w:szCs w:val="36"/>
                                </w:rPr>
                              </w:pPr>
                              <w:r>
                                <w:rPr>
                                  <w:rFonts w:cs="Arial"/>
                                  <w:color w:val="FFFFFF"/>
                                  <w:sz w:val="36"/>
                                  <w:szCs w:val="36"/>
                                </w:rPr>
                                <w:t>S.A.</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5" name="Caixa de Texto 13"/>
                        <wps:cNvSpPr txBox="1"/>
                        <wps:spPr>
                          <a:xfrm>
                            <a:off x="2042829" y="6365275"/>
                            <a:ext cx="691515" cy="476885"/>
                          </a:xfrm>
                          <a:prstGeom prst="rect">
                            <a:avLst/>
                          </a:prstGeom>
                          <a:noFill/>
                        </wps:spPr>
                        <wps:txbx>
                          <w:txbxContent>
                            <w:p w14:paraId="3319DD3B" w14:textId="77777777" w:rsidR="00BB15B8" w:rsidRDefault="00BB15B8" w:rsidP="00BB15B8">
                              <w:pPr>
                                <w:textAlignment w:val="baseline"/>
                                <w:rPr>
                                  <w:rFonts w:cs="Arial"/>
                                  <w:color w:val="FFFFFF"/>
                                  <w:sz w:val="36"/>
                                  <w:szCs w:val="36"/>
                                </w:rPr>
                              </w:pPr>
                              <w:r>
                                <w:rPr>
                                  <w:rFonts w:cs="Arial"/>
                                  <w:color w:val="FFFFFF"/>
                                  <w:sz w:val="36"/>
                                  <w:szCs w:val="36"/>
                                </w:rPr>
                                <w:t>2021</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6" name="Forma Livre: Forma 16"/>
                        <wps:cNvSpPr/>
                        <wps:spPr>
                          <a:xfrm>
                            <a:off x="228437" y="3291825"/>
                            <a:ext cx="4401223" cy="1661149"/>
                          </a:xfrm>
                          <a:custGeom>
                            <a:avLst/>
                            <a:gdLst>
                              <a:gd name="connsiteX0" fmla="*/ 0 w 4401223"/>
                              <a:gd name="connsiteY0" fmla="*/ 0 h 1661149"/>
                              <a:gd name="connsiteX1" fmla="*/ 4401224 w 4401223"/>
                              <a:gd name="connsiteY1" fmla="*/ 0 h 1661149"/>
                              <a:gd name="connsiteX2" fmla="*/ 4401224 w 4401223"/>
                              <a:gd name="connsiteY2" fmla="*/ 1661150 h 1661149"/>
                              <a:gd name="connsiteX3" fmla="*/ 0 w 4401223"/>
                              <a:gd name="connsiteY3" fmla="*/ 1661150 h 1661149"/>
                            </a:gdLst>
                            <a:ahLst/>
                            <a:cxnLst>
                              <a:cxn ang="0">
                                <a:pos x="connsiteX0" y="connsiteY0"/>
                              </a:cxn>
                              <a:cxn ang="0">
                                <a:pos x="connsiteX1" y="connsiteY1"/>
                              </a:cxn>
                              <a:cxn ang="0">
                                <a:pos x="connsiteX2" y="connsiteY2"/>
                              </a:cxn>
                              <a:cxn ang="0">
                                <a:pos x="connsiteX3" y="connsiteY3"/>
                              </a:cxn>
                            </a:cxnLst>
                            <a:rect l="l" t="t" r="r" b="b"/>
                            <a:pathLst>
                              <a:path w="4401223" h="1661149">
                                <a:moveTo>
                                  <a:pt x="0" y="0"/>
                                </a:moveTo>
                                <a:lnTo>
                                  <a:pt x="4401224" y="0"/>
                                </a:lnTo>
                                <a:lnTo>
                                  <a:pt x="4401224" y="1661150"/>
                                </a:lnTo>
                                <a:lnTo>
                                  <a:pt x="0" y="1661150"/>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Caixa de Texto 15"/>
                        <wps:cNvSpPr txBox="1"/>
                        <wps:spPr>
                          <a:xfrm>
                            <a:off x="225337" y="3299945"/>
                            <a:ext cx="3637280" cy="894080"/>
                          </a:xfrm>
                          <a:prstGeom prst="rect">
                            <a:avLst/>
                          </a:prstGeom>
                          <a:noFill/>
                        </wps:spPr>
                        <wps:txbx>
                          <w:txbxContent>
                            <w:p w14:paraId="43AF1CEF" w14:textId="7443DC31" w:rsidR="00BB15B8" w:rsidRDefault="00BB15B8" w:rsidP="00BB15B8">
                              <w:pPr>
                                <w:textAlignment w:val="baseline"/>
                                <w:rPr>
                                  <w:rFonts w:cs="Arial"/>
                                  <w:b/>
                                  <w:bCs/>
                                  <w:color w:val="FCFC30"/>
                                  <w:position w:val="1"/>
                                  <w:sz w:val="89"/>
                                  <w:szCs w:val="89"/>
                                </w:rPr>
                              </w:pPr>
                              <w:r>
                                <w:rPr>
                                  <w:rFonts w:cs="Arial"/>
                                  <w:b/>
                                  <w:bCs/>
                                  <w:color w:val="FCFC30"/>
                                  <w:position w:val="1"/>
                                  <w:sz w:val="89"/>
                                  <w:szCs w:val="89"/>
                                </w:rPr>
                                <w:t xml:space="preserve">Management </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8" name="Caixa de Texto 16"/>
                        <wps:cNvSpPr txBox="1"/>
                        <wps:spPr>
                          <a:xfrm>
                            <a:off x="225367" y="3970155"/>
                            <a:ext cx="2004060" cy="894080"/>
                          </a:xfrm>
                          <a:prstGeom prst="rect">
                            <a:avLst/>
                          </a:prstGeom>
                          <a:noFill/>
                        </wps:spPr>
                        <wps:txbx>
                          <w:txbxContent>
                            <w:p w14:paraId="070C3B62" w14:textId="066BC1AB" w:rsidR="00BB15B8" w:rsidRDefault="00BB15B8" w:rsidP="00BB15B8">
                              <w:pPr>
                                <w:textAlignment w:val="baseline"/>
                                <w:rPr>
                                  <w:rFonts w:cs="Arial"/>
                                  <w:b/>
                                  <w:bCs/>
                                  <w:color w:val="FCFC30"/>
                                  <w:position w:val="1"/>
                                  <w:sz w:val="89"/>
                                  <w:szCs w:val="89"/>
                                </w:rPr>
                              </w:pPr>
                              <w:r>
                                <w:rPr>
                                  <w:rFonts w:cs="Arial"/>
                                  <w:b/>
                                  <w:bCs/>
                                  <w:color w:val="FCFC30"/>
                                  <w:position w:val="1"/>
                                  <w:sz w:val="89"/>
                                  <w:szCs w:val="89"/>
                                </w:rPr>
                                <w:t>Report</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19" name="Forma Livre: Forma 19"/>
                        <wps:cNvSpPr/>
                        <wps:spPr>
                          <a:xfrm>
                            <a:off x="6144960" y="3512800"/>
                            <a:ext cx="4081411" cy="4084304"/>
                          </a:xfrm>
                          <a:custGeom>
                            <a:avLst/>
                            <a:gdLst>
                              <a:gd name="connsiteX0" fmla="*/ 0 w 4081411"/>
                              <a:gd name="connsiteY0" fmla="*/ 2042152 h 4084304"/>
                              <a:gd name="connsiteX1" fmla="*/ 2040706 w 4081411"/>
                              <a:gd name="connsiteY1" fmla="*/ 0 h 4084304"/>
                              <a:gd name="connsiteX2" fmla="*/ 4081412 w 4081411"/>
                              <a:gd name="connsiteY2" fmla="*/ 2042152 h 4084304"/>
                              <a:gd name="connsiteX3" fmla="*/ 2040706 w 4081411"/>
                              <a:gd name="connsiteY3" fmla="*/ 4084305 h 4084304"/>
                              <a:gd name="connsiteX4" fmla="*/ 0 w 4081411"/>
                              <a:gd name="connsiteY4" fmla="*/ 2042152 h 40843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81411" h="4084304">
                                <a:moveTo>
                                  <a:pt x="0" y="2042152"/>
                                </a:moveTo>
                                <a:cubicBezTo>
                                  <a:pt x="0" y="914297"/>
                                  <a:pt x="913657" y="0"/>
                                  <a:pt x="2040706" y="0"/>
                                </a:cubicBezTo>
                                <a:cubicBezTo>
                                  <a:pt x="3167754" y="0"/>
                                  <a:pt x="4081412" y="914297"/>
                                  <a:pt x="4081412" y="2042152"/>
                                </a:cubicBezTo>
                                <a:cubicBezTo>
                                  <a:pt x="4081412" y="3169993"/>
                                  <a:pt x="3167754" y="4084305"/>
                                  <a:pt x="2040706" y="4084305"/>
                                </a:cubicBezTo>
                                <a:cubicBezTo>
                                  <a:pt x="913657" y="4084305"/>
                                  <a:pt x="0" y="3169993"/>
                                  <a:pt x="0" y="2042152"/>
                                </a:cubicBezTo>
                                <a:close/>
                              </a:path>
                            </a:pathLst>
                          </a:custGeom>
                          <a:noFill/>
                          <a:ln w="19034" cap="flat">
                            <a:solidFill>
                              <a:srgbClr val="FCFC30"/>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vre: Forma 20"/>
                        <wps:cNvSpPr/>
                        <wps:spPr>
                          <a:xfrm>
                            <a:off x="4111869" y="1432552"/>
                            <a:ext cx="1492456" cy="1112514"/>
                          </a:xfrm>
                          <a:custGeom>
                            <a:avLst/>
                            <a:gdLst>
                              <a:gd name="connsiteX0" fmla="*/ 0 w 1492456"/>
                              <a:gd name="connsiteY0" fmla="*/ 0 h 1112514"/>
                              <a:gd name="connsiteX1" fmla="*/ 1492456 w 1492456"/>
                              <a:gd name="connsiteY1" fmla="*/ 0 h 1112514"/>
                              <a:gd name="connsiteX2" fmla="*/ 1492456 w 1492456"/>
                              <a:gd name="connsiteY2" fmla="*/ 1112515 h 1112514"/>
                              <a:gd name="connsiteX3" fmla="*/ 0 w 1492456"/>
                              <a:gd name="connsiteY3" fmla="*/ 1112515 h 1112514"/>
                            </a:gdLst>
                            <a:ahLst/>
                            <a:cxnLst>
                              <a:cxn ang="0">
                                <a:pos x="connsiteX0" y="connsiteY0"/>
                              </a:cxn>
                              <a:cxn ang="0">
                                <a:pos x="connsiteX1" y="connsiteY1"/>
                              </a:cxn>
                              <a:cxn ang="0">
                                <a:pos x="connsiteX2" y="connsiteY2"/>
                              </a:cxn>
                              <a:cxn ang="0">
                                <a:pos x="connsiteX3" y="connsiteY3"/>
                              </a:cxn>
                            </a:cxnLst>
                            <a:rect l="l" t="t" r="r" b="b"/>
                            <a:pathLst>
                              <a:path w="1492456" h="1112514">
                                <a:moveTo>
                                  <a:pt x="0" y="0"/>
                                </a:moveTo>
                                <a:lnTo>
                                  <a:pt x="1492456" y="0"/>
                                </a:lnTo>
                                <a:lnTo>
                                  <a:pt x="1492456" y="1112515"/>
                                </a:lnTo>
                                <a:lnTo>
                                  <a:pt x="0" y="1112515"/>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vre: Forma 21"/>
                        <wps:cNvSpPr/>
                        <wps:spPr>
                          <a:xfrm>
                            <a:off x="5497722" y="2423154"/>
                            <a:ext cx="1675206" cy="1173472"/>
                          </a:xfrm>
                          <a:custGeom>
                            <a:avLst/>
                            <a:gdLst>
                              <a:gd name="connsiteX0" fmla="*/ 0 w 1675206"/>
                              <a:gd name="connsiteY0" fmla="*/ 0 h 1173472"/>
                              <a:gd name="connsiteX1" fmla="*/ 1675206 w 1675206"/>
                              <a:gd name="connsiteY1" fmla="*/ 0 h 1173472"/>
                              <a:gd name="connsiteX2" fmla="*/ 1675206 w 1675206"/>
                              <a:gd name="connsiteY2" fmla="*/ 1173473 h 1173472"/>
                              <a:gd name="connsiteX3" fmla="*/ 0 w 1675206"/>
                              <a:gd name="connsiteY3" fmla="*/ 1173473 h 1173472"/>
                            </a:gdLst>
                            <a:ahLst/>
                            <a:cxnLst>
                              <a:cxn ang="0">
                                <a:pos x="connsiteX0" y="connsiteY0"/>
                              </a:cxn>
                              <a:cxn ang="0">
                                <a:pos x="connsiteX1" y="connsiteY1"/>
                              </a:cxn>
                              <a:cxn ang="0">
                                <a:pos x="connsiteX2" y="connsiteY2"/>
                              </a:cxn>
                              <a:cxn ang="0">
                                <a:pos x="connsiteX3" y="connsiteY3"/>
                              </a:cxn>
                            </a:cxnLst>
                            <a:rect l="l" t="t" r="r" b="b"/>
                            <a:pathLst>
                              <a:path w="1675206" h="1173472">
                                <a:moveTo>
                                  <a:pt x="0" y="0"/>
                                </a:moveTo>
                                <a:lnTo>
                                  <a:pt x="1675206" y="0"/>
                                </a:lnTo>
                                <a:lnTo>
                                  <a:pt x="1675206" y="1173473"/>
                                </a:lnTo>
                                <a:lnTo>
                                  <a:pt x="0" y="1173473"/>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vre: Forma 22"/>
                        <wps:cNvSpPr/>
                        <wps:spPr>
                          <a:xfrm>
                            <a:off x="5870836" y="2202164"/>
                            <a:ext cx="913748" cy="1173481"/>
                          </a:xfrm>
                          <a:custGeom>
                            <a:avLst/>
                            <a:gdLst>
                              <a:gd name="connsiteX0" fmla="*/ 791916 w 913748"/>
                              <a:gd name="connsiteY0" fmla="*/ 535365 h 1173481"/>
                              <a:gd name="connsiteX1" fmla="*/ 793180 w 913748"/>
                              <a:gd name="connsiteY1" fmla="*/ 262611 h 1173481"/>
                              <a:gd name="connsiteX2" fmla="*/ 793180 w 913748"/>
                              <a:gd name="connsiteY2" fmla="*/ 260068 h 1173481"/>
                              <a:gd name="connsiteX3" fmla="*/ 793180 w 913748"/>
                              <a:gd name="connsiteY3" fmla="*/ 258804 h 1173481"/>
                              <a:gd name="connsiteX4" fmla="*/ 793180 w 913748"/>
                              <a:gd name="connsiteY4" fmla="*/ 239767 h 1173481"/>
                              <a:gd name="connsiteX5" fmla="*/ 793180 w 913748"/>
                              <a:gd name="connsiteY5" fmla="*/ 239767 h 1173481"/>
                              <a:gd name="connsiteX6" fmla="*/ 456874 w 913748"/>
                              <a:gd name="connsiteY6" fmla="*/ 0 h 1173481"/>
                              <a:gd name="connsiteX7" fmla="*/ 120569 w 913748"/>
                              <a:gd name="connsiteY7" fmla="*/ 239767 h 1173481"/>
                              <a:gd name="connsiteX8" fmla="*/ 119290 w 913748"/>
                              <a:gd name="connsiteY8" fmla="*/ 239767 h 1173481"/>
                              <a:gd name="connsiteX9" fmla="*/ 119290 w 913748"/>
                              <a:gd name="connsiteY9" fmla="*/ 536629 h 1173481"/>
                              <a:gd name="connsiteX10" fmla="*/ 0 w 913748"/>
                              <a:gd name="connsiteY10" fmla="*/ 536629 h 1173481"/>
                              <a:gd name="connsiteX11" fmla="*/ 0 w 913748"/>
                              <a:gd name="connsiteY11" fmla="*/ 1173482 h 1173481"/>
                              <a:gd name="connsiteX12" fmla="*/ 913749 w 913748"/>
                              <a:gd name="connsiteY12" fmla="*/ 1173482 h 1173481"/>
                              <a:gd name="connsiteX13" fmla="*/ 913749 w 913748"/>
                              <a:gd name="connsiteY13" fmla="*/ 535365 h 1173481"/>
                              <a:gd name="connsiteX14" fmla="*/ 791916 w 913748"/>
                              <a:gd name="connsiteY14" fmla="*/ 535365 h 11734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913748" h="1173481">
                                <a:moveTo>
                                  <a:pt x="791916" y="535365"/>
                                </a:moveTo>
                                <a:lnTo>
                                  <a:pt x="793180" y="262611"/>
                                </a:lnTo>
                                <a:cubicBezTo>
                                  <a:pt x="793180" y="261347"/>
                                  <a:pt x="793180" y="261347"/>
                                  <a:pt x="793180" y="260068"/>
                                </a:cubicBezTo>
                                <a:cubicBezTo>
                                  <a:pt x="793180" y="260068"/>
                                  <a:pt x="793180" y="258804"/>
                                  <a:pt x="793180" y="258804"/>
                                </a:cubicBezTo>
                                <a:lnTo>
                                  <a:pt x="793180" y="239767"/>
                                </a:lnTo>
                                <a:lnTo>
                                  <a:pt x="793180" y="239767"/>
                                </a:lnTo>
                                <a:cubicBezTo>
                                  <a:pt x="779230" y="105294"/>
                                  <a:pt x="634553" y="0"/>
                                  <a:pt x="456874" y="0"/>
                                </a:cubicBezTo>
                                <a:cubicBezTo>
                                  <a:pt x="279196" y="0"/>
                                  <a:pt x="134519" y="105294"/>
                                  <a:pt x="120569" y="239767"/>
                                </a:cubicBezTo>
                                <a:lnTo>
                                  <a:pt x="119290" y="239767"/>
                                </a:lnTo>
                                <a:lnTo>
                                  <a:pt x="119290" y="536629"/>
                                </a:lnTo>
                                <a:lnTo>
                                  <a:pt x="0" y="536629"/>
                                </a:lnTo>
                                <a:lnTo>
                                  <a:pt x="0" y="1173482"/>
                                </a:lnTo>
                                <a:lnTo>
                                  <a:pt x="913749" y="1173482"/>
                                </a:lnTo>
                                <a:lnTo>
                                  <a:pt x="913749" y="535365"/>
                                </a:lnTo>
                                <a:lnTo>
                                  <a:pt x="791916" y="535365"/>
                                </a:ln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vre: Forma 23"/>
                        <wps:cNvSpPr/>
                        <wps:spPr>
                          <a:xfrm>
                            <a:off x="6099273" y="2293615"/>
                            <a:ext cx="472103" cy="441949"/>
                          </a:xfrm>
                          <a:custGeom>
                            <a:avLst/>
                            <a:gdLst>
                              <a:gd name="connsiteX0" fmla="*/ 472104 w 472103"/>
                              <a:gd name="connsiteY0" fmla="*/ 170841 h 441949"/>
                              <a:gd name="connsiteX1" fmla="*/ 236052 w 472103"/>
                              <a:gd name="connsiteY1" fmla="*/ 0 h 441949"/>
                              <a:gd name="connsiteX2" fmla="*/ 0 w 472103"/>
                              <a:gd name="connsiteY2" fmla="*/ 170841 h 441949"/>
                              <a:gd name="connsiteX3" fmla="*/ 0 w 472103"/>
                              <a:gd name="connsiteY3" fmla="*/ 172074 h 441949"/>
                              <a:gd name="connsiteX4" fmla="*/ 0 w 472103"/>
                              <a:gd name="connsiteY4" fmla="*/ 172074 h 441949"/>
                              <a:gd name="connsiteX5" fmla="*/ 0 w 472103"/>
                              <a:gd name="connsiteY5" fmla="*/ 441950 h 441949"/>
                              <a:gd name="connsiteX6" fmla="*/ 469621 w 472103"/>
                              <a:gd name="connsiteY6" fmla="*/ 441950 h 441949"/>
                              <a:gd name="connsiteX7" fmla="*/ 469621 w 472103"/>
                              <a:gd name="connsiteY7" fmla="*/ 190639 h 441949"/>
                              <a:gd name="connsiteX8" fmla="*/ 472104 w 472103"/>
                              <a:gd name="connsiteY8" fmla="*/ 170841 h 44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72103" h="441949">
                                <a:moveTo>
                                  <a:pt x="472104" y="170841"/>
                                </a:moveTo>
                                <a:cubicBezTo>
                                  <a:pt x="472104" y="76740"/>
                                  <a:pt x="366505" y="0"/>
                                  <a:pt x="236052" y="0"/>
                                </a:cubicBezTo>
                                <a:cubicBezTo>
                                  <a:pt x="105599" y="0"/>
                                  <a:pt x="0" y="76740"/>
                                  <a:pt x="0" y="170841"/>
                                </a:cubicBezTo>
                                <a:cubicBezTo>
                                  <a:pt x="0" y="170841"/>
                                  <a:pt x="0" y="172074"/>
                                  <a:pt x="0" y="172074"/>
                                </a:cubicBezTo>
                                <a:lnTo>
                                  <a:pt x="0" y="172074"/>
                                </a:lnTo>
                                <a:lnTo>
                                  <a:pt x="0" y="441950"/>
                                </a:lnTo>
                                <a:lnTo>
                                  <a:pt x="469621" y="441950"/>
                                </a:lnTo>
                                <a:lnTo>
                                  <a:pt x="469621" y="190639"/>
                                </a:lnTo>
                                <a:cubicBezTo>
                                  <a:pt x="470870" y="183207"/>
                                  <a:pt x="472104" y="177024"/>
                                  <a:pt x="472104" y="170841"/>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vre: Forma 24"/>
                        <wps:cNvSpPr/>
                        <wps:spPr>
                          <a:xfrm>
                            <a:off x="6251564" y="2964170"/>
                            <a:ext cx="182749" cy="274307"/>
                          </a:xfrm>
                          <a:custGeom>
                            <a:avLst/>
                            <a:gdLst>
                              <a:gd name="connsiteX0" fmla="*/ 182750 w 182749"/>
                              <a:gd name="connsiteY0" fmla="*/ 90598 h 274307"/>
                              <a:gd name="connsiteX1" fmla="*/ 91375 w 182749"/>
                              <a:gd name="connsiteY1" fmla="*/ 0 h 274307"/>
                              <a:gd name="connsiteX2" fmla="*/ 0 w 182749"/>
                              <a:gd name="connsiteY2" fmla="*/ 90598 h 274307"/>
                              <a:gd name="connsiteX3" fmla="*/ 57109 w 182749"/>
                              <a:gd name="connsiteY3" fmla="*/ 174907 h 274307"/>
                              <a:gd name="connsiteX4" fmla="*/ 59652 w 182749"/>
                              <a:gd name="connsiteY4" fmla="*/ 176171 h 274307"/>
                              <a:gd name="connsiteX5" fmla="*/ 59652 w 182749"/>
                              <a:gd name="connsiteY5" fmla="*/ 274307 h 274307"/>
                              <a:gd name="connsiteX6" fmla="*/ 131991 w 182749"/>
                              <a:gd name="connsiteY6" fmla="*/ 274307 h 274307"/>
                              <a:gd name="connsiteX7" fmla="*/ 131991 w 182749"/>
                              <a:gd name="connsiteY7" fmla="*/ 173643 h 274307"/>
                              <a:gd name="connsiteX8" fmla="*/ 182750 w 182749"/>
                              <a:gd name="connsiteY8" fmla="*/ 90598 h 2743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2749" h="274307">
                                <a:moveTo>
                                  <a:pt x="182750" y="90598"/>
                                </a:moveTo>
                                <a:cubicBezTo>
                                  <a:pt x="182750" y="40266"/>
                                  <a:pt x="142134" y="0"/>
                                  <a:pt x="91375" y="0"/>
                                </a:cubicBezTo>
                                <a:cubicBezTo>
                                  <a:pt x="40616" y="0"/>
                                  <a:pt x="0" y="40266"/>
                                  <a:pt x="0" y="90598"/>
                                </a:cubicBezTo>
                                <a:cubicBezTo>
                                  <a:pt x="0" y="128351"/>
                                  <a:pt x="22844" y="161064"/>
                                  <a:pt x="57109" y="174907"/>
                                </a:cubicBezTo>
                                <a:cubicBezTo>
                                  <a:pt x="58373" y="174907"/>
                                  <a:pt x="58373" y="174907"/>
                                  <a:pt x="59652" y="176171"/>
                                </a:cubicBezTo>
                                <a:lnTo>
                                  <a:pt x="59652" y="274307"/>
                                </a:lnTo>
                                <a:lnTo>
                                  <a:pt x="131991" y="274307"/>
                                </a:lnTo>
                                <a:lnTo>
                                  <a:pt x="131991" y="173643"/>
                                </a:lnTo>
                                <a:cubicBezTo>
                                  <a:pt x="161170" y="158551"/>
                                  <a:pt x="182750" y="127087"/>
                                  <a:pt x="182750" y="90598"/>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vre: Forma 25"/>
                        <wps:cNvSpPr/>
                        <wps:spPr>
                          <a:xfrm>
                            <a:off x="4309848" y="4434818"/>
                            <a:ext cx="1264020" cy="1996434"/>
                          </a:xfrm>
                          <a:custGeom>
                            <a:avLst/>
                            <a:gdLst>
                              <a:gd name="connsiteX0" fmla="*/ 0 w 1264020"/>
                              <a:gd name="connsiteY0" fmla="*/ 0 h 1996434"/>
                              <a:gd name="connsiteX1" fmla="*/ 1264021 w 1264020"/>
                              <a:gd name="connsiteY1" fmla="*/ 0 h 1996434"/>
                              <a:gd name="connsiteX2" fmla="*/ 1264021 w 1264020"/>
                              <a:gd name="connsiteY2" fmla="*/ 1996434 h 1996434"/>
                              <a:gd name="connsiteX3" fmla="*/ 0 w 1264020"/>
                              <a:gd name="connsiteY3" fmla="*/ 1996434 h 1996434"/>
                            </a:gdLst>
                            <a:ahLst/>
                            <a:cxnLst>
                              <a:cxn ang="0">
                                <a:pos x="connsiteX0" y="connsiteY0"/>
                              </a:cxn>
                              <a:cxn ang="0">
                                <a:pos x="connsiteX1" y="connsiteY1"/>
                              </a:cxn>
                              <a:cxn ang="0">
                                <a:pos x="connsiteX2" y="connsiteY2"/>
                              </a:cxn>
                              <a:cxn ang="0">
                                <a:pos x="connsiteX3" y="connsiteY3"/>
                              </a:cxn>
                            </a:cxnLst>
                            <a:rect l="l" t="t" r="r" b="b"/>
                            <a:pathLst>
                              <a:path w="1264020" h="1996434">
                                <a:moveTo>
                                  <a:pt x="0" y="0"/>
                                </a:moveTo>
                                <a:lnTo>
                                  <a:pt x="1264021" y="0"/>
                                </a:lnTo>
                                <a:lnTo>
                                  <a:pt x="1264021" y="1996434"/>
                                </a:lnTo>
                                <a:lnTo>
                                  <a:pt x="0" y="1996434"/>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vre: Forma 26"/>
                        <wps:cNvSpPr/>
                        <wps:spPr>
                          <a:xfrm>
                            <a:off x="4317466" y="4869157"/>
                            <a:ext cx="1233554" cy="1097271"/>
                          </a:xfrm>
                          <a:custGeom>
                            <a:avLst/>
                            <a:gdLst>
                              <a:gd name="connsiteX0" fmla="*/ 657271 w 1233554"/>
                              <a:gd name="connsiteY0" fmla="*/ 32313 h 1097271"/>
                              <a:gd name="connsiteX1" fmla="*/ 1219227 w 1233554"/>
                              <a:gd name="connsiteY1" fmla="*/ 1019192 h 1097271"/>
                              <a:gd name="connsiteX2" fmla="*/ 1189576 w 1233554"/>
                              <a:gd name="connsiteY2" fmla="*/ 1097272 h 1097271"/>
                              <a:gd name="connsiteX3" fmla="*/ 34689 w 1233554"/>
                              <a:gd name="connsiteY3" fmla="*/ 1091881 h 1097271"/>
                              <a:gd name="connsiteX4" fmla="*/ 13124 w 1233554"/>
                              <a:gd name="connsiteY4" fmla="*/ 1028604 h 1097271"/>
                              <a:gd name="connsiteX5" fmla="*/ 583166 w 1233554"/>
                              <a:gd name="connsiteY5" fmla="*/ 32313 h 1097271"/>
                              <a:gd name="connsiteX6" fmla="*/ 657271 w 1233554"/>
                              <a:gd name="connsiteY6" fmla="*/ 32313 h 10972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33554" h="1097271">
                                <a:moveTo>
                                  <a:pt x="657271" y="32313"/>
                                </a:moveTo>
                                <a:lnTo>
                                  <a:pt x="1219227" y="1019192"/>
                                </a:lnTo>
                                <a:cubicBezTo>
                                  <a:pt x="1219227" y="1019192"/>
                                  <a:pt x="1266391" y="1097272"/>
                                  <a:pt x="1189576" y="1097272"/>
                                </a:cubicBezTo>
                                <a:cubicBezTo>
                                  <a:pt x="1112775" y="1097272"/>
                                  <a:pt x="34689" y="1091881"/>
                                  <a:pt x="34689" y="1091881"/>
                                </a:cubicBezTo>
                                <a:cubicBezTo>
                                  <a:pt x="34689" y="1091881"/>
                                  <a:pt x="-25954" y="1097272"/>
                                  <a:pt x="13124" y="1028604"/>
                                </a:cubicBezTo>
                                <a:cubicBezTo>
                                  <a:pt x="52202" y="959951"/>
                                  <a:pt x="583166" y="32313"/>
                                  <a:pt x="583166" y="32313"/>
                                </a:cubicBezTo>
                                <a:cubicBezTo>
                                  <a:pt x="583166" y="32313"/>
                                  <a:pt x="615497" y="-40391"/>
                                  <a:pt x="657271" y="32313"/>
                                </a:cubicBez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orma Livre: Forma 27"/>
                        <wps:cNvSpPr/>
                        <wps:spPr>
                          <a:xfrm>
                            <a:off x="4896170" y="5143476"/>
                            <a:ext cx="91374" cy="502911"/>
                          </a:xfrm>
                          <a:custGeom>
                            <a:avLst/>
                            <a:gdLst>
                              <a:gd name="connsiteX0" fmla="*/ 0 w 91374"/>
                              <a:gd name="connsiteY0" fmla="*/ 0 h 502911"/>
                              <a:gd name="connsiteX1" fmla="*/ 91375 w 91374"/>
                              <a:gd name="connsiteY1" fmla="*/ 0 h 502911"/>
                              <a:gd name="connsiteX2" fmla="*/ 91375 w 91374"/>
                              <a:gd name="connsiteY2" fmla="*/ 502912 h 502911"/>
                              <a:gd name="connsiteX3" fmla="*/ 0 w 91374"/>
                              <a:gd name="connsiteY3" fmla="*/ 502912 h 502911"/>
                            </a:gdLst>
                            <a:ahLst/>
                            <a:cxnLst>
                              <a:cxn ang="0">
                                <a:pos x="connsiteX0" y="connsiteY0"/>
                              </a:cxn>
                              <a:cxn ang="0">
                                <a:pos x="connsiteX1" y="connsiteY1"/>
                              </a:cxn>
                              <a:cxn ang="0">
                                <a:pos x="connsiteX2" y="connsiteY2"/>
                              </a:cxn>
                              <a:cxn ang="0">
                                <a:pos x="connsiteX3" y="connsiteY3"/>
                              </a:cxn>
                            </a:cxnLst>
                            <a:rect l="l" t="t" r="r" b="b"/>
                            <a:pathLst>
                              <a:path w="91374" h="502911">
                                <a:moveTo>
                                  <a:pt x="0" y="0"/>
                                </a:moveTo>
                                <a:lnTo>
                                  <a:pt x="91375" y="0"/>
                                </a:lnTo>
                                <a:lnTo>
                                  <a:pt x="91375" y="502912"/>
                                </a:lnTo>
                                <a:lnTo>
                                  <a:pt x="0" y="502912"/>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orma Livre: Forma 28"/>
                        <wps:cNvSpPr/>
                        <wps:spPr>
                          <a:xfrm>
                            <a:off x="4865712" y="5707350"/>
                            <a:ext cx="137062" cy="152397"/>
                          </a:xfrm>
                          <a:custGeom>
                            <a:avLst/>
                            <a:gdLst>
                              <a:gd name="connsiteX0" fmla="*/ 137062 w 137062"/>
                              <a:gd name="connsiteY0" fmla="*/ 76207 h 152397"/>
                              <a:gd name="connsiteX1" fmla="*/ 68531 w 137062"/>
                              <a:gd name="connsiteY1" fmla="*/ 152398 h 152397"/>
                              <a:gd name="connsiteX2" fmla="*/ 0 w 137062"/>
                              <a:gd name="connsiteY2" fmla="*/ 76207 h 152397"/>
                              <a:gd name="connsiteX3" fmla="*/ 68531 w 137062"/>
                              <a:gd name="connsiteY3" fmla="*/ 0 h 152397"/>
                              <a:gd name="connsiteX4" fmla="*/ 137062 w 137062"/>
                              <a:gd name="connsiteY4" fmla="*/ 76207 h 15239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7062" h="152397">
                                <a:moveTo>
                                  <a:pt x="137062" y="76207"/>
                                </a:moveTo>
                                <a:cubicBezTo>
                                  <a:pt x="137062" y="118285"/>
                                  <a:pt x="106375" y="152398"/>
                                  <a:pt x="68531" y="152398"/>
                                </a:cubicBezTo>
                                <a:cubicBezTo>
                                  <a:pt x="30687" y="152398"/>
                                  <a:pt x="0" y="118285"/>
                                  <a:pt x="0" y="76207"/>
                                </a:cubicBezTo>
                                <a:cubicBezTo>
                                  <a:pt x="0" y="34113"/>
                                  <a:pt x="30687" y="0"/>
                                  <a:pt x="68531" y="0"/>
                                </a:cubicBezTo>
                                <a:cubicBezTo>
                                  <a:pt x="106375" y="0"/>
                                  <a:pt x="137062" y="34113"/>
                                  <a:pt x="137062" y="76207"/>
                                </a:cubicBez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orma Livre: Forma 29"/>
                        <wps:cNvSpPr/>
                        <wps:spPr>
                          <a:xfrm>
                            <a:off x="5269284" y="7269449"/>
                            <a:ext cx="1324935" cy="1371593"/>
                          </a:xfrm>
                          <a:custGeom>
                            <a:avLst/>
                            <a:gdLst>
                              <a:gd name="connsiteX0" fmla="*/ 0 w 1324935"/>
                              <a:gd name="connsiteY0" fmla="*/ 0 h 1371593"/>
                              <a:gd name="connsiteX1" fmla="*/ 1324936 w 1324935"/>
                              <a:gd name="connsiteY1" fmla="*/ 0 h 1371593"/>
                              <a:gd name="connsiteX2" fmla="*/ 1324936 w 1324935"/>
                              <a:gd name="connsiteY2" fmla="*/ 1371594 h 1371593"/>
                              <a:gd name="connsiteX3" fmla="*/ 0 w 1324935"/>
                              <a:gd name="connsiteY3" fmla="*/ 1371594 h 1371593"/>
                            </a:gdLst>
                            <a:ahLst/>
                            <a:cxnLst>
                              <a:cxn ang="0">
                                <a:pos x="connsiteX0" y="connsiteY0"/>
                              </a:cxn>
                              <a:cxn ang="0">
                                <a:pos x="connsiteX1" y="connsiteY1"/>
                              </a:cxn>
                              <a:cxn ang="0">
                                <a:pos x="connsiteX2" y="connsiteY2"/>
                              </a:cxn>
                              <a:cxn ang="0">
                                <a:pos x="connsiteX3" y="connsiteY3"/>
                              </a:cxn>
                            </a:cxnLst>
                            <a:rect l="l" t="t" r="r" b="b"/>
                            <a:pathLst>
                              <a:path w="1324935" h="1371593">
                                <a:moveTo>
                                  <a:pt x="0" y="0"/>
                                </a:moveTo>
                                <a:lnTo>
                                  <a:pt x="1324936" y="0"/>
                                </a:lnTo>
                                <a:lnTo>
                                  <a:pt x="1324936" y="1371594"/>
                                </a:lnTo>
                                <a:lnTo>
                                  <a:pt x="0" y="1371594"/>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orma Livre: Forma 30"/>
                        <wps:cNvSpPr/>
                        <wps:spPr>
                          <a:xfrm>
                            <a:off x="6266788" y="7688540"/>
                            <a:ext cx="304588" cy="670561"/>
                          </a:xfrm>
                          <a:custGeom>
                            <a:avLst/>
                            <a:gdLst>
                              <a:gd name="connsiteX0" fmla="*/ 304588 w 304588"/>
                              <a:gd name="connsiteY0" fmla="*/ 0 h 670561"/>
                              <a:gd name="connsiteX1" fmla="*/ 304588 w 304588"/>
                              <a:gd name="connsiteY1" fmla="*/ 670372 h 670561"/>
                              <a:gd name="connsiteX2" fmla="*/ 32459 w 304588"/>
                              <a:gd name="connsiteY2" fmla="*/ 670372 h 670561"/>
                              <a:gd name="connsiteX3" fmla="*/ 97 w 304588"/>
                              <a:gd name="connsiteY3" fmla="*/ 640705 h 670561"/>
                              <a:gd name="connsiteX4" fmla="*/ 97 w 304588"/>
                              <a:gd name="connsiteY4" fmla="*/ 31144 h 670561"/>
                              <a:gd name="connsiteX5" fmla="*/ 23641 w 304588"/>
                              <a:gd name="connsiteY5" fmla="*/ 0 h 670561"/>
                              <a:gd name="connsiteX6" fmla="*/ 304588 w 304588"/>
                              <a:gd name="connsiteY6" fmla="*/ 0 h 6705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4588" h="670561">
                                <a:moveTo>
                                  <a:pt x="304588" y="0"/>
                                </a:moveTo>
                                <a:lnTo>
                                  <a:pt x="304588" y="670372"/>
                                </a:lnTo>
                                <a:lnTo>
                                  <a:pt x="32459" y="670372"/>
                                </a:lnTo>
                                <a:cubicBezTo>
                                  <a:pt x="32459" y="670372"/>
                                  <a:pt x="7453" y="674819"/>
                                  <a:pt x="97" y="640705"/>
                                </a:cubicBezTo>
                                <a:lnTo>
                                  <a:pt x="97" y="31144"/>
                                </a:lnTo>
                                <a:cubicBezTo>
                                  <a:pt x="97" y="31144"/>
                                  <a:pt x="-2843" y="0"/>
                                  <a:pt x="23641" y="0"/>
                                </a:cubicBezTo>
                                <a:cubicBezTo>
                                  <a:pt x="50109" y="0"/>
                                  <a:pt x="304588" y="0"/>
                                  <a:pt x="304588" y="0"/>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orma Livre: Forma 31"/>
                        <wps:cNvSpPr/>
                        <wps:spPr>
                          <a:xfrm>
                            <a:off x="5307357" y="7292310"/>
                            <a:ext cx="868061" cy="1112502"/>
                          </a:xfrm>
                          <a:custGeom>
                            <a:avLst/>
                            <a:gdLst>
                              <a:gd name="connsiteX0" fmla="*/ 868062 w 868061"/>
                              <a:gd name="connsiteY0" fmla="*/ 479488 h 1112502"/>
                              <a:gd name="connsiteX1" fmla="*/ 868062 w 868061"/>
                              <a:gd name="connsiteY1" fmla="*/ 995391 h 1112502"/>
                              <a:gd name="connsiteX2" fmla="*/ 648259 w 868061"/>
                              <a:gd name="connsiteY2" fmla="*/ 1112503 h 1112502"/>
                              <a:gd name="connsiteX3" fmla="*/ 199654 w 868061"/>
                              <a:gd name="connsiteY3" fmla="*/ 1112503 h 1112502"/>
                              <a:gd name="connsiteX4" fmla="*/ 183207 w 868061"/>
                              <a:gd name="connsiteY4" fmla="*/ 953876 h 1112502"/>
                              <a:gd name="connsiteX5" fmla="*/ 93492 w 868061"/>
                              <a:gd name="connsiteY5" fmla="*/ 796742 h 1112502"/>
                              <a:gd name="connsiteX6" fmla="*/ 57612 w 868061"/>
                              <a:gd name="connsiteY6" fmla="*/ 632191 h 1112502"/>
                              <a:gd name="connsiteX7" fmla="*/ 60597 w 868061"/>
                              <a:gd name="connsiteY7" fmla="*/ 436496 h 1112502"/>
                              <a:gd name="connsiteX8" fmla="*/ 434427 w 868061"/>
                              <a:gd name="connsiteY8" fmla="*/ 436496 h 1112502"/>
                              <a:gd name="connsiteX9" fmla="*/ 458352 w 868061"/>
                              <a:gd name="connsiteY9" fmla="*/ 392027 h 1112502"/>
                              <a:gd name="connsiteX10" fmla="*/ 407502 w 868061"/>
                              <a:gd name="connsiteY10" fmla="*/ 245264 h 1112502"/>
                              <a:gd name="connsiteX11" fmla="*/ 403024 w 868061"/>
                              <a:gd name="connsiteY11" fmla="*/ 42168 h 1112502"/>
                              <a:gd name="connsiteX12" fmla="*/ 582454 w 868061"/>
                              <a:gd name="connsiteY12" fmla="*/ 42168 h 1112502"/>
                              <a:gd name="connsiteX13" fmla="*/ 588440 w 868061"/>
                              <a:gd name="connsiteY13" fmla="*/ 162235 h 1112502"/>
                              <a:gd name="connsiteX14" fmla="*/ 868062 w 868061"/>
                              <a:gd name="connsiteY14" fmla="*/ 479488 h 11125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868061" h="1112502">
                                <a:moveTo>
                                  <a:pt x="868062" y="479488"/>
                                </a:moveTo>
                                <a:lnTo>
                                  <a:pt x="868062" y="995391"/>
                                </a:lnTo>
                                <a:lnTo>
                                  <a:pt x="648259" y="1112503"/>
                                </a:lnTo>
                                <a:lnTo>
                                  <a:pt x="199654" y="1112503"/>
                                </a:lnTo>
                                <a:cubicBezTo>
                                  <a:pt x="199654" y="1112503"/>
                                  <a:pt x="105462" y="1041352"/>
                                  <a:pt x="183207" y="953876"/>
                                </a:cubicBezTo>
                                <a:cubicBezTo>
                                  <a:pt x="183207" y="953876"/>
                                  <a:pt x="56120" y="946474"/>
                                  <a:pt x="93492" y="796742"/>
                                </a:cubicBezTo>
                                <a:cubicBezTo>
                                  <a:pt x="93492" y="796742"/>
                                  <a:pt x="-21640" y="768568"/>
                                  <a:pt x="57612" y="632191"/>
                                </a:cubicBezTo>
                                <a:cubicBezTo>
                                  <a:pt x="57612" y="632191"/>
                                  <a:pt x="-73983" y="543237"/>
                                  <a:pt x="60597" y="436496"/>
                                </a:cubicBezTo>
                                <a:lnTo>
                                  <a:pt x="434427" y="436496"/>
                                </a:lnTo>
                                <a:cubicBezTo>
                                  <a:pt x="434427" y="436496"/>
                                  <a:pt x="458352" y="427602"/>
                                  <a:pt x="458352" y="392027"/>
                                </a:cubicBezTo>
                                <a:cubicBezTo>
                                  <a:pt x="458352" y="392027"/>
                                  <a:pt x="417980" y="323831"/>
                                  <a:pt x="407502" y="245264"/>
                                </a:cubicBezTo>
                                <a:cubicBezTo>
                                  <a:pt x="397040" y="166681"/>
                                  <a:pt x="403024" y="42168"/>
                                  <a:pt x="403024" y="42168"/>
                                </a:cubicBezTo>
                                <a:cubicBezTo>
                                  <a:pt x="403024" y="42168"/>
                                  <a:pt x="497232" y="-52710"/>
                                  <a:pt x="582454" y="42168"/>
                                </a:cubicBezTo>
                                <a:lnTo>
                                  <a:pt x="588440" y="162235"/>
                                </a:lnTo>
                                <a:cubicBezTo>
                                  <a:pt x="588440" y="162235"/>
                                  <a:pt x="637782" y="350513"/>
                                  <a:pt x="868062" y="479488"/>
                                </a:cubicBezTo>
                                <a:close/>
                              </a:path>
                            </a:pathLst>
                          </a:custGeom>
                          <a:solidFill>
                            <a:srgbClr val="002D4B"/>
                          </a:solidFill>
                          <a:ln w="19034"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orma Livre: Forma 32"/>
                        <wps:cNvSpPr/>
                        <wps:spPr>
                          <a:xfrm>
                            <a:off x="4005265" y="8244800"/>
                            <a:ext cx="1385852" cy="1737356"/>
                          </a:xfrm>
                          <a:custGeom>
                            <a:avLst/>
                            <a:gdLst>
                              <a:gd name="connsiteX0" fmla="*/ 0 w 1385852"/>
                              <a:gd name="connsiteY0" fmla="*/ 0 h 1737356"/>
                              <a:gd name="connsiteX1" fmla="*/ 1385852 w 1385852"/>
                              <a:gd name="connsiteY1" fmla="*/ 0 h 1737356"/>
                              <a:gd name="connsiteX2" fmla="*/ 1385852 w 1385852"/>
                              <a:gd name="connsiteY2" fmla="*/ 1737356 h 1737356"/>
                              <a:gd name="connsiteX3" fmla="*/ 0 w 1385852"/>
                              <a:gd name="connsiteY3" fmla="*/ 1737356 h 1737356"/>
                            </a:gdLst>
                            <a:ahLst/>
                            <a:cxnLst>
                              <a:cxn ang="0">
                                <a:pos x="connsiteX0" y="connsiteY0"/>
                              </a:cxn>
                              <a:cxn ang="0">
                                <a:pos x="connsiteX1" y="connsiteY1"/>
                              </a:cxn>
                              <a:cxn ang="0">
                                <a:pos x="connsiteX2" y="connsiteY2"/>
                              </a:cxn>
                              <a:cxn ang="0">
                                <a:pos x="connsiteX3" y="connsiteY3"/>
                              </a:cxn>
                            </a:cxnLst>
                            <a:rect l="l" t="t" r="r" b="b"/>
                            <a:pathLst>
                              <a:path w="1385852" h="1737356">
                                <a:moveTo>
                                  <a:pt x="0" y="0"/>
                                </a:moveTo>
                                <a:lnTo>
                                  <a:pt x="1385852" y="0"/>
                                </a:lnTo>
                                <a:lnTo>
                                  <a:pt x="1385852" y="1737356"/>
                                </a:lnTo>
                                <a:lnTo>
                                  <a:pt x="0" y="1737356"/>
                                </a:lnTo>
                                <a:close/>
                              </a:path>
                            </a:pathLst>
                          </a:custGeom>
                          <a:solidFill>
                            <a:srgbClr val="002D4B"/>
                          </a:solidFill>
                          <a:ln w="1522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3" name="Gráfico 7"/>
                        <wpg:cNvGrpSpPr/>
                        <wpg:grpSpPr>
                          <a:xfrm>
                            <a:off x="4270140" y="8499077"/>
                            <a:ext cx="734269" cy="1183061"/>
                            <a:chOff x="4270140" y="8499077"/>
                            <a:chExt cx="734269" cy="1183061"/>
                          </a:xfrm>
                          <a:solidFill>
                            <a:srgbClr val="002D4B"/>
                          </a:solidFill>
                        </wpg:grpSpPr>
                        <wps:wsp>
                          <wps:cNvPr id="38" name="Forma Livre: Forma 38"/>
                          <wps:cNvSpPr/>
                          <wps:spPr>
                            <a:xfrm>
                              <a:off x="4320487" y="9611211"/>
                              <a:ext cx="625923" cy="70927"/>
                            </a:xfrm>
                            <a:custGeom>
                              <a:avLst/>
                              <a:gdLst>
                                <a:gd name="connsiteX0" fmla="*/ 280 w 625923"/>
                                <a:gd name="connsiteY0" fmla="*/ 558 h 70927"/>
                                <a:gd name="connsiteX1" fmla="*/ 626203 w 625923"/>
                                <a:gd name="connsiteY1" fmla="*/ 558 h 70927"/>
                                <a:gd name="connsiteX2" fmla="*/ 626203 w 625923"/>
                                <a:gd name="connsiteY2" fmla="*/ 71486 h 70927"/>
                                <a:gd name="connsiteX3" fmla="*/ 280 w 625923"/>
                                <a:gd name="connsiteY3" fmla="*/ 71486 h 70927"/>
                              </a:gdLst>
                              <a:ahLst/>
                              <a:cxnLst>
                                <a:cxn ang="0">
                                  <a:pos x="connsiteX0" y="connsiteY0"/>
                                </a:cxn>
                                <a:cxn ang="0">
                                  <a:pos x="connsiteX1" y="connsiteY1"/>
                                </a:cxn>
                                <a:cxn ang="0">
                                  <a:pos x="connsiteX2" y="connsiteY2"/>
                                </a:cxn>
                                <a:cxn ang="0">
                                  <a:pos x="connsiteX3" y="connsiteY3"/>
                                </a:cxn>
                              </a:cxnLst>
                              <a:rect l="l" t="t" r="r" b="b"/>
                              <a:pathLst>
                                <a:path w="625923" h="70927">
                                  <a:moveTo>
                                    <a:pt x="280" y="558"/>
                                  </a:moveTo>
                                  <a:lnTo>
                                    <a:pt x="626203" y="558"/>
                                  </a:lnTo>
                                  <a:lnTo>
                                    <a:pt x="626203" y="71486"/>
                                  </a:lnTo>
                                  <a:lnTo>
                                    <a:pt x="280" y="71486"/>
                                  </a:ln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orma Livre: Forma 39"/>
                          <wps:cNvSpPr/>
                          <wps:spPr>
                            <a:xfrm>
                              <a:off x="4270140" y="8499077"/>
                              <a:ext cx="734269" cy="1053531"/>
                            </a:xfrm>
                            <a:custGeom>
                              <a:avLst/>
                              <a:gdLst>
                                <a:gd name="connsiteX0" fmla="*/ 50627 w 734269"/>
                                <a:gd name="connsiteY0" fmla="*/ 1054089 h 1053531"/>
                                <a:gd name="connsiteX1" fmla="*/ 668895 w 734269"/>
                                <a:gd name="connsiteY1" fmla="*/ 1054089 h 1053531"/>
                                <a:gd name="connsiteX2" fmla="*/ 676550 w 734269"/>
                                <a:gd name="connsiteY2" fmla="*/ 922986 h 1053531"/>
                                <a:gd name="connsiteX3" fmla="*/ 610895 w 734269"/>
                                <a:gd name="connsiteY3" fmla="*/ 847467 h 1053531"/>
                                <a:gd name="connsiteX4" fmla="*/ 519292 w 734269"/>
                                <a:gd name="connsiteY4" fmla="*/ 847467 h 1053531"/>
                                <a:gd name="connsiteX5" fmla="*/ 517856 w 734269"/>
                                <a:gd name="connsiteY5" fmla="*/ 671174 h 1053531"/>
                                <a:gd name="connsiteX6" fmla="*/ 592240 w 734269"/>
                                <a:gd name="connsiteY6" fmla="*/ 671174 h 1053531"/>
                                <a:gd name="connsiteX7" fmla="*/ 675951 w 734269"/>
                                <a:gd name="connsiteY7" fmla="*/ 581154 h 1053531"/>
                                <a:gd name="connsiteX8" fmla="*/ 675951 w 734269"/>
                                <a:gd name="connsiteY8" fmla="*/ 185431 h 1053531"/>
                                <a:gd name="connsiteX9" fmla="*/ 734550 w 734269"/>
                                <a:gd name="connsiteY9" fmla="*/ 185431 h 1053531"/>
                                <a:gd name="connsiteX10" fmla="*/ 734550 w 734269"/>
                                <a:gd name="connsiteY10" fmla="*/ 117765 h 1053531"/>
                                <a:gd name="connsiteX11" fmla="*/ 676550 w 734269"/>
                                <a:gd name="connsiteY11" fmla="*/ 56141 h 1053531"/>
                                <a:gd name="connsiteX12" fmla="*/ 589610 w 734269"/>
                                <a:gd name="connsiteY12" fmla="*/ 56141 h 1053531"/>
                                <a:gd name="connsiteX13" fmla="*/ 568322 w 734269"/>
                                <a:gd name="connsiteY13" fmla="*/ 558 h 1053531"/>
                                <a:gd name="connsiteX14" fmla="*/ 157539 w 734269"/>
                                <a:gd name="connsiteY14" fmla="*/ 558 h 1053531"/>
                                <a:gd name="connsiteX15" fmla="*/ 131588 w 734269"/>
                                <a:gd name="connsiteY15" fmla="*/ 60974 h 1053531"/>
                                <a:gd name="connsiteX16" fmla="*/ 50627 w 734269"/>
                                <a:gd name="connsiteY16" fmla="*/ 63995 h 1053531"/>
                                <a:gd name="connsiteX17" fmla="*/ 280 w 734269"/>
                                <a:gd name="connsiteY17" fmla="*/ 117765 h 1053531"/>
                                <a:gd name="connsiteX18" fmla="*/ 280 w 734269"/>
                                <a:gd name="connsiteY18" fmla="*/ 185431 h 1053531"/>
                                <a:gd name="connsiteX19" fmla="*/ 50627 w 734269"/>
                                <a:gd name="connsiteY19" fmla="*/ 185431 h 1053531"/>
                                <a:gd name="connsiteX20" fmla="*/ 50627 w 734269"/>
                                <a:gd name="connsiteY20" fmla="*/ 552759 h 1053531"/>
                                <a:gd name="connsiteX21" fmla="*/ 142231 w 734269"/>
                                <a:gd name="connsiteY21" fmla="*/ 668515 h 1053531"/>
                                <a:gd name="connsiteX22" fmla="*/ 209559 w 734269"/>
                                <a:gd name="connsiteY22" fmla="*/ 668515 h 1053531"/>
                                <a:gd name="connsiteX23" fmla="*/ 209559 w 734269"/>
                                <a:gd name="connsiteY23" fmla="*/ 844325 h 1053531"/>
                                <a:gd name="connsiteX24" fmla="*/ 119390 w 734269"/>
                                <a:gd name="connsiteY24" fmla="*/ 844325 h 1053531"/>
                                <a:gd name="connsiteX25" fmla="*/ 50627 w 734269"/>
                                <a:gd name="connsiteY25" fmla="*/ 918394 h 10535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734269" h="1053531">
                                  <a:moveTo>
                                    <a:pt x="50627" y="1054089"/>
                                  </a:moveTo>
                                  <a:lnTo>
                                    <a:pt x="668895" y="1054089"/>
                                  </a:lnTo>
                                  <a:lnTo>
                                    <a:pt x="676550" y="922986"/>
                                  </a:lnTo>
                                  <a:cubicBezTo>
                                    <a:pt x="668183" y="888492"/>
                                    <a:pt x="643673" y="860297"/>
                                    <a:pt x="610895" y="847467"/>
                                  </a:cubicBezTo>
                                  <a:lnTo>
                                    <a:pt x="519292" y="847467"/>
                                  </a:lnTo>
                                  <a:lnTo>
                                    <a:pt x="517856" y="671174"/>
                                  </a:lnTo>
                                  <a:lnTo>
                                    <a:pt x="592240" y="671174"/>
                                  </a:lnTo>
                                  <a:cubicBezTo>
                                    <a:pt x="592240" y="671174"/>
                                    <a:pt x="663993" y="642416"/>
                                    <a:pt x="675951" y="581154"/>
                                  </a:cubicBezTo>
                                  <a:lnTo>
                                    <a:pt x="675951" y="185431"/>
                                  </a:lnTo>
                                  <a:lnTo>
                                    <a:pt x="734550" y="185431"/>
                                  </a:lnTo>
                                  <a:lnTo>
                                    <a:pt x="734550" y="117765"/>
                                  </a:lnTo>
                                  <a:cubicBezTo>
                                    <a:pt x="731784" y="86079"/>
                                    <a:pt x="707731" y="60521"/>
                                    <a:pt x="676550" y="56141"/>
                                  </a:cubicBezTo>
                                  <a:cubicBezTo>
                                    <a:pt x="647872" y="50166"/>
                                    <a:pt x="618288" y="50166"/>
                                    <a:pt x="589610" y="56141"/>
                                  </a:cubicBezTo>
                                  <a:lnTo>
                                    <a:pt x="568322" y="558"/>
                                  </a:lnTo>
                                  <a:lnTo>
                                    <a:pt x="157539" y="558"/>
                                  </a:lnTo>
                                  <a:lnTo>
                                    <a:pt x="131588" y="60974"/>
                                  </a:lnTo>
                                  <a:lnTo>
                                    <a:pt x="50627" y="63995"/>
                                  </a:lnTo>
                                  <a:cubicBezTo>
                                    <a:pt x="50627" y="63995"/>
                                    <a:pt x="15587" y="69915"/>
                                    <a:pt x="280" y="117765"/>
                                  </a:cubicBezTo>
                                  <a:lnTo>
                                    <a:pt x="280" y="185431"/>
                                  </a:lnTo>
                                  <a:lnTo>
                                    <a:pt x="50627" y="185431"/>
                                  </a:lnTo>
                                  <a:lnTo>
                                    <a:pt x="50627" y="552759"/>
                                  </a:lnTo>
                                  <a:cubicBezTo>
                                    <a:pt x="50627" y="552759"/>
                                    <a:pt x="64379" y="660783"/>
                                    <a:pt x="142231" y="668515"/>
                                  </a:cubicBezTo>
                                  <a:lnTo>
                                    <a:pt x="209559" y="668515"/>
                                  </a:lnTo>
                                  <a:lnTo>
                                    <a:pt x="209559" y="844325"/>
                                  </a:lnTo>
                                  <a:lnTo>
                                    <a:pt x="119390" y="844325"/>
                                  </a:lnTo>
                                  <a:cubicBezTo>
                                    <a:pt x="119390" y="844325"/>
                                    <a:pt x="73587" y="855079"/>
                                    <a:pt x="50627" y="918394"/>
                                  </a:cubicBez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orma Livre: Forma 40"/>
                          <wps:cNvSpPr/>
                          <wps:spPr>
                            <a:xfrm>
                              <a:off x="4375324" y="8683950"/>
                              <a:ext cx="517053" cy="430213"/>
                            </a:xfrm>
                            <a:custGeom>
                              <a:avLst/>
                              <a:gdLst>
                                <a:gd name="connsiteX0" fmla="*/ 195979 w 517053"/>
                                <a:gd name="connsiteY0" fmla="*/ 339248 h 430213"/>
                                <a:gd name="connsiteX1" fmla="*/ 195979 w 517053"/>
                                <a:gd name="connsiteY1" fmla="*/ 430113 h 430213"/>
                                <a:gd name="connsiteX2" fmla="*/ 65269 w 517053"/>
                                <a:gd name="connsiteY2" fmla="*/ 430113 h 430213"/>
                                <a:gd name="connsiteX3" fmla="*/ 812 w 517053"/>
                                <a:gd name="connsiteY3" fmla="*/ 370665 h 430213"/>
                                <a:gd name="connsiteX4" fmla="*/ 812 w 517053"/>
                                <a:gd name="connsiteY4" fmla="*/ 558 h 430213"/>
                                <a:gd name="connsiteX5" fmla="*/ 517192 w 517053"/>
                                <a:gd name="connsiteY5" fmla="*/ 558 h 430213"/>
                                <a:gd name="connsiteX6" fmla="*/ 517192 w 517053"/>
                                <a:gd name="connsiteY6" fmla="*/ 354956 h 430213"/>
                                <a:gd name="connsiteX7" fmla="*/ 464932 w 517053"/>
                                <a:gd name="connsiteY7" fmla="*/ 430235 h 430213"/>
                                <a:gd name="connsiteX8" fmla="*/ 333386 w 517053"/>
                                <a:gd name="connsiteY8" fmla="*/ 430235 h 430213"/>
                                <a:gd name="connsiteX9" fmla="*/ 333386 w 517053"/>
                                <a:gd name="connsiteY9" fmla="*/ 339248 h 4302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17053" h="430213">
                                  <a:moveTo>
                                    <a:pt x="195979" y="339248"/>
                                  </a:moveTo>
                                  <a:lnTo>
                                    <a:pt x="195979" y="430113"/>
                                  </a:lnTo>
                                  <a:lnTo>
                                    <a:pt x="65269" y="430113"/>
                                  </a:lnTo>
                                  <a:cubicBezTo>
                                    <a:pt x="65269" y="430113"/>
                                    <a:pt x="2007" y="431323"/>
                                    <a:pt x="812" y="370665"/>
                                  </a:cubicBezTo>
                                  <a:cubicBezTo>
                                    <a:pt x="-384" y="310007"/>
                                    <a:pt x="812" y="558"/>
                                    <a:pt x="812" y="558"/>
                                  </a:cubicBezTo>
                                  <a:lnTo>
                                    <a:pt x="517192" y="558"/>
                                  </a:lnTo>
                                  <a:lnTo>
                                    <a:pt x="517192" y="354956"/>
                                  </a:lnTo>
                                  <a:cubicBezTo>
                                    <a:pt x="517192" y="354956"/>
                                    <a:pt x="522693" y="429027"/>
                                    <a:pt x="464932" y="430235"/>
                                  </a:cubicBezTo>
                                  <a:cubicBezTo>
                                    <a:pt x="407171" y="431443"/>
                                    <a:pt x="333386" y="430235"/>
                                    <a:pt x="333386" y="430235"/>
                                  </a:cubicBezTo>
                                  <a:lnTo>
                                    <a:pt x="333386" y="339248"/>
                                  </a:ln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orma Livre: Forma 41"/>
                          <wps:cNvSpPr/>
                          <wps:spPr>
                            <a:xfrm>
                              <a:off x="4591234" y="9207150"/>
                              <a:ext cx="88255" cy="89173"/>
                            </a:xfrm>
                            <a:custGeom>
                              <a:avLst/>
                              <a:gdLst>
                                <a:gd name="connsiteX0" fmla="*/ 88536 w 88255"/>
                                <a:gd name="connsiteY0" fmla="*/ 45145 h 89173"/>
                                <a:gd name="connsiteX1" fmla="*/ 44408 w 88255"/>
                                <a:gd name="connsiteY1" fmla="*/ 89732 h 89173"/>
                                <a:gd name="connsiteX2" fmla="*/ 280 w 88255"/>
                                <a:gd name="connsiteY2" fmla="*/ 45145 h 89173"/>
                                <a:gd name="connsiteX3" fmla="*/ 44408 w 88255"/>
                                <a:gd name="connsiteY3" fmla="*/ 558 h 89173"/>
                                <a:gd name="connsiteX4" fmla="*/ 88536 w 88255"/>
                                <a:gd name="connsiteY4" fmla="*/ 45145 h 8917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8255" h="89173">
                                  <a:moveTo>
                                    <a:pt x="88536" y="45145"/>
                                  </a:moveTo>
                                  <a:cubicBezTo>
                                    <a:pt x="88536" y="69770"/>
                                    <a:pt x="68779" y="89732"/>
                                    <a:pt x="44408" y="89732"/>
                                  </a:cubicBezTo>
                                  <a:cubicBezTo>
                                    <a:pt x="20037" y="89732"/>
                                    <a:pt x="280" y="69770"/>
                                    <a:pt x="280" y="45145"/>
                                  </a:cubicBezTo>
                                  <a:cubicBezTo>
                                    <a:pt x="280" y="20520"/>
                                    <a:pt x="20037" y="558"/>
                                    <a:pt x="44408" y="558"/>
                                  </a:cubicBezTo>
                                  <a:cubicBezTo>
                                    <a:pt x="68779" y="558"/>
                                    <a:pt x="88536" y="20520"/>
                                    <a:pt x="88536" y="45145"/>
                                  </a:cubicBez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orma Livre: Forma 42"/>
                          <wps:cNvSpPr/>
                          <wps:spPr>
                            <a:xfrm>
                              <a:off x="4563490" y="8730990"/>
                              <a:ext cx="144341" cy="237826"/>
                            </a:xfrm>
                            <a:custGeom>
                              <a:avLst/>
                              <a:gdLst>
                                <a:gd name="connsiteX0" fmla="*/ 45843 w 144341"/>
                                <a:gd name="connsiteY0" fmla="*/ 642 h 237826"/>
                                <a:gd name="connsiteX1" fmla="*/ 45843 w 144341"/>
                                <a:gd name="connsiteY1" fmla="*/ 75800 h 237826"/>
                                <a:gd name="connsiteX2" fmla="*/ 280 w 144341"/>
                                <a:gd name="connsiteY2" fmla="*/ 134040 h 237826"/>
                                <a:gd name="connsiteX3" fmla="*/ 280 w 144341"/>
                                <a:gd name="connsiteY3" fmla="*/ 193490 h 237826"/>
                                <a:gd name="connsiteX4" fmla="*/ 144622 w 144341"/>
                                <a:gd name="connsiteY4" fmla="*/ 193490 h 237826"/>
                                <a:gd name="connsiteX5" fmla="*/ 144622 w 144341"/>
                                <a:gd name="connsiteY5" fmla="*/ 96824 h 237826"/>
                                <a:gd name="connsiteX6" fmla="*/ 45843 w 144341"/>
                                <a:gd name="connsiteY6" fmla="*/ 642 h 2378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4341" h="237826">
                                  <a:moveTo>
                                    <a:pt x="45843" y="642"/>
                                  </a:moveTo>
                                  <a:lnTo>
                                    <a:pt x="45843" y="75800"/>
                                  </a:lnTo>
                                  <a:cubicBezTo>
                                    <a:pt x="45843" y="75800"/>
                                    <a:pt x="30297" y="117244"/>
                                    <a:pt x="280" y="134040"/>
                                  </a:cubicBezTo>
                                  <a:lnTo>
                                    <a:pt x="280" y="193490"/>
                                  </a:lnTo>
                                  <a:cubicBezTo>
                                    <a:pt x="280" y="193490"/>
                                    <a:pt x="61388" y="294504"/>
                                    <a:pt x="144622" y="193490"/>
                                  </a:cubicBezTo>
                                  <a:lnTo>
                                    <a:pt x="144622" y="96824"/>
                                  </a:lnTo>
                                  <a:cubicBezTo>
                                    <a:pt x="144622" y="96824"/>
                                    <a:pt x="141274" y="-2741"/>
                                    <a:pt x="45843" y="642"/>
                                  </a:cubicBezTo>
                                  <a:close/>
                                </a:path>
                              </a:pathLst>
                            </a:custGeom>
                            <a:solidFill>
                              <a:srgbClr val="002D4B"/>
                            </a:solidFill>
                            <a:ln w="18177"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43" name="Forma Livre: Forma 43"/>
                        <wps:cNvSpPr/>
                        <wps:spPr>
                          <a:xfrm>
                            <a:off x="4759108" y="1013455"/>
                            <a:ext cx="91374" cy="167639"/>
                          </a:xfrm>
                          <a:custGeom>
                            <a:avLst/>
                            <a:gdLst>
                              <a:gd name="connsiteX0" fmla="*/ 47332 w 91374"/>
                              <a:gd name="connsiteY0" fmla="*/ 0 h 167639"/>
                              <a:gd name="connsiteX1" fmla="*/ 91375 w 91374"/>
                              <a:gd name="connsiteY1" fmla="*/ 84450 h 167639"/>
                              <a:gd name="connsiteX2" fmla="*/ 47332 w 91374"/>
                              <a:gd name="connsiteY2" fmla="*/ 167639 h 167639"/>
                              <a:gd name="connsiteX3" fmla="*/ 0 w 91374"/>
                              <a:gd name="connsiteY3" fmla="*/ 84450 h 167639"/>
                            </a:gdLst>
                            <a:ahLst/>
                            <a:cxnLst>
                              <a:cxn ang="0">
                                <a:pos x="connsiteX0" y="connsiteY0"/>
                              </a:cxn>
                              <a:cxn ang="0">
                                <a:pos x="connsiteX1" y="connsiteY1"/>
                              </a:cxn>
                              <a:cxn ang="0">
                                <a:pos x="connsiteX2" y="connsiteY2"/>
                              </a:cxn>
                              <a:cxn ang="0">
                                <a:pos x="connsiteX3" y="connsiteY3"/>
                              </a:cxn>
                            </a:cxnLst>
                            <a:rect l="l" t="t" r="r" b="b"/>
                            <a:pathLst>
                              <a:path w="91374" h="167639">
                                <a:moveTo>
                                  <a:pt x="47332" y="0"/>
                                </a:moveTo>
                                <a:lnTo>
                                  <a:pt x="91375" y="84450"/>
                                </a:lnTo>
                                <a:lnTo>
                                  <a:pt x="47332" y="167639"/>
                                </a:lnTo>
                                <a:lnTo>
                                  <a:pt x="0" y="84450"/>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orma Livre: Forma 44"/>
                        <wps:cNvSpPr/>
                        <wps:spPr>
                          <a:xfrm>
                            <a:off x="5292128" y="1333492"/>
                            <a:ext cx="106604" cy="121919"/>
                          </a:xfrm>
                          <a:custGeom>
                            <a:avLst/>
                            <a:gdLst>
                              <a:gd name="connsiteX0" fmla="*/ 106604 w 106604"/>
                              <a:gd name="connsiteY0" fmla="*/ 0 h 121919"/>
                              <a:gd name="connsiteX1" fmla="*/ 87659 w 106604"/>
                              <a:gd name="connsiteY1" fmla="*/ 94268 h 121919"/>
                              <a:gd name="connsiteX2" fmla="*/ 0 w 106604"/>
                              <a:gd name="connsiteY2" fmla="*/ 121920 h 121919"/>
                              <a:gd name="connsiteX3" fmla="*/ 15396 w 106604"/>
                              <a:gd name="connsiteY3" fmla="*/ 23882 h 121919"/>
                            </a:gdLst>
                            <a:ahLst/>
                            <a:cxnLst>
                              <a:cxn ang="0">
                                <a:pos x="connsiteX0" y="connsiteY0"/>
                              </a:cxn>
                              <a:cxn ang="0">
                                <a:pos x="connsiteX1" y="connsiteY1"/>
                              </a:cxn>
                              <a:cxn ang="0">
                                <a:pos x="connsiteX2" y="connsiteY2"/>
                              </a:cxn>
                              <a:cxn ang="0">
                                <a:pos x="connsiteX3" y="connsiteY3"/>
                              </a:cxn>
                            </a:cxnLst>
                            <a:rect l="l" t="t" r="r" b="b"/>
                            <a:pathLst>
                              <a:path w="106604" h="121919">
                                <a:moveTo>
                                  <a:pt x="106604" y="0"/>
                                </a:moveTo>
                                <a:lnTo>
                                  <a:pt x="87659" y="94268"/>
                                </a:lnTo>
                                <a:lnTo>
                                  <a:pt x="0" y="121920"/>
                                </a:lnTo>
                                <a:lnTo>
                                  <a:pt x="15396" y="23882"/>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 name="Forma Livre: Forma 45"/>
                        <wps:cNvSpPr/>
                        <wps:spPr>
                          <a:xfrm>
                            <a:off x="4195630" y="1318253"/>
                            <a:ext cx="106604" cy="121919"/>
                          </a:xfrm>
                          <a:custGeom>
                            <a:avLst/>
                            <a:gdLst>
                              <a:gd name="connsiteX0" fmla="*/ 106604 w 106604"/>
                              <a:gd name="connsiteY0" fmla="*/ 121920 h 121919"/>
                              <a:gd name="connsiteX1" fmla="*/ 17148 w 106604"/>
                              <a:gd name="connsiteY1" fmla="*/ 92659 h 121919"/>
                              <a:gd name="connsiteX2" fmla="*/ 0 w 106604"/>
                              <a:gd name="connsiteY2" fmla="*/ 0 h 121919"/>
                              <a:gd name="connsiteX3" fmla="*/ 93126 w 106604"/>
                              <a:gd name="connsiteY3" fmla="*/ 26823 h 121919"/>
                            </a:gdLst>
                            <a:ahLst/>
                            <a:cxnLst>
                              <a:cxn ang="0">
                                <a:pos x="connsiteX0" y="connsiteY0"/>
                              </a:cxn>
                              <a:cxn ang="0">
                                <a:pos x="connsiteX1" y="connsiteY1"/>
                              </a:cxn>
                              <a:cxn ang="0">
                                <a:pos x="connsiteX2" y="connsiteY2"/>
                              </a:cxn>
                              <a:cxn ang="0">
                                <a:pos x="connsiteX3" y="connsiteY3"/>
                              </a:cxn>
                            </a:cxnLst>
                            <a:rect l="l" t="t" r="r" b="b"/>
                            <a:pathLst>
                              <a:path w="106604" h="121919">
                                <a:moveTo>
                                  <a:pt x="106604" y="121920"/>
                                </a:moveTo>
                                <a:lnTo>
                                  <a:pt x="17148" y="92659"/>
                                </a:lnTo>
                                <a:lnTo>
                                  <a:pt x="0" y="0"/>
                                </a:lnTo>
                                <a:lnTo>
                                  <a:pt x="93126" y="26823"/>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 name="Forma Livre: Forma 46"/>
                        <wps:cNvSpPr/>
                        <wps:spPr>
                          <a:xfrm>
                            <a:off x="4347921" y="1242054"/>
                            <a:ext cx="898519" cy="731521"/>
                          </a:xfrm>
                          <a:custGeom>
                            <a:avLst/>
                            <a:gdLst>
                              <a:gd name="connsiteX0" fmla="*/ 76374 w 898519"/>
                              <a:gd name="connsiteY0" fmla="*/ 731521 h 731521"/>
                              <a:gd name="connsiteX1" fmla="*/ 822145 w 898519"/>
                              <a:gd name="connsiteY1" fmla="*/ 731521 h 731521"/>
                              <a:gd name="connsiteX2" fmla="*/ 822145 w 898519"/>
                              <a:gd name="connsiteY2" fmla="*/ 592175 h 731521"/>
                              <a:gd name="connsiteX3" fmla="*/ 898520 w 898519"/>
                              <a:gd name="connsiteY3" fmla="*/ 246327 h 731521"/>
                              <a:gd name="connsiteX4" fmla="*/ 657488 w 898519"/>
                              <a:gd name="connsiteY4" fmla="*/ 355803 h 731521"/>
                              <a:gd name="connsiteX5" fmla="*/ 446275 w 898519"/>
                              <a:gd name="connsiteY5" fmla="*/ 0 h 731521"/>
                              <a:gd name="connsiteX6" fmla="*/ 233874 w 898519"/>
                              <a:gd name="connsiteY6" fmla="*/ 355803 h 731521"/>
                              <a:gd name="connsiteX7" fmla="*/ 0 w 898519"/>
                              <a:gd name="connsiteY7" fmla="*/ 246327 h 731521"/>
                              <a:gd name="connsiteX8" fmla="*/ 78750 w 898519"/>
                              <a:gd name="connsiteY8" fmla="*/ 602135 h 7315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98519" h="731521">
                                <a:moveTo>
                                  <a:pt x="76374" y="731521"/>
                                </a:moveTo>
                                <a:lnTo>
                                  <a:pt x="822145" y="731521"/>
                                </a:lnTo>
                                <a:lnTo>
                                  <a:pt x="822145" y="592175"/>
                                </a:lnTo>
                                <a:lnTo>
                                  <a:pt x="898520" y="246327"/>
                                </a:lnTo>
                                <a:lnTo>
                                  <a:pt x="657488" y="355803"/>
                                </a:lnTo>
                                <a:lnTo>
                                  <a:pt x="446275" y="0"/>
                                </a:lnTo>
                                <a:lnTo>
                                  <a:pt x="233874" y="355803"/>
                                </a:lnTo>
                                <a:lnTo>
                                  <a:pt x="0" y="246327"/>
                                </a:lnTo>
                                <a:lnTo>
                                  <a:pt x="78750" y="602135"/>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 name="Forma Livre: Forma 47"/>
                        <wps:cNvSpPr/>
                        <wps:spPr>
                          <a:xfrm>
                            <a:off x="4424067" y="2049766"/>
                            <a:ext cx="746228" cy="137168"/>
                          </a:xfrm>
                          <a:custGeom>
                            <a:avLst/>
                            <a:gdLst>
                              <a:gd name="connsiteX0" fmla="*/ 0 w 746228"/>
                              <a:gd name="connsiteY0" fmla="*/ 0 h 137168"/>
                              <a:gd name="connsiteX1" fmla="*/ 746228 w 746228"/>
                              <a:gd name="connsiteY1" fmla="*/ 0 h 137168"/>
                              <a:gd name="connsiteX2" fmla="*/ 746228 w 746228"/>
                              <a:gd name="connsiteY2" fmla="*/ 137169 h 137168"/>
                              <a:gd name="connsiteX3" fmla="*/ 0 w 746228"/>
                              <a:gd name="connsiteY3" fmla="*/ 137169 h 137168"/>
                            </a:gdLst>
                            <a:ahLst/>
                            <a:cxnLst>
                              <a:cxn ang="0">
                                <a:pos x="connsiteX0" y="connsiteY0"/>
                              </a:cxn>
                              <a:cxn ang="0">
                                <a:pos x="connsiteX1" y="connsiteY1"/>
                              </a:cxn>
                              <a:cxn ang="0">
                                <a:pos x="connsiteX2" y="connsiteY2"/>
                              </a:cxn>
                              <a:cxn ang="0">
                                <a:pos x="connsiteX3" y="connsiteY3"/>
                              </a:cxn>
                            </a:cxnLst>
                            <a:rect l="l" t="t" r="r" b="b"/>
                            <a:pathLst>
                              <a:path w="746228" h="137168">
                                <a:moveTo>
                                  <a:pt x="0" y="0"/>
                                </a:moveTo>
                                <a:lnTo>
                                  <a:pt x="746228" y="0"/>
                                </a:lnTo>
                                <a:lnTo>
                                  <a:pt x="746228" y="137169"/>
                                </a:lnTo>
                                <a:lnTo>
                                  <a:pt x="0" y="137169"/>
                                </a:lnTo>
                                <a:close/>
                              </a:path>
                            </a:pathLst>
                          </a:custGeom>
                          <a:solidFill>
                            <a:srgbClr val="002D4B"/>
                          </a:solidFill>
                          <a:ln w="19034" cap="flat">
                            <a:solidFill>
                              <a:srgbClr val="FCFC30"/>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9DB12C" id="Gráfico 7" o:spid="_x0000_s1026" style="position:absolute;left:0;text-align:left;margin-left:0;margin-top:0;width:1017.45pt;height:898.15pt;z-index:251659264" coordsize="129219,1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">
                <v:shape id="Forma Livre: Forma 3" o:spid="_x0000_s1027" style="position:absolute;width:75536;height:106984;visibility:visible;mso-wrap-style:square;v-text-anchor:middle" coordsize="7553657,10698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" path="m,l7553657,r,10698429l,10698429,,xe" fillcolor="#002d4b" stroked="f" strokeweight=".423mm">
                  <v:stroke joinstyle="miter"/>
                  <v:path arrowok="t" o:connecttype="custom" o:connectlocs="0,0;7553657,0;7553657,10698429;0,10698429" o:connectangles="0,0,0,0"/>
                </v:shape>
                <v:shape id="Forma Livre: Forma 4" o:spid="_x0000_s1028" style="position:absolute;left:15305;top:76;width:113914;height:113994;visibility:visible;mso-wrap-style:square;v-text-anchor:middle" coordsize="11391402,1139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" path="m,5699731c,2551851,2550060,,5695701,v3145656,,5695701,2551851,5695701,5699731c11391402,8847610,8841357,11399467,5695701,11399467,2550060,11399467,,8847610,,5699731xe" filled="f" strokecolor="#b4afd2" strokeweight=".52872mm">
                  <v:path arrowok="t" o:connecttype="custom" o:connectlocs="0,5699731;5695701,0;11391402,5699731;5695701,11399467;0,5699731" o:connectangles="0,0,0,0,0"/>
                </v:shape>
                <v:shape id="Forma Livre: Forma 5" o:spid="_x0000_s1029" style="position:absolute;left:47591;top:24307;width:65485;height:65684;visibility:visible;mso-wrap-style:square;v-text-anchor:middle" coordsize="6548533,6568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" path="m,3284196c,1470389,1465943,,3274267,,5082591,,6548534,1470389,6548534,3284196v,1813822,-1465943,3284211,-3274267,3284211c1465943,6568407,,5098018,,3284196xe" filled="f" strokecolor="#b4afd2" strokeweight=".52872mm">
                  <v:path arrowok="t" o:connecttype="custom" o:connectlocs="0,3284196;3274267,0;6548534,3284196;3274267,6568407;0,3284196" o:connectangles="0,0,0,0,0"/>
                </v:shape>
                <v:shape id="Forma Livre: Forma 6" o:spid="_x0000_s1030" style="position:absolute;left:31905;top:8762;width:97009;height:97079;visibility:visible;mso-wrap-style:square;v-text-anchor:middle" coordsize="9700966,970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" path="m,4853914c,2173173,2171631,,4850484,,7529337,,9700967,2173173,9700967,4853914v,2680741,-2171630,4853910,-4850483,4853910c2171631,9707824,,7534655,,4853914xe" filled="f" strokecolor="white" strokeweight=".52872mm">
                  <v:path arrowok="t" o:connecttype="custom" o:connectlocs="0,4853914;4850484,0;9700967,4853914;4850484,9707824;0,4853914" o:connectangles="0,0,0,0,0"/>
                </v:shape>
                <v:shape id="Forma Livre: Forma 9" o:spid="_x0000_s1031" style="position:absolute;left:2284;top:59283;width:37464;height:9296;visibility:visible;mso-wrap-style:square;v-text-anchor:middle" coordsize="3746370,92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" path="m,l3746370,r,929636l,929636,,xe" fillcolor="#002d4b" stroked="f" strokeweight=".423mm">
                  <v:stroke joinstyle="miter"/>
                  <v:path arrowok="t" o:connecttype="custom" o:connectlocs="0,0;3746370,0;3746370,929636;0,929636" o:connectangles="0,0,0,0"/>
                </v:shape>
                <v:shapetype id="_x0000_t202" coordsize="21600,21600" o:spt="202" path="m,l,21600r21600,l21600,xe">
                  <v:stroke joinstyle="miter"/>
                  <v:path gradientshapeok="t" o:connecttype="rect"/>
                </v:shapetype>
                <v:shape id="Caixa de Texto 8" o:spid="_x0000_s1032" type="#_x0000_t202" style="position:absolute;left:3000;top:59388;width:4883;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filled="f" stroked="f">
                  <v:textbox style="mso-fit-shape-to-text:t">
                    <w:txbxContent>
                      <w:p w14:paraId="5F573C9E" w14:textId="77777777" w:rsidR="00BB15B8" w:rsidRDefault="00BB15B8" w:rsidP="00BB15B8">
                        <w:pPr>
                          <w:textAlignment w:val="baseline"/>
                          <w:rPr>
                            <w:rFonts w:cs="Arial"/>
                            <w:color w:val="FFFFFF"/>
                            <w:sz w:val="36"/>
                            <w:szCs w:val="36"/>
                          </w:rPr>
                        </w:pPr>
                        <w:r>
                          <w:rPr>
                            <w:rFonts w:cs="Arial"/>
                            <w:color w:val="FFFFFF"/>
                            <w:sz w:val="36"/>
                            <w:szCs w:val="36"/>
                          </w:rPr>
                          <w:t xml:space="preserve">BB </w:t>
                        </w:r>
                      </w:p>
                    </w:txbxContent>
                  </v:textbox>
                </v:shape>
                <v:shape id="Caixa de Texto 9" o:spid="_x0000_s1033" type="#_x0000_t202" style="position:absolute;left:6394;top:59388;width:13526;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" filled="f" stroked="f">
                  <v:textbox style="mso-fit-shape-to-text:t">
                    <w:txbxContent>
                      <w:p w14:paraId="6A3D7C2F" w14:textId="77777777" w:rsidR="00BB15B8" w:rsidRDefault="00BB15B8" w:rsidP="00BB15B8">
                        <w:pPr>
                          <w:textAlignment w:val="baseline"/>
                          <w:rPr>
                            <w:rFonts w:cs="Arial"/>
                            <w:color w:val="FFFFFF"/>
                            <w:sz w:val="36"/>
                            <w:szCs w:val="36"/>
                          </w:rPr>
                        </w:pPr>
                        <w:r>
                          <w:rPr>
                            <w:rFonts w:cs="Arial"/>
                            <w:color w:val="FFFFFF"/>
                            <w:sz w:val="36"/>
                            <w:szCs w:val="36"/>
                          </w:rPr>
                          <w:t>Seguridade</w:t>
                        </w:r>
                      </w:p>
                    </w:txbxContent>
                  </v:textbox>
                </v:shape>
                <v:shape id="Caixa de Texto 10" o:spid="_x0000_s1034" type="#_x0000_t202" style="position:absolute;left:19084;top:59388;width:15557;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" filled="f" stroked="f">
                  <v:textbox style="mso-fit-shape-to-text:t">
                    <w:txbxContent>
                      <w:p w14:paraId="3AAC14CE" w14:textId="77777777" w:rsidR="00BB15B8" w:rsidRDefault="00BB15B8" w:rsidP="00BB15B8">
                        <w:pPr>
                          <w:textAlignment w:val="baseline"/>
                          <w:rPr>
                            <w:rFonts w:cs="Arial"/>
                            <w:color w:val="FFFFFF"/>
                            <w:sz w:val="36"/>
                            <w:szCs w:val="36"/>
                          </w:rPr>
                        </w:pPr>
                        <w:r>
                          <w:rPr>
                            <w:rFonts w:cs="Arial"/>
                            <w:color w:val="FFFFFF"/>
                            <w:sz w:val="36"/>
                            <w:szCs w:val="36"/>
                          </w:rPr>
                          <w:t>Participações</w:t>
                        </w:r>
                      </w:p>
                    </w:txbxContent>
                  </v:textbox>
                </v:shape>
                <v:shape id="Caixa de Texto 11" o:spid="_x0000_s1035" type="#_x0000_t202" style="position:absolute;left:33851;top:59388;width:6154;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" filled="f" stroked="f">
                  <v:textbox style="mso-fit-shape-to-text:t">
                    <w:txbxContent>
                      <w:p w14:paraId="00381F04" w14:textId="77777777" w:rsidR="00BB15B8" w:rsidRDefault="00BB15B8" w:rsidP="00BB15B8">
                        <w:pPr>
                          <w:textAlignment w:val="baseline"/>
                          <w:rPr>
                            <w:rFonts w:cs="Arial"/>
                            <w:color w:val="FFFFFF"/>
                            <w:sz w:val="36"/>
                            <w:szCs w:val="36"/>
                          </w:rPr>
                        </w:pPr>
                        <w:r>
                          <w:rPr>
                            <w:rFonts w:cs="Arial"/>
                            <w:color w:val="FFFFFF"/>
                            <w:sz w:val="36"/>
                            <w:szCs w:val="36"/>
                          </w:rPr>
                          <w:t>S.A.</w:t>
                        </w:r>
                      </w:p>
                    </w:txbxContent>
                  </v:textbox>
                </v:shape>
                <v:shape id="Caixa de Texto 13" o:spid="_x0000_s1036" type="#_x0000_t202" style="position:absolute;left:20428;top:63652;width:6915;height:4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3319DD3B" w14:textId="77777777" w:rsidR="00BB15B8" w:rsidRDefault="00BB15B8" w:rsidP="00BB15B8">
                        <w:pPr>
                          <w:textAlignment w:val="baseline"/>
                          <w:rPr>
                            <w:rFonts w:cs="Arial"/>
                            <w:color w:val="FFFFFF"/>
                            <w:sz w:val="36"/>
                            <w:szCs w:val="36"/>
                          </w:rPr>
                        </w:pPr>
                        <w:r>
                          <w:rPr>
                            <w:rFonts w:cs="Arial"/>
                            <w:color w:val="FFFFFF"/>
                            <w:sz w:val="36"/>
                            <w:szCs w:val="36"/>
                          </w:rPr>
                          <w:t>2021</w:t>
                        </w:r>
                      </w:p>
                    </w:txbxContent>
                  </v:textbox>
                </v:shape>
                <v:shape id="Forma Livre: Forma 16" o:spid="_x0000_s1037" style="position:absolute;left:2284;top:32918;width:44012;height:16611;visibility:visible;mso-wrap-style:square;v-text-anchor:middle" coordsize="4401223,166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" path="m,l4401224,r,1661150l,1661150,,xe" fillcolor="#002d4b" stroked="f" strokeweight=".423mm">
                  <v:stroke joinstyle="miter"/>
                  <v:path arrowok="t" o:connecttype="custom" o:connectlocs="0,0;4401224,0;4401224,1661150;0,1661150" o:connectangles="0,0,0,0"/>
                </v:shape>
                <v:shape id="Caixa de Texto 15" o:spid="_x0000_s1038" type="#_x0000_t202" style="position:absolute;left:2253;top:32999;width:36373;height:8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" filled="f" stroked="f">
                  <v:textbox style="mso-fit-shape-to-text:t">
                    <w:txbxContent>
                      <w:p w14:paraId="43AF1CEF" w14:textId="7443DC31" w:rsidR="00BB15B8" w:rsidRDefault="00BB15B8" w:rsidP="00BB15B8">
                        <w:pPr>
                          <w:textAlignment w:val="baseline"/>
                          <w:rPr>
                            <w:rFonts w:cs="Arial"/>
                            <w:b/>
                            <w:bCs/>
                            <w:color w:val="FCFC30"/>
                            <w:position w:val="1"/>
                            <w:sz w:val="89"/>
                            <w:szCs w:val="89"/>
                          </w:rPr>
                        </w:pPr>
                        <w:r>
                          <w:rPr>
                            <w:rFonts w:cs="Arial"/>
                            <w:b/>
                            <w:bCs/>
                            <w:color w:val="FCFC30"/>
                            <w:position w:val="1"/>
                            <w:sz w:val="89"/>
                            <w:szCs w:val="89"/>
                          </w:rPr>
                          <w:t xml:space="preserve">Management </w:t>
                        </w:r>
                      </w:p>
                    </w:txbxContent>
                  </v:textbox>
                </v:shape>
                <v:shape id="Caixa de Texto 16" o:spid="_x0000_s1039" type="#_x0000_t202" style="position:absolute;left:2253;top:39701;width:20041;height:8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" filled="f" stroked="f">
                  <v:textbox style="mso-fit-shape-to-text:t">
                    <w:txbxContent>
                      <w:p w14:paraId="070C3B62" w14:textId="066BC1AB" w:rsidR="00BB15B8" w:rsidRDefault="00BB15B8" w:rsidP="00BB15B8">
                        <w:pPr>
                          <w:textAlignment w:val="baseline"/>
                          <w:rPr>
                            <w:rFonts w:cs="Arial"/>
                            <w:b/>
                            <w:bCs/>
                            <w:color w:val="FCFC30"/>
                            <w:position w:val="1"/>
                            <w:sz w:val="89"/>
                            <w:szCs w:val="89"/>
                          </w:rPr>
                        </w:pPr>
                        <w:r>
                          <w:rPr>
                            <w:rFonts w:cs="Arial"/>
                            <w:b/>
                            <w:bCs/>
                            <w:color w:val="FCFC30"/>
                            <w:position w:val="1"/>
                            <w:sz w:val="89"/>
                            <w:szCs w:val="89"/>
                          </w:rPr>
                          <w:t>Report</w:t>
                        </w:r>
                      </w:p>
                    </w:txbxContent>
                  </v:textbox>
                </v:shape>
                <v:shape id="Forma Livre: Forma 19" o:spid="_x0000_s1040" style="position:absolute;left:61449;top:35128;width:40814;height:40843;visibility:visible;mso-wrap-style:square;v-text-anchor:middle" coordsize="4081411,4084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" path="m,2042152c,914297,913657,,2040706,,3167754,,4081412,914297,4081412,2042152v,1127841,-913658,2042153,-2040706,2042153c913657,4084305,,3169993,,2042152xe" filled="f" strokecolor="#fcfc30" strokeweight=".52872mm">
                  <v:path arrowok="t" o:connecttype="custom" o:connectlocs="0,2042152;2040706,0;4081412,2042152;2040706,4084305;0,2042152" o:connectangles="0,0,0,0,0"/>
                </v:shape>
                <v:shape id="Forma Livre: Forma 20" o:spid="_x0000_s1041" style="position:absolute;left:41118;top:14325;width:14925;height:11125;visibility:visible;mso-wrap-style:square;v-text-anchor:middle" coordsize="1492456,111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" path="m,l1492456,r,1112515l,1112515,,xe" fillcolor="#002d4b" stroked="f" strokeweight=".423mm">
                  <v:stroke joinstyle="miter"/>
                  <v:path arrowok="t" o:connecttype="custom" o:connectlocs="0,0;1492456,0;1492456,1112515;0,1112515" o:connectangles="0,0,0,0"/>
                </v:shape>
                <v:shape id="Forma Livre: Forma 21" o:spid="_x0000_s1042" style="position:absolute;left:54977;top:24231;width:16752;height:11735;visibility:visible;mso-wrap-style:square;v-text-anchor:middle" coordsize="1675206,1173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" path="m,l1675206,r,1173473l,1173473,,xe" fillcolor="#002d4b" stroked="f" strokeweight=".423mm">
                  <v:stroke joinstyle="miter"/>
                  <v:path arrowok="t" o:connecttype="custom" o:connectlocs="0,0;1675206,0;1675206,1173473;0,1173473" o:connectangles="0,0,0,0"/>
                </v:shape>
                <v:shape id="Forma Livre: Forma 22" o:spid="_x0000_s1043" style="position:absolute;left:58708;top:22021;width:9137;height:11735;visibility:visible;mso-wrap-style:square;v-text-anchor:middle" coordsize="913748,1173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" path="m791916,535365r1264,-272754c793180,261347,793180,261347,793180,260068v,,,-1264,,-1264l793180,239767r,c779230,105294,634553,,456874,,279196,,134519,105294,120569,239767r-1279,l119290,536629,,536629r,636853l913749,1173482r,-638117l791916,535365xe" fillcolor="#002d4b" strokecolor="white" strokeweight=".52872mm">
                  <v:stroke joinstyle="miter"/>
                  <v:path arrowok="t" o:connecttype="custom" o:connectlocs="791916,535365;793180,262611;793180,260068;793180,258804;793180,239767;793180,239767;456874,0;120569,239767;119290,239767;119290,536629;0,536629;0,1173482;913749,1173482;913749,535365;791916,535365" o:connectangles="0,0,0,0,0,0,0,0,0,0,0,0,0,0,0"/>
                </v:shape>
                <v:shape id="Forma Livre: Forma 23" o:spid="_x0000_s1044" style="position:absolute;left:60992;top:22936;width:4721;height:4419;visibility:visible;mso-wrap-style:square;v-text-anchor:middle" coordsize="472103,44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" path="m472104,170841c472104,76740,366505,,236052,,105599,,,76740,,170841v,,,1233,,1233l,172074,,441950r469621,l469621,190639v1249,-7432,2483,-13615,2483,-19798xe" fillcolor="#002d4b" strokecolor="white" strokeweight=".52872mm">
                  <v:stroke joinstyle="miter"/>
                  <v:path arrowok="t" o:connecttype="custom" o:connectlocs="472104,170841;236052,0;0,170841;0,172074;0,172074;0,441950;469621,441950;469621,190639;472104,170841" o:connectangles="0,0,0,0,0,0,0,0,0"/>
                </v:shape>
                <v:shape id="Forma Livre: Forma 24" o:spid="_x0000_s1045" style="position:absolute;left:62515;top:29641;width:1828;height:2743;visibility:visible;mso-wrap-style:square;v-text-anchor:middle" coordsize="182749,27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" path="m182750,90598c182750,40266,142134,,91375,,40616,,,40266,,90598v,37753,22844,70466,57109,84309c58373,174907,58373,174907,59652,176171r,98136l131991,274307r,-100664c161170,158551,182750,127087,182750,90598xe" fillcolor="#002d4b" strokecolor="white" strokeweight=".52872mm">
                  <v:stroke joinstyle="miter"/>
                  <v:path arrowok="t" o:connecttype="custom" o:connectlocs="182750,90598;91375,0;0,90598;57109,174907;59652,176171;59652,274307;131991,274307;131991,173643;182750,90598" o:connectangles="0,0,0,0,0,0,0,0,0"/>
                </v:shape>
                <v:shape id="Forma Livre: Forma 25" o:spid="_x0000_s1046" style="position:absolute;left:43098;top:44348;width:12640;height:19964;visibility:visible;mso-wrap-style:square;v-text-anchor:middle" coordsize="1264020,199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" path="m,l1264021,r,1996434l,1996434,,xe" fillcolor="#002d4b" stroked="f" strokeweight=".423mm">
                  <v:stroke joinstyle="miter"/>
                  <v:path arrowok="t" o:connecttype="custom" o:connectlocs="0,0;1264021,0;1264021,1996434;0,1996434" o:connectangles="0,0,0,0"/>
                </v:shape>
                <v:shape id="Forma Livre: Forma 26" o:spid="_x0000_s1047" style="position:absolute;left:43174;top:48691;width:12336;height:10973;visibility:visible;mso-wrap-style:square;v-text-anchor:middle" coordsize="1233554,1097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" path="m657271,32313r561956,986879c1219227,1019192,1266391,1097272,1189576,1097272v-76801,,-1154887,-5391,-1154887,-5391c34689,1091881,-25954,1097272,13124,1028604,52202,959951,583166,32313,583166,32313v,,32331,-72704,74105,xe" fillcolor="#002d4b" strokecolor="#fcfc30" strokeweight=".52872mm">
                  <v:stroke joinstyle="miter"/>
                  <v:path arrowok="t" o:connecttype="custom" o:connectlocs="657271,32313;1219227,1019192;1189576,1097272;34689,1091881;13124,1028604;583166,32313;657271,32313" o:connectangles="0,0,0,0,0,0,0"/>
                </v:shape>
                <v:shape id="Forma Livre: Forma 27" o:spid="_x0000_s1048" style="position:absolute;left:48961;top:51434;width:914;height:5029;visibility:visible;mso-wrap-style:square;v-text-anchor:middle" coordsize="91374,50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" path="m,l91375,r,502912l,502912,,xe" fillcolor="#002d4b" strokecolor="#fcfc30" strokeweight=".52872mm">
                  <v:stroke joinstyle="miter"/>
                  <v:path arrowok="t" o:connecttype="custom" o:connectlocs="0,0;91375,0;91375,502912;0,502912" o:connectangles="0,0,0,0"/>
                </v:shape>
                <v:shape id="Forma Livre: Forma 28" o:spid="_x0000_s1049" style="position:absolute;left:48657;top:57073;width:1370;height:1524;visibility:visible;mso-wrap-style:square;v-text-anchor:middle" coordsize="137062,15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" path="m137062,76207v,42078,-30687,76191,-68531,76191c30687,152398,,118285,,76207,,34113,30687,,68531,v37844,,68531,34113,68531,76207xe" fillcolor="#002d4b" strokecolor="#fcfc30" strokeweight=".52872mm">
                  <v:stroke joinstyle="miter"/>
                  <v:path arrowok="t" o:connecttype="custom" o:connectlocs="137062,76207;68531,152398;0,76207;68531,0;137062,76207" o:connectangles="0,0,0,0,0"/>
                </v:shape>
                <v:shape id="Forma Livre: Forma 29" o:spid="_x0000_s1050" style="position:absolute;left:52692;top:72694;width:13250;height:13716;visibility:visible;mso-wrap-style:square;v-text-anchor:middle" coordsize="1324935,137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" path="m,l1324936,r,1371594l,1371594,,xe" fillcolor="#002d4b" stroked="f" strokeweight=".423mm">
                  <v:stroke joinstyle="miter"/>
                  <v:path arrowok="t" o:connecttype="custom" o:connectlocs="0,0;1324936,0;1324936,1371594;0,1371594" o:connectangles="0,0,0,0"/>
                </v:shape>
                <v:shape id="Forma Livre: Forma 30" o:spid="_x0000_s1051" style="position:absolute;left:62667;top:76885;width:3046;height:6706;visibility:visible;mso-wrap-style:square;v-text-anchor:middle" coordsize="304588,670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" path="m304588,r,670372l32459,670372v,,-25006,4447,-32362,-29667l97,31144c97,31144,-2843,,23641,,50109,,304588,,304588,xe" fillcolor="#002d4b" strokecolor="white" strokeweight=".52872mm">
                  <v:stroke joinstyle="miter"/>
                  <v:path arrowok="t" o:connecttype="custom" o:connectlocs="304588,0;304588,670372;32459,670372;97,640705;97,31144;23641,0;304588,0" o:connectangles="0,0,0,0,0,0,0"/>
                </v:shape>
                <v:shape id="Forma Livre: Forma 31" o:spid="_x0000_s1052" style="position:absolute;left:53073;top:72923;width:8681;height:11125;visibility:visible;mso-wrap-style:square;v-text-anchor:middle" coordsize="868061,111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" path="m868062,479488r,515903l648259,1112503r-448605,c199654,1112503,105462,1041352,183207,953876v,,-127087,-7402,-89715,-157134c93492,796742,-21640,768568,57612,632191v,,-131595,-88954,2985,-195695l434427,436496v,,23925,-8894,23925,-44469c458352,392027,417980,323831,407502,245264,397040,166681,403024,42168,403024,42168v,,94208,-94878,179430,l588440,162235v,,49342,188278,279622,317253xe" fillcolor="#002d4b" strokecolor="white" strokeweight=".52872mm">
                  <v:stroke joinstyle="miter"/>
                  <v:path arrowok="t" o:connecttype="custom" o:connectlocs="868062,479488;868062,995391;648259,1112503;199654,1112503;183207,953876;93492,796742;57612,632191;60597,436496;434427,436496;458352,392027;407502,245264;403024,42168;582454,42168;588440,162235;868062,479488" o:connectangles="0,0,0,0,0,0,0,0,0,0,0,0,0,0,0"/>
                </v:shape>
                <v:shape id="Forma Livre: Forma 32" o:spid="_x0000_s1053" style="position:absolute;left:40052;top:82448;width:13859;height:17373;visibility:visible;mso-wrap-style:square;v-text-anchor:middle" coordsize="1385852,173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" path="m,l1385852,r,1737356l,1737356,,xe" fillcolor="#002d4b" stroked="f" strokeweight=".423mm">
                  <v:stroke joinstyle="miter"/>
                  <v:path arrowok="t" o:connecttype="custom" o:connectlocs="0,0;1385852,0;1385852,1737356;0,1737356" o:connectangles="0,0,0,0"/>
                </v:shape>
                <v:group id="_x0000_s1054" style="position:absolute;left:42701;top:84990;width:7343;height:11831" coordorigin="42701,84990" coordsize="7342,1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orma Livre: Forma 38" o:spid="_x0000_s1055" style="position:absolute;left:43204;top:96112;width:6260;height:709;visibility:visible;mso-wrap-style:square;v-text-anchor:middle" coordsize="625923,7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" path="m280,558r625923,l626203,71486r-625923,l280,558xe" fillcolor="#002d4b" strokecolor="#fcfc30" strokeweight=".50492mm">
                    <v:stroke joinstyle="miter"/>
                    <v:path arrowok="t" o:connecttype="custom" o:connectlocs="280,558;626203,558;626203,71486;280,71486" o:connectangles="0,0,0,0"/>
                  </v:shape>
                  <v:shape id="Forma Livre: Forma 39" o:spid="_x0000_s1056" style="position:absolute;left:42701;top:84990;width:7343;height:10536;visibility:visible;mso-wrap-style:square;v-text-anchor:middle" coordsize="734269,105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" path="m50627,1054089r618268,l676550,922986v-8367,-34494,-32877,-62689,-65655,-75519l519292,847467,517856,671174r74384,c592240,671174,663993,642416,675951,581154r,-395723l734550,185431r,-67666c731784,86079,707731,60521,676550,56141v-28678,-5975,-58262,-5975,-86940,l568322,558r-410783,l131588,60974,50627,63995v,,-35040,5920,-50347,53770l280,185431r50347,l50627,552759v,,13752,108024,91604,115756l209559,668515r,175810l119390,844325v,,-45803,10754,-68763,74069l50627,1054089xe" fillcolor="#002d4b" strokecolor="#fcfc30" strokeweight=".50492mm">
                    <v:stroke joinstyle="miter"/>
                    <v:path arrowok="t" o:connecttype="custom" o:connectlocs="50627,1054089;668895,1054089;676550,922986;610895,847467;519292,847467;517856,671174;592240,671174;675951,581154;675951,185431;734550,185431;734550,117765;676550,56141;589610,56141;568322,558;157539,558;131588,60974;50627,63995;280,117765;280,185431;50627,185431;50627,552759;142231,668515;209559,668515;209559,844325;119390,844325;50627,918394" o:connectangles="0,0,0,0,0,0,0,0,0,0,0,0,0,0,0,0,0,0,0,0,0,0,0,0,0,0"/>
                  </v:shape>
                  <v:shape id="Forma Livre: Forma 40" o:spid="_x0000_s1057" style="position:absolute;left:43753;top:86839;width:5170;height:4302;visibility:visible;mso-wrap-style:square;v-text-anchor:middle" coordsize="517053,430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" path="m195979,339248r,90865l65269,430113v,,-63262,1210,-64457,-59448c-384,310007,812,558,812,558r516380,l517192,354956v,,5501,74071,-52260,75279c407171,431443,333386,430235,333386,430235r,-90987l195979,339248xe" fillcolor="#002d4b" strokecolor="#fcfc30" strokeweight=".50492mm">
                    <v:stroke joinstyle="miter"/>
                    <v:path arrowok="t" o:connecttype="custom" o:connectlocs="195979,339248;195979,430113;65269,430113;812,370665;812,558;517192,558;517192,354956;464932,430235;333386,430235;333386,339248" o:connectangles="0,0,0,0,0,0,0,0,0,0"/>
                  </v:shape>
                  <v:shape id="Forma Livre: Forma 41" o:spid="_x0000_s1058" style="position:absolute;left:45912;top:92071;width:882;height:892;visibility:visible;mso-wrap-style:square;v-text-anchor:middle" coordsize="88255,89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" path="m88536,45145v,24625,-19757,44587,-44128,44587c20037,89732,280,69770,280,45145,280,20520,20037,558,44408,558v24371,,44128,19962,44128,44587xe" fillcolor="#002d4b" strokecolor="#fcfc30" strokeweight=".50492mm">
                    <v:stroke joinstyle="miter"/>
                    <v:path arrowok="t" o:connecttype="custom" o:connectlocs="88536,45145;44408,89732;280,45145;44408,558;88536,45145" o:connectangles="0,0,0,0,0"/>
                  </v:shape>
                  <v:shape id="Forma Livre: Forma 42" o:spid="_x0000_s1059" style="position:absolute;left:45634;top:87309;width:1444;height:2379;visibility:visible;mso-wrap-style:square;v-text-anchor:middle" coordsize="144341,237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" path="m45843,642r,75158c45843,75800,30297,117244,280,134040r,59450c280,193490,61388,294504,144622,193490r,-96666c144622,96824,141274,-2741,45843,642xe" fillcolor="#002d4b" strokecolor="#fcfc30" strokeweight=".50492mm">
                    <v:stroke joinstyle="miter"/>
                    <v:path arrowok="t" o:connecttype="custom" o:connectlocs="45843,642;45843,75800;280,134040;280,193490;144622,193490;144622,96824;45843,642" o:connectangles="0,0,0,0,0,0,0"/>
                  </v:shape>
                </v:group>
                <v:shape id="Forma Livre: Forma 43" o:spid="_x0000_s1060" style="position:absolute;left:47591;top:10134;width:913;height:1676;visibility:visible;mso-wrap-style:square;v-text-anchor:middle" coordsize="91374,16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" path="m47332,l91375,84450,47332,167639,,84450,47332,xe" fillcolor="#002d4b" strokecolor="#fcfc30" strokeweight=".52872mm">
                  <v:stroke joinstyle="miter"/>
                  <v:path arrowok="t" o:connecttype="custom" o:connectlocs="47332,0;91375,84450;47332,167639;0,84450" o:connectangles="0,0,0,0"/>
                </v:shape>
                <v:shape id="Forma Livre: Forma 44" o:spid="_x0000_s1061" style="position:absolute;left:52921;top:13334;width:1066;height:1220;visibility:visible;mso-wrap-style:square;v-text-anchor:middle" coordsize="106604,12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" path="m106604,l87659,94268,,121920,15396,23882,106604,xe" fillcolor="#002d4b" strokecolor="#fcfc30" strokeweight=".52872mm">
                  <v:stroke joinstyle="miter"/>
                  <v:path arrowok="t" o:connecttype="custom" o:connectlocs="106604,0;87659,94268;0,121920;15396,23882" o:connectangles="0,0,0,0"/>
                </v:shape>
                <v:shape id="Forma Livre: Forma 45" o:spid="_x0000_s1062" style="position:absolute;left:41956;top:13182;width:1066;height:1219;visibility:visible;mso-wrap-style:square;v-text-anchor:middle" coordsize="106604,12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" path="m106604,121920l17148,92659,,,93126,26823r13478,95097xe" fillcolor="#002d4b" strokecolor="#fcfc30" strokeweight=".52872mm">
                  <v:stroke joinstyle="miter"/>
                  <v:path arrowok="t" o:connecttype="custom" o:connectlocs="106604,121920;17148,92659;0,0;93126,26823" o:connectangles="0,0,0,0"/>
                </v:shape>
                <v:shape id="Forma Livre: Forma 46" o:spid="_x0000_s1063" style="position:absolute;left:43479;top:12420;width:8985;height:7315;visibility:visible;mso-wrap-style:square;v-text-anchor:middle" coordsize="898519,73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" path="m76374,731521r745771,l822145,592175,898520,246327,657488,355803,446275,,233874,355803,,246327,78750,602135,76374,731521xe" fillcolor="#002d4b" strokecolor="#fcfc30" strokeweight=".52872mm">
                  <v:stroke joinstyle="miter"/>
                  <v:path arrowok="t" o:connecttype="custom" o:connectlocs="76374,731521;822145,731521;822145,592175;898520,246327;657488,355803;446275,0;233874,355803;0,246327;78750,602135" o:connectangles="0,0,0,0,0,0,0,0,0"/>
                </v:shape>
                <v:shape id="Forma Livre: Forma 47" o:spid="_x0000_s1064" style="position:absolute;left:44240;top:20497;width:7462;height:1372;visibility:visible;mso-wrap-style:square;v-text-anchor:middle" coordsize="746228,137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" path="m,l746228,r,137169l,137169,,xe" fillcolor="#002d4b" strokecolor="#fcfc30" strokeweight=".52872mm">
                  <v:stroke joinstyle="miter"/>
                  <v:path arrowok="t" o:connecttype="custom" o:connectlocs="0,0;746228,0;746228,137169;0,137169" o:connectangles="0,0,0,0"/>
                </v:shape>
                <w10:wrap type="tight"/>
              </v:group>
            </w:pict>
          </mc:Fallback>
        </mc:AlternateContent>
      </w:r>
    </w:p>
    <w:p w14:paraId="77E442FA" w14:textId="77777777" w:rsidR="00C81A16" w:rsidRDefault="004343CB" w:rsidP="00C81A16">
      <w:pPr>
        <w:pStyle w:val="03-SubttulodeNota"/>
        <w:spacing w:line="276" w:lineRule="auto"/>
        <w:rPr>
          <w:color w:val="1F4E79" w:themeColor="accent1" w:themeShade="80"/>
        </w:rPr>
      </w:pPr>
      <w:r>
        <w:rPr>
          <w:color w:val="1F4E79" w:themeColor="accent1" w:themeShade="80"/>
          <w:lang w:val="en-US"/>
        </w:rPr>
        <w:lastRenderedPageBreak/>
        <w:t>Dear Shareholders, Employees and Business Partners.</w:t>
      </w:r>
    </w:p>
    <w:p w14:paraId="0AEA5A79" w14:textId="2BF23D24" w:rsidR="00C81A16" w:rsidRPr="00591873" w:rsidRDefault="004343CB" w:rsidP="00C81A16">
      <w:pPr>
        <w:pStyle w:val="05-Textonormal"/>
        <w:rPr>
          <w:rFonts w:cs="Arial"/>
        </w:rPr>
      </w:pPr>
      <w:r w:rsidRPr="00591873">
        <w:rPr>
          <w:rFonts w:cs="Arial"/>
          <w:lang w:val="en-US"/>
        </w:rPr>
        <w:t xml:space="preserve">We present the Annual Management Report of BB Seguridade Participações S.A. (“BB Seguridade” or “Company”) for the year 2021, in accordance with the requirements of the Brazilian Stock Corporations Act, the </w:t>
      </w:r>
      <w:r w:rsidR="00ED1B20">
        <w:rPr>
          <w:rFonts w:cs="Arial"/>
          <w:lang w:val="en-US"/>
        </w:rPr>
        <w:t xml:space="preserve">Brazilian </w:t>
      </w:r>
      <w:r w:rsidRPr="00591873">
        <w:rPr>
          <w:rFonts w:cs="Arial"/>
          <w:lang w:val="en-US"/>
        </w:rPr>
        <w:t xml:space="preserve">Securities and Exchange Commission (CVM) and its </w:t>
      </w:r>
      <w:r w:rsidR="00ED1B20">
        <w:rPr>
          <w:rFonts w:cs="Arial"/>
          <w:lang w:val="en-US"/>
        </w:rPr>
        <w:t>Bylaws</w:t>
      </w:r>
      <w:r w:rsidRPr="00591873">
        <w:rPr>
          <w:rFonts w:cs="Arial"/>
          <w:lang w:val="en-US"/>
        </w:rPr>
        <w:t>.</w:t>
      </w:r>
    </w:p>
    <w:p w14:paraId="5B9D8BED" w14:textId="77777777" w:rsidR="00C81A16" w:rsidRPr="00591873" w:rsidRDefault="004343CB" w:rsidP="00C81A16">
      <w:pPr>
        <w:pStyle w:val="05-Textonormal"/>
        <w:rPr>
          <w:rFonts w:cs="Arial"/>
        </w:rPr>
      </w:pPr>
      <w:r w:rsidRPr="00591873">
        <w:rPr>
          <w:rFonts w:cs="Arial"/>
          <w:lang w:val="en-US"/>
        </w:rPr>
        <w:t>The consolidated financial statements were prepared in accordance with the International Financial Reporting Standards (IFRS).</w:t>
      </w:r>
    </w:p>
    <w:p w14:paraId="460DF73D" w14:textId="77777777" w:rsidR="00C81A16" w:rsidRPr="00591873" w:rsidRDefault="004343CB" w:rsidP="00C81A16">
      <w:pPr>
        <w:pStyle w:val="05-Textonormal"/>
        <w:rPr>
          <w:rFonts w:cs="Arial"/>
        </w:rPr>
      </w:pPr>
      <w:r w:rsidRPr="00591873">
        <w:rPr>
          <w:rFonts w:cs="Arial"/>
          <w:lang w:val="en-US"/>
        </w:rPr>
        <w:t>It is noteworthy that this report presents accounting data of the companies invested in by BB Seguridade, which may differ from those disclosed by the affiliates, both due to differences in the financial reporting standards used and to the possible amortization of intangibles, deduction of results among affiliates, or due to other reasons. In this context, the net profit attributed to the invested companies reflects the results determined by the Company for each business segment, as per the Explanatory Note on Investments in Equity Interests.</w:t>
      </w:r>
    </w:p>
    <w:p w14:paraId="20D2A778" w14:textId="267A65D3" w:rsidR="00C81A16" w:rsidRDefault="004343CB" w:rsidP="00C81A16">
      <w:pPr>
        <w:pStyle w:val="05-Textonormal"/>
        <w:rPr>
          <w:rFonts w:cs="Arial"/>
        </w:rPr>
      </w:pPr>
      <w:r w:rsidRPr="00591873">
        <w:rPr>
          <w:rFonts w:cs="Arial"/>
          <w:lang w:val="en-US"/>
        </w:rPr>
        <w:t>Throughout this report, we will address the actions taken and results achieved in the year, as well as present the Company's strategic priorities.</w:t>
      </w:r>
    </w:p>
    <w:p w14:paraId="4C6F64EF" w14:textId="77777777" w:rsidR="00C81A16" w:rsidRDefault="00C81A16" w:rsidP="00C81A16">
      <w:pPr>
        <w:pStyle w:val="05-Textonormal"/>
        <w:rPr>
          <w:rFonts w:cs="Arial"/>
        </w:rPr>
      </w:pPr>
    </w:p>
    <w:p w14:paraId="68800375"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t>BUSINESS DESCRIPTION</w:t>
      </w:r>
    </w:p>
    <w:p w14:paraId="12118928" w14:textId="3D279E30" w:rsidR="00C81A16" w:rsidRPr="000A0843" w:rsidRDefault="004343CB" w:rsidP="00C81A16">
      <w:pPr>
        <w:pStyle w:val="01-Textonormal"/>
        <w:rPr>
          <w:rFonts w:cs="Arial"/>
        </w:rPr>
      </w:pPr>
      <w:r w:rsidRPr="000A0843">
        <w:rPr>
          <w:rFonts w:cs="Arial"/>
          <w:lang w:val="en-US"/>
        </w:rPr>
        <w:t xml:space="preserve">BB Seguridade is a </w:t>
      </w:r>
      <w:r w:rsidRPr="000A0843">
        <w:rPr>
          <w:rFonts w:cs="Arial"/>
          <w:i/>
          <w:lang w:val="en-US"/>
        </w:rPr>
        <w:t>holding company</w:t>
      </w:r>
      <w:r w:rsidRPr="000A0843">
        <w:rPr>
          <w:rFonts w:cs="Arial"/>
          <w:lang w:val="en-US"/>
        </w:rPr>
        <w:t xml:space="preserve"> that concentrates its investments in the insurance, open pension, </w:t>
      </w:r>
      <w:r w:rsidR="00ED1B20">
        <w:rPr>
          <w:rFonts w:cs="Arial"/>
          <w:lang w:val="en-US"/>
        </w:rPr>
        <w:t>premium bonds</w:t>
      </w:r>
      <w:r w:rsidRPr="000A0843">
        <w:rPr>
          <w:rFonts w:cs="Arial"/>
          <w:lang w:val="en-US"/>
        </w:rPr>
        <w:t xml:space="preserve"> and dental care plans through private partnerships in companies maintained by its wholly-owned subsidiary, BB Seguros Participações S.A. (“BB Seguros”), as well as in </w:t>
      </w:r>
      <w:r w:rsidR="00ED1B20">
        <w:rPr>
          <w:rFonts w:cs="Arial"/>
          <w:lang w:val="en-US"/>
        </w:rPr>
        <w:t xml:space="preserve">the </w:t>
      </w:r>
      <w:r w:rsidR="00EB73EA">
        <w:rPr>
          <w:rFonts w:cs="Arial"/>
          <w:lang w:val="en-US"/>
        </w:rPr>
        <w:t>distribution</w:t>
      </w:r>
      <w:r w:rsidRPr="000A0843">
        <w:rPr>
          <w:rFonts w:cs="Arial"/>
          <w:lang w:val="en-US"/>
        </w:rPr>
        <w:t xml:space="preserve"> of th</w:t>
      </w:r>
      <w:r w:rsidR="00EB73EA">
        <w:rPr>
          <w:rFonts w:cs="Arial"/>
          <w:lang w:val="en-US"/>
        </w:rPr>
        <w:t>o</w:t>
      </w:r>
      <w:r w:rsidRPr="000A0843">
        <w:rPr>
          <w:rFonts w:cs="Arial"/>
          <w:lang w:val="en-US"/>
        </w:rPr>
        <w:t xml:space="preserve">se products, highlighting its controlled company, BB Corretora de Seguros e Administradora de Bens S.A. (“BB Corretora”). </w:t>
      </w:r>
    </w:p>
    <w:p w14:paraId="45C77B5A" w14:textId="78DDA46F" w:rsidR="00C81A16" w:rsidRPr="000A0843" w:rsidRDefault="004343CB" w:rsidP="00C81A16">
      <w:pPr>
        <w:pStyle w:val="01-Textonormal"/>
        <w:rPr>
          <w:rFonts w:cs="Arial"/>
        </w:rPr>
      </w:pPr>
      <w:r w:rsidRPr="000A0843">
        <w:rPr>
          <w:rFonts w:cs="Arial"/>
          <w:lang w:val="en-US"/>
        </w:rPr>
        <w:t xml:space="preserve">In the insurance segment, operations are carried out through a </w:t>
      </w:r>
      <w:r w:rsidR="000A0843" w:rsidRPr="000A0843">
        <w:rPr>
          <w:rFonts w:cs="Arial"/>
          <w:i/>
          <w:lang w:val="en-US"/>
        </w:rPr>
        <w:t>joint venture</w:t>
      </w:r>
      <w:r w:rsidRPr="000A0843">
        <w:rPr>
          <w:rFonts w:cs="Arial"/>
          <w:lang w:val="en-US"/>
        </w:rPr>
        <w:t xml:space="preserve"> </w:t>
      </w:r>
      <w:r w:rsidR="00EB73EA">
        <w:rPr>
          <w:rFonts w:cs="Arial"/>
          <w:lang w:val="en-US"/>
        </w:rPr>
        <w:t xml:space="preserve">that began in 2011 </w:t>
      </w:r>
      <w:r w:rsidRPr="000A0843">
        <w:rPr>
          <w:rFonts w:cs="Arial"/>
          <w:lang w:val="en-US"/>
        </w:rPr>
        <w:t xml:space="preserve">with the Spanish group MAPFRE, </w:t>
      </w:r>
      <w:r w:rsidR="00EB73EA">
        <w:rPr>
          <w:rFonts w:cs="Arial"/>
          <w:lang w:val="en-US"/>
        </w:rPr>
        <w:t>in a 20-years term agreement</w:t>
      </w:r>
      <w:r w:rsidRPr="000A0843">
        <w:rPr>
          <w:rFonts w:cs="Arial"/>
          <w:lang w:val="en-US"/>
        </w:rPr>
        <w:t xml:space="preserve">. This partnership is operated through two insurance companies: Brasilseg Companhia de Seguros S.A. and Aliança do Brasil Seguros S.A. (together, “Brasilseg”), focusing on the personal, rural, </w:t>
      </w:r>
      <w:r w:rsidR="00EB73EA">
        <w:rPr>
          <w:rFonts w:cs="Arial"/>
          <w:lang w:val="en-US"/>
        </w:rPr>
        <w:t>mortgage life</w:t>
      </w:r>
      <w:r w:rsidRPr="000A0843">
        <w:rPr>
          <w:rFonts w:cs="Arial"/>
          <w:lang w:val="en-US"/>
        </w:rPr>
        <w:t xml:space="preserve">, </w:t>
      </w:r>
      <w:r w:rsidR="00EB73EA">
        <w:rPr>
          <w:rFonts w:cs="Arial"/>
          <w:lang w:val="en-US"/>
        </w:rPr>
        <w:t>home</w:t>
      </w:r>
      <w:r w:rsidRPr="000A0843">
        <w:rPr>
          <w:rFonts w:cs="Arial"/>
          <w:lang w:val="en-US"/>
        </w:rPr>
        <w:t>, business and other mass segments.</w:t>
      </w:r>
    </w:p>
    <w:p w14:paraId="10D411E7" w14:textId="44C47167" w:rsidR="00C81A16" w:rsidRPr="000A0843" w:rsidRDefault="004343CB" w:rsidP="00C81A16">
      <w:pPr>
        <w:pStyle w:val="01-Textonormal"/>
        <w:rPr>
          <w:rFonts w:cs="Arial"/>
        </w:rPr>
      </w:pPr>
      <w:r w:rsidRPr="000A0843">
        <w:rPr>
          <w:rFonts w:cs="Arial"/>
          <w:lang w:val="en-US"/>
        </w:rPr>
        <w:t>In open pension plans, BB Seguridade operates together with the Principal Financial Group, through Brasilprev Seguros e Previdência S.A. (“Brasilprev”)</w:t>
      </w:r>
      <w:r w:rsidR="00EB73EA">
        <w:rPr>
          <w:rFonts w:cs="Arial"/>
          <w:lang w:val="en-US"/>
        </w:rPr>
        <w:t>. T</w:t>
      </w:r>
      <w:r w:rsidRPr="000A0843">
        <w:rPr>
          <w:rFonts w:cs="Arial"/>
          <w:lang w:val="en-US"/>
        </w:rPr>
        <w:t xml:space="preserve">his partnership </w:t>
      </w:r>
      <w:r w:rsidR="009B63D3">
        <w:rPr>
          <w:rFonts w:cs="Arial"/>
          <w:lang w:val="en-US"/>
        </w:rPr>
        <w:t xml:space="preserve">will remain valid until 2032, as provided in the agreement in force since 2009. </w:t>
      </w:r>
      <w:r w:rsidRPr="000A0843">
        <w:rPr>
          <w:rFonts w:cs="Arial"/>
          <w:lang w:val="en-US"/>
        </w:rPr>
        <w:t>Brasilprev sells private pension solutions, with emphasis on defined contribution plans, in the PGBL (Free Benefit Generator Plan) and VGBL (Life Free Benefit Generator) modalities.</w:t>
      </w:r>
    </w:p>
    <w:p w14:paraId="32BF751B" w14:textId="04F219DB" w:rsidR="00C81A16" w:rsidRPr="000A0843" w:rsidRDefault="004343CB" w:rsidP="00C81A16">
      <w:pPr>
        <w:pStyle w:val="01-Textonormal"/>
        <w:rPr>
          <w:rFonts w:cs="Arial"/>
        </w:rPr>
      </w:pPr>
      <w:r>
        <w:rPr>
          <w:rFonts w:cs="Arial"/>
          <w:lang w:val="en-US"/>
        </w:rPr>
        <w:t xml:space="preserve">The Company's business in </w:t>
      </w:r>
      <w:r w:rsidR="00ED1B20">
        <w:rPr>
          <w:rFonts w:cs="Arial"/>
          <w:lang w:val="en-US"/>
        </w:rPr>
        <w:t>premium bonds</w:t>
      </w:r>
      <w:r>
        <w:rPr>
          <w:rFonts w:cs="Arial"/>
          <w:lang w:val="en-US"/>
        </w:rPr>
        <w:t xml:space="preserve"> is concentrated with Brasilcap Capitalização S.A. (“Brasilcap”), in partnership with Icatu Seguros and Aliança da Bahia. </w:t>
      </w:r>
    </w:p>
    <w:p w14:paraId="75FC4A66" w14:textId="4231683E" w:rsidR="00C81A16" w:rsidRPr="000A0843" w:rsidRDefault="004343CB" w:rsidP="00C81A16">
      <w:pPr>
        <w:pStyle w:val="01-Textonormal"/>
        <w:rPr>
          <w:rFonts w:cs="Arial"/>
        </w:rPr>
      </w:pPr>
      <w:r w:rsidRPr="000A0843">
        <w:rPr>
          <w:rFonts w:cs="Arial"/>
          <w:lang w:val="en-US"/>
        </w:rPr>
        <w:t>Also, in the dental care plan segment, the Company operate</w:t>
      </w:r>
      <w:r w:rsidR="00EB73EA">
        <w:rPr>
          <w:rFonts w:cs="Arial"/>
          <w:lang w:val="en-US"/>
        </w:rPr>
        <w:t>s</w:t>
      </w:r>
      <w:r w:rsidRPr="000A0843">
        <w:rPr>
          <w:rFonts w:cs="Arial"/>
          <w:lang w:val="en-US"/>
        </w:rPr>
        <w:t xml:space="preserve"> together with Odontoprev through Brasildental Operadora de Planos Odontológicos S.A. (“Brasildental”). The joint operation</w:t>
      </w:r>
      <w:r w:rsidR="00841BFF">
        <w:rPr>
          <w:rFonts w:cs="Arial"/>
          <w:lang w:val="en-US"/>
        </w:rPr>
        <w:t xml:space="preserve"> </w:t>
      </w:r>
      <w:r w:rsidRPr="000A0843">
        <w:rPr>
          <w:rFonts w:cs="Arial"/>
          <w:lang w:val="en-US"/>
        </w:rPr>
        <w:t xml:space="preserve">began in 2014 and will </w:t>
      </w:r>
      <w:r w:rsidR="00841BFF">
        <w:rPr>
          <w:rFonts w:cs="Arial"/>
          <w:lang w:val="en-US"/>
        </w:rPr>
        <w:t>last</w:t>
      </w:r>
      <w:r w:rsidRPr="000A0843">
        <w:rPr>
          <w:rFonts w:cs="Arial"/>
          <w:lang w:val="en-US"/>
        </w:rPr>
        <w:t xml:space="preserve"> for 20 years.</w:t>
      </w:r>
    </w:p>
    <w:p w14:paraId="6ABF10BB" w14:textId="575C320C" w:rsidR="00C81A16" w:rsidRDefault="004343CB" w:rsidP="00C81A16">
      <w:pPr>
        <w:pStyle w:val="01-Textonormal"/>
        <w:rPr>
          <w:rFonts w:cs="Arial"/>
        </w:rPr>
      </w:pPr>
      <w:r w:rsidRPr="000A0843">
        <w:rPr>
          <w:rFonts w:cs="Arial"/>
          <w:lang w:val="en-US"/>
        </w:rPr>
        <w:t xml:space="preserve">In the distribution </w:t>
      </w:r>
      <w:r w:rsidR="00841BFF">
        <w:rPr>
          <w:rFonts w:cs="Arial"/>
          <w:lang w:val="en-US"/>
        </w:rPr>
        <w:t>side of the business</w:t>
      </w:r>
      <w:r w:rsidRPr="000A0843">
        <w:rPr>
          <w:rFonts w:cs="Arial"/>
          <w:lang w:val="en-US"/>
        </w:rPr>
        <w:t xml:space="preserve">, BB Corretora's main </w:t>
      </w:r>
      <w:r w:rsidR="00841BFF">
        <w:rPr>
          <w:rFonts w:cs="Arial"/>
          <w:lang w:val="en-US"/>
        </w:rPr>
        <w:t>channel is</w:t>
      </w:r>
      <w:r w:rsidRPr="000A0843">
        <w:rPr>
          <w:rFonts w:cs="Arial"/>
          <w:lang w:val="en-US"/>
        </w:rPr>
        <w:t xml:space="preserve"> Banco do Brasil. Complementarily, BB Corretora seeks to expand its distribution channels through commercial partnerships with companies from the most diverse business segments, also maintaining strategic investment in a digital brokerage company,</w:t>
      </w:r>
      <w:r w:rsidR="009B63D3">
        <w:rPr>
          <w:rFonts w:cs="Arial"/>
          <w:lang w:val="en-US"/>
        </w:rPr>
        <w:t xml:space="preserve"> </w:t>
      </w:r>
      <w:r w:rsidR="009B63D3" w:rsidRPr="000A0843">
        <w:rPr>
          <w:rFonts w:cs="Arial"/>
          <w:lang w:val="en-US"/>
        </w:rPr>
        <w:t>the Ciclic Corretora de Seguros S.A. (“Ciclic”)</w:t>
      </w:r>
      <w:r w:rsidR="009B63D3">
        <w:rPr>
          <w:rFonts w:cs="Arial"/>
          <w:lang w:val="en-US"/>
        </w:rPr>
        <w:t>,</w:t>
      </w:r>
      <w:r w:rsidRPr="000A0843">
        <w:rPr>
          <w:rFonts w:cs="Arial"/>
          <w:lang w:val="en-US"/>
        </w:rPr>
        <w:t xml:space="preserve"> </w:t>
      </w:r>
      <w:r w:rsidR="009B63D3">
        <w:rPr>
          <w:rFonts w:cs="Arial"/>
          <w:lang w:val="en-US"/>
        </w:rPr>
        <w:t xml:space="preserve">in a </w:t>
      </w:r>
      <w:r w:rsidRPr="000A0843">
        <w:rPr>
          <w:rFonts w:cs="Arial"/>
          <w:lang w:val="en-US"/>
        </w:rPr>
        <w:t>partnership with the Principal Financial Group that began in 2018 and will extend until 2032, aim</w:t>
      </w:r>
      <w:r w:rsidR="009B63D3">
        <w:rPr>
          <w:rFonts w:cs="Arial"/>
          <w:lang w:val="en-US"/>
        </w:rPr>
        <w:t>ing</w:t>
      </w:r>
      <w:r w:rsidRPr="000A0843">
        <w:rPr>
          <w:rFonts w:cs="Arial"/>
          <w:lang w:val="en-US"/>
        </w:rPr>
        <w:t xml:space="preserve"> at developing the sale of insurance products through remote channels.</w:t>
      </w:r>
    </w:p>
    <w:p w14:paraId="3EF1C281" w14:textId="77777777" w:rsidR="00C81A16" w:rsidRDefault="004343CB">
      <w:r>
        <w:br w:type="page"/>
      </w:r>
    </w:p>
    <w:p w14:paraId="5BBFB045"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lastRenderedPageBreak/>
        <w:t>BUSINESS ENVIRONMENT</w:t>
      </w:r>
    </w:p>
    <w:p w14:paraId="63DA2600" w14:textId="77777777" w:rsidR="001A2C69" w:rsidRDefault="004343CB" w:rsidP="00B85BEE">
      <w:pPr>
        <w:jc w:val="both"/>
        <w:rPr>
          <w:rFonts w:eastAsia="Times New Roman" w:cs="Arial"/>
          <w:spacing w:val="-2"/>
          <w:szCs w:val="18"/>
          <w:lang w:eastAsia="pt-BR"/>
        </w:rPr>
      </w:pPr>
      <w:r w:rsidRPr="001A2C69">
        <w:rPr>
          <w:rFonts w:eastAsia="Times New Roman" w:cs="Arial"/>
          <w:spacing w:val="-2"/>
          <w:szCs w:val="18"/>
          <w:lang w:val="en-US" w:eastAsia="pt-BR"/>
        </w:rPr>
        <w:t>The 2021 fiscal year was again marked by challenges imposed by the health crisis generated by the Covid-19 pandemic, which went through its most critical moment in the first half of the year.</w:t>
      </w:r>
    </w:p>
    <w:p w14:paraId="42F0AD29" w14:textId="1BC69CF8" w:rsidR="00B85BEE" w:rsidRPr="00B85BEE" w:rsidRDefault="004343CB" w:rsidP="00B85BEE">
      <w:pPr>
        <w:jc w:val="both"/>
        <w:rPr>
          <w:rFonts w:eastAsia="Times New Roman" w:cs="Arial"/>
          <w:spacing w:val="-2"/>
          <w:szCs w:val="18"/>
          <w:lang w:eastAsia="pt-BR"/>
        </w:rPr>
      </w:pPr>
      <w:r>
        <w:rPr>
          <w:rFonts w:eastAsia="Times New Roman" w:cs="Arial"/>
          <w:spacing w:val="-2"/>
          <w:szCs w:val="18"/>
          <w:lang w:val="en-US" w:eastAsia="pt-BR"/>
        </w:rPr>
        <w:t xml:space="preserve">During the second half of 2021, substantial progress in the vaccination process of the Brazilian population led to a decrease in the number of hospitalizations and deaths and allowed the resumption of economic sectors that had been </w:t>
      </w:r>
      <w:r w:rsidR="00841BFF">
        <w:rPr>
          <w:rFonts w:eastAsia="Times New Roman" w:cs="Arial"/>
          <w:spacing w:val="-2"/>
          <w:szCs w:val="18"/>
          <w:lang w:val="en-US" w:eastAsia="pt-BR"/>
        </w:rPr>
        <w:t>shut down.</w:t>
      </w:r>
      <w:r>
        <w:rPr>
          <w:rFonts w:eastAsia="Times New Roman" w:cs="Arial"/>
          <w:spacing w:val="-2"/>
          <w:szCs w:val="18"/>
          <w:lang w:val="en-US" w:eastAsia="pt-BR"/>
        </w:rPr>
        <w:t xml:space="preserve"> However, the emergence of this more promising scenario was </w:t>
      </w:r>
      <w:r w:rsidR="00B55FC5">
        <w:rPr>
          <w:rFonts w:eastAsia="Times New Roman" w:cs="Arial"/>
          <w:spacing w:val="-2"/>
          <w:szCs w:val="18"/>
          <w:lang w:val="en-US" w:eastAsia="pt-BR"/>
        </w:rPr>
        <w:t>offset</w:t>
      </w:r>
      <w:r>
        <w:rPr>
          <w:rFonts w:eastAsia="Times New Roman" w:cs="Arial"/>
          <w:spacing w:val="-2"/>
          <w:szCs w:val="18"/>
          <w:lang w:val="en-US" w:eastAsia="pt-BR"/>
        </w:rPr>
        <w:t xml:space="preserve"> by the high inflation and interest rates </w:t>
      </w:r>
      <w:r w:rsidR="00B55FC5">
        <w:rPr>
          <w:rFonts w:eastAsia="Times New Roman" w:cs="Arial"/>
          <w:spacing w:val="-2"/>
          <w:szCs w:val="18"/>
          <w:lang w:val="en-US" w:eastAsia="pt-BR"/>
        </w:rPr>
        <w:t xml:space="preserve">environment </w:t>
      </w:r>
      <w:r>
        <w:rPr>
          <w:rFonts w:eastAsia="Times New Roman" w:cs="Arial"/>
          <w:spacing w:val="-2"/>
          <w:szCs w:val="18"/>
          <w:lang w:val="en-US" w:eastAsia="pt-BR"/>
        </w:rPr>
        <w:t xml:space="preserve">reaching the contractionary field. The rise in prices proved to be more persistent and widespread and required a more restrictive </w:t>
      </w:r>
      <w:r w:rsidR="00B55FC5">
        <w:rPr>
          <w:rFonts w:eastAsia="Times New Roman" w:cs="Arial"/>
          <w:spacing w:val="-2"/>
          <w:szCs w:val="18"/>
          <w:lang w:val="en-US" w:eastAsia="pt-BR"/>
        </w:rPr>
        <w:t>approach</w:t>
      </w:r>
      <w:r>
        <w:rPr>
          <w:rFonts w:eastAsia="Times New Roman" w:cs="Arial"/>
          <w:spacing w:val="-2"/>
          <w:szCs w:val="18"/>
          <w:lang w:val="en-US" w:eastAsia="pt-BR"/>
        </w:rPr>
        <w:t xml:space="preserve"> from the Central Bank, which raised the Selic rate by 725 basis points throughout the year, from 2.0% in January 2021 to 9.25% in December. This combination put pressure on household disposable income and reduced the space for a more intense growth in the consumption of new goods and services, a fact that was reflected in the loss of vigor of the economic activity throughout the year. </w:t>
      </w:r>
    </w:p>
    <w:p w14:paraId="262FCB99" w14:textId="74A7B163" w:rsidR="00B85BEE" w:rsidRPr="00B85BEE" w:rsidRDefault="004343CB" w:rsidP="00B85BEE">
      <w:pPr>
        <w:jc w:val="both"/>
        <w:rPr>
          <w:rFonts w:eastAsia="Times New Roman" w:cs="Arial"/>
          <w:spacing w:val="-2"/>
          <w:szCs w:val="18"/>
          <w:lang w:eastAsia="pt-BR"/>
        </w:rPr>
      </w:pPr>
      <w:r w:rsidRPr="00B85BEE">
        <w:rPr>
          <w:rFonts w:eastAsia="Times New Roman" w:cs="Arial"/>
          <w:spacing w:val="-2"/>
          <w:szCs w:val="18"/>
          <w:lang w:val="en-US" w:eastAsia="pt-BR"/>
        </w:rPr>
        <w:t xml:space="preserve">In 2021, there was also a strong volatility of financial assets, especially the </w:t>
      </w:r>
      <w:r w:rsidR="00C66945">
        <w:rPr>
          <w:rFonts w:eastAsia="Times New Roman" w:cs="Arial"/>
          <w:spacing w:val="-2"/>
          <w:szCs w:val="18"/>
          <w:lang w:val="en-US" w:eastAsia="pt-BR"/>
        </w:rPr>
        <w:t xml:space="preserve">depreciation </w:t>
      </w:r>
      <w:r w:rsidRPr="00B85BEE">
        <w:rPr>
          <w:rFonts w:eastAsia="Times New Roman" w:cs="Arial"/>
          <w:spacing w:val="-2"/>
          <w:szCs w:val="18"/>
          <w:lang w:val="en-US" w:eastAsia="pt-BR"/>
        </w:rPr>
        <w:t xml:space="preserve">of the </w:t>
      </w:r>
      <w:r w:rsidR="00C66945">
        <w:rPr>
          <w:rFonts w:eastAsia="Times New Roman" w:cs="Arial"/>
          <w:spacing w:val="-2"/>
          <w:szCs w:val="18"/>
          <w:lang w:val="en-US" w:eastAsia="pt-BR"/>
        </w:rPr>
        <w:t>BRL</w:t>
      </w:r>
      <w:r w:rsidRPr="00B85BEE">
        <w:rPr>
          <w:rFonts w:eastAsia="Times New Roman" w:cs="Arial"/>
          <w:spacing w:val="-2"/>
          <w:szCs w:val="18"/>
          <w:lang w:val="en-US" w:eastAsia="pt-BR"/>
        </w:rPr>
        <w:t xml:space="preserve"> against the </w:t>
      </w:r>
      <w:r w:rsidR="00C66945">
        <w:rPr>
          <w:rFonts w:eastAsia="Times New Roman" w:cs="Arial"/>
          <w:spacing w:val="-2"/>
          <w:szCs w:val="18"/>
          <w:lang w:val="en-US" w:eastAsia="pt-BR"/>
        </w:rPr>
        <w:t>USD</w:t>
      </w:r>
      <w:r w:rsidRPr="00B85BEE">
        <w:rPr>
          <w:rFonts w:eastAsia="Times New Roman" w:cs="Arial"/>
          <w:spacing w:val="-2"/>
          <w:szCs w:val="18"/>
          <w:lang w:val="en-US" w:eastAsia="pt-BR"/>
        </w:rPr>
        <w:t xml:space="preserve">, impacted by internal factors notably linked to fiscal uncertainties. </w:t>
      </w:r>
      <w:r w:rsidR="00C66945">
        <w:rPr>
          <w:rFonts w:eastAsia="Times New Roman" w:cs="Arial"/>
          <w:spacing w:val="-2"/>
          <w:szCs w:val="18"/>
          <w:lang w:val="en-US" w:eastAsia="pt-BR"/>
        </w:rPr>
        <w:t>On the other hand</w:t>
      </w:r>
      <w:r w:rsidRPr="00B85BEE">
        <w:rPr>
          <w:rFonts w:eastAsia="Times New Roman" w:cs="Arial"/>
          <w:spacing w:val="-2"/>
          <w:szCs w:val="18"/>
          <w:lang w:val="en-US" w:eastAsia="pt-BR"/>
        </w:rPr>
        <w:t xml:space="preserve">, the credit market </w:t>
      </w:r>
      <w:r w:rsidR="00C66945">
        <w:rPr>
          <w:rFonts w:eastAsia="Times New Roman" w:cs="Arial"/>
          <w:spacing w:val="-2"/>
          <w:szCs w:val="18"/>
          <w:lang w:val="en-US" w:eastAsia="pt-BR"/>
        </w:rPr>
        <w:t>in</w:t>
      </w:r>
      <w:r w:rsidRPr="00B85BEE">
        <w:rPr>
          <w:rFonts w:eastAsia="Times New Roman" w:cs="Arial"/>
          <w:spacing w:val="-2"/>
          <w:szCs w:val="18"/>
          <w:lang w:val="en-US" w:eastAsia="pt-BR"/>
        </w:rPr>
        <w:t xml:space="preserve"> the National Financial System presented a positive performance driven by the progress related to the emergency relief measures adopted. In addition, there was a recovery of the employed population, mainly in informal jobs. </w:t>
      </w:r>
    </w:p>
    <w:p w14:paraId="12A26DEC" w14:textId="1632C7B4" w:rsidR="00B85BEE" w:rsidRDefault="004343CB" w:rsidP="00C81A16">
      <w:pPr>
        <w:pStyle w:val="01-Textonormal"/>
        <w:rPr>
          <w:rFonts w:cs="Arial"/>
          <w:spacing w:val="0"/>
        </w:rPr>
      </w:pPr>
      <w:r>
        <w:rPr>
          <w:rFonts w:cs="Arial"/>
          <w:spacing w:val="0"/>
          <w:lang w:val="en-US"/>
        </w:rPr>
        <w:t xml:space="preserve">In the </w:t>
      </w:r>
      <w:r w:rsidR="00C66945">
        <w:rPr>
          <w:rFonts w:cs="Arial"/>
          <w:spacing w:val="0"/>
          <w:lang w:val="en-US"/>
        </w:rPr>
        <w:t>international</w:t>
      </w:r>
      <w:r>
        <w:rPr>
          <w:rFonts w:cs="Arial"/>
          <w:spacing w:val="0"/>
          <w:lang w:val="en-US"/>
        </w:rPr>
        <w:t xml:space="preserve"> </w:t>
      </w:r>
      <w:r w:rsidR="00C66945">
        <w:rPr>
          <w:rFonts w:cs="Arial"/>
          <w:spacing w:val="0"/>
          <w:lang w:val="en-US"/>
        </w:rPr>
        <w:t>market</w:t>
      </w:r>
      <w:r>
        <w:rPr>
          <w:rFonts w:cs="Arial"/>
          <w:spacing w:val="0"/>
          <w:lang w:val="en-US"/>
        </w:rPr>
        <w:t xml:space="preserve">, after the negative impact of Covid on the world economic activity in 2020, the year was marked by a generalized economic recovery, but also by a series of points that weighed negatively on global dynamism. The energy crisis in Europe and the problems related to the construction sector in China set the tone of </w:t>
      </w:r>
      <w:r w:rsidR="00600B7C">
        <w:rPr>
          <w:rFonts w:cs="Arial"/>
          <w:spacing w:val="0"/>
          <w:lang w:val="en-US"/>
        </w:rPr>
        <w:t>the</w:t>
      </w:r>
      <w:r>
        <w:rPr>
          <w:rFonts w:cs="Arial"/>
          <w:spacing w:val="0"/>
          <w:lang w:val="en-US"/>
        </w:rPr>
        <w:t xml:space="preserve"> global uncertainty, combined with the persistence of the supply chain crisis, the high inflation registered in the main economies and the risk of a new wave of the pandemic in view of the low vaccination status of poor countries, which weighed negatively on the recovery of the global economy. In fact, the </w:t>
      </w:r>
      <w:r w:rsidR="00600B7C">
        <w:rPr>
          <w:rFonts w:cs="Arial"/>
          <w:spacing w:val="0"/>
          <w:lang w:val="en-US"/>
        </w:rPr>
        <w:t>rise</w:t>
      </w:r>
      <w:r>
        <w:rPr>
          <w:rFonts w:cs="Arial"/>
          <w:spacing w:val="0"/>
          <w:lang w:val="en-US"/>
        </w:rPr>
        <w:t xml:space="preserve"> of the new variant Omicron and doubts regarding its degree of aggressiveness contributed to the increase of global risk aversion and led to new measures of social distancing in some continents at the end of 2021. </w:t>
      </w:r>
    </w:p>
    <w:p w14:paraId="7C5FB931" w14:textId="4A94288A" w:rsidR="00712367" w:rsidRDefault="004343CB" w:rsidP="009D1426">
      <w:pPr>
        <w:jc w:val="both"/>
        <w:rPr>
          <w:rFonts w:cs="Arial"/>
        </w:rPr>
      </w:pPr>
      <w:r w:rsidRPr="005271F8">
        <w:rPr>
          <w:lang w:val="en-US"/>
        </w:rPr>
        <w:t xml:space="preserve">In the Brazilian insurance market, the positive point of the year was the return of a double-digit growth in the total volume of insurance premiums, pension contributions and </w:t>
      </w:r>
      <w:r w:rsidR="00ED1B20">
        <w:rPr>
          <w:lang w:val="en-US"/>
        </w:rPr>
        <w:t>premium</w:t>
      </w:r>
      <w:r w:rsidRPr="005271F8">
        <w:rPr>
          <w:lang w:val="en-US"/>
        </w:rPr>
        <w:t xml:space="preserve"> bonds</w:t>
      </w:r>
      <w:r w:rsidR="00E969EE">
        <w:rPr>
          <w:lang w:val="en-US"/>
        </w:rPr>
        <w:t>, which grew 13.4%</w:t>
      </w:r>
      <w:r w:rsidR="00E969EE">
        <w:rPr>
          <w:rStyle w:val="Refdenotaderodap"/>
          <w:lang w:val="en-US"/>
        </w:rPr>
        <w:footnoteReference w:id="1"/>
      </w:r>
      <w:r w:rsidR="00E969EE">
        <w:rPr>
          <w:lang w:val="en-US"/>
        </w:rPr>
        <w:t xml:space="preserve"> YoY</w:t>
      </w:r>
      <w:r w:rsidRPr="003D0387">
        <w:rPr>
          <w:lang w:val="en-US"/>
        </w:rPr>
        <w:t>, according to data provided by the Superintendency of Private Insurance (SUSEP). Insurance premiums written increased by 13.5%, while pension contributions recovered from the fall recorded in 2020, growing 1</w:t>
      </w:r>
      <w:r w:rsidR="00600B7C" w:rsidRPr="003D0387">
        <w:rPr>
          <w:lang w:val="en-US"/>
        </w:rPr>
        <w:t>4</w:t>
      </w:r>
      <w:r w:rsidRPr="003D0387">
        <w:rPr>
          <w:lang w:val="en-US"/>
        </w:rPr>
        <w:t>.</w:t>
      </w:r>
      <w:r w:rsidR="00600B7C" w:rsidRPr="003D0387">
        <w:rPr>
          <w:lang w:val="en-US"/>
        </w:rPr>
        <w:t>6</w:t>
      </w:r>
      <w:r w:rsidRPr="003D0387">
        <w:rPr>
          <w:lang w:val="en-US"/>
        </w:rPr>
        <w:t xml:space="preserve">%. </w:t>
      </w:r>
    </w:p>
    <w:p w14:paraId="7F50916C" w14:textId="2EEE6CFD" w:rsidR="00802626" w:rsidRDefault="00600B7C" w:rsidP="001F3D77">
      <w:pPr>
        <w:jc w:val="both"/>
        <w:rPr>
          <w:rFonts w:cs="Arial"/>
        </w:rPr>
      </w:pPr>
      <w:r>
        <w:rPr>
          <w:rFonts w:cs="Arial"/>
          <w:lang w:val="en-US"/>
        </w:rPr>
        <w:t>T</w:t>
      </w:r>
      <w:r w:rsidR="004343CB">
        <w:rPr>
          <w:rFonts w:cs="Arial"/>
          <w:lang w:val="en-US"/>
        </w:rPr>
        <w:t xml:space="preserve">he </w:t>
      </w:r>
      <w:r>
        <w:rPr>
          <w:rFonts w:cs="Arial"/>
          <w:lang w:val="en-US"/>
        </w:rPr>
        <w:t xml:space="preserve">negative side of the </w:t>
      </w:r>
      <w:r w:rsidR="004343CB">
        <w:rPr>
          <w:rFonts w:cs="Arial"/>
          <w:lang w:val="en-US"/>
        </w:rPr>
        <w:t xml:space="preserve">year was </w:t>
      </w:r>
      <w:r>
        <w:rPr>
          <w:rFonts w:cs="Arial"/>
          <w:lang w:val="en-US"/>
        </w:rPr>
        <w:t>the</w:t>
      </w:r>
      <w:r w:rsidR="004343CB">
        <w:rPr>
          <w:rFonts w:cs="Arial"/>
          <w:lang w:val="en-US"/>
        </w:rPr>
        <w:t xml:space="preserve"> strong increase in the number of claims </w:t>
      </w:r>
      <w:r>
        <w:rPr>
          <w:rFonts w:cs="Arial"/>
          <w:lang w:val="en-US"/>
        </w:rPr>
        <w:t>reported in life related products</w:t>
      </w:r>
      <w:r w:rsidR="004343CB">
        <w:rPr>
          <w:rFonts w:cs="Arial"/>
          <w:lang w:val="en-US"/>
        </w:rPr>
        <w:t xml:space="preserve">, especially in the second quarter, due to the spread of new variants of the coronavirus. In the open private pension segment, the lower level of disposable income of the population and the increase in indebtedness contributed to an increase in redemptions, limiting the growth of reserves for this product. </w:t>
      </w:r>
    </w:p>
    <w:p w14:paraId="50E7C98E" w14:textId="77777777" w:rsidR="00C81A16" w:rsidRPr="00BB15B8" w:rsidRDefault="004343CB" w:rsidP="00591873">
      <w:pPr>
        <w:spacing w:line="256" w:lineRule="auto"/>
        <w:jc w:val="both"/>
        <w:rPr>
          <w:rFonts w:eastAsia="Times New Roman" w:cs="Arial"/>
          <w:spacing w:val="-2"/>
          <w:szCs w:val="18"/>
          <w:lang w:val="en-US" w:eastAsia="pt-BR"/>
        </w:rPr>
      </w:pPr>
      <w:r>
        <w:rPr>
          <w:rFonts w:cs="Arial"/>
        </w:rPr>
        <w:t xml:space="preserve">  </w:t>
      </w:r>
      <w:r>
        <w:rPr>
          <w:rFonts w:cs="Arial"/>
        </w:rPr>
        <w:br w:type="page"/>
      </w:r>
    </w:p>
    <w:p w14:paraId="672C2706"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lastRenderedPageBreak/>
        <w:t>ECONOMIC AND FINANCIAL PERFORMANCE</w:t>
      </w:r>
    </w:p>
    <w:p w14:paraId="0CB2640D" w14:textId="77777777" w:rsidR="00585263" w:rsidRPr="00585263" w:rsidRDefault="00585263" w:rsidP="00585263">
      <w:pPr>
        <w:pStyle w:val="01-Textonormal"/>
        <w:rPr>
          <w:lang w:val="en-US"/>
        </w:rPr>
      </w:pPr>
      <w:r w:rsidRPr="00585263">
        <w:rPr>
          <w:lang w:val="en-US"/>
        </w:rPr>
        <w:t xml:space="preserve">As a holding company, BB Seguridade’s net income consists basically of the equity income arising from its investees, along with the holding standalone operating and financial income and expenses. </w:t>
      </w:r>
    </w:p>
    <w:p w14:paraId="23E1F43D" w14:textId="3B14822D" w:rsidR="00C81A16" w:rsidRDefault="00585263" w:rsidP="00585263">
      <w:pPr>
        <w:pStyle w:val="01-Textonormal"/>
        <w:rPr>
          <w:lang w:val="en-US"/>
        </w:rPr>
      </w:pPr>
      <w:r w:rsidRPr="00585263">
        <w:rPr>
          <w:lang w:val="en-US"/>
        </w:rPr>
        <w:t>The table below presents BB Seguridade´s income statement for 202</w:t>
      </w:r>
      <w:r>
        <w:rPr>
          <w:lang w:val="en-US"/>
        </w:rPr>
        <w:t>1</w:t>
      </w:r>
      <w:r w:rsidRPr="00585263">
        <w:rPr>
          <w:lang w:val="en-US"/>
        </w:rPr>
        <w:t xml:space="preserve"> and 20</w:t>
      </w:r>
      <w:r>
        <w:rPr>
          <w:lang w:val="en-US"/>
        </w:rPr>
        <w:t>20, as well as the comments on the main variations of the year.</w:t>
      </w:r>
    </w:p>
    <w:p w14:paraId="1CD2C3CE" w14:textId="593349CA" w:rsidR="00585263" w:rsidRDefault="00585263" w:rsidP="00585263">
      <w:pPr>
        <w:pStyle w:val="01-Textonormal"/>
        <w:rPr>
          <w:lang w:val="en-US"/>
        </w:rPr>
      </w:pPr>
    </w:p>
    <w:p w14:paraId="3FFB53ED" w14:textId="77777777" w:rsidR="00A63664" w:rsidRDefault="00A63664" w:rsidP="00A63664">
      <w:pPr>
        <w:pStyle w:val="01-TtulodeNota"/>
        <w:rPr>
          <w:b w:val="0"/>
          <w:sz w:val="14"/>
        </w:rPr>
      </w:pPr>
      <w:r w:rsidRPr="009E060D">
        <w:rPr>
          <w:rFonts w:cs="Arial"/>
          <w:b w:val="0"/>
          <w:sz w:val="14"/>
          <w:szCs w:val="14"/>
        </w:rPr>
        <w:t>Tab</w:t>
      </w:r>
      <w:r>
        <w:rPr>
          <w:rFonts w:cs="Arial"/>
          <w:b w:val="0"/>
          <w:sz w:val="14"/>
          <w:szCs w:val="14"/>
        </w:rPr>
        <w:t>le</w:t>
      </w:r>
      <w:r w:rsidRPr="009E060D">
        <w:rPr>
          <w:rFonts w:cs="Arial"/>
          <w:b w:val="0"/>
          <w:sz w:val="14"/>
          <w:szCs w:val="14"/>
        </w:rPr>
        <w:t xml:space="preserve"> </w:t>
      </w:r>
      <w:r w:rsidRPr="009E060D">
        <w:rPr>
          <w:rFonts w:cs="Arial"/>
          <w:b w:val="0"/>
          <w:sz w:val="14"/>
          <w:szCs w:val="14"/>
        </w:rPr>
        <w:fldChar w:fldCharType="begin"/>
      </w:r>
      <w:r w:rsidRPr="009E060D">
        <w:rPr>
          <w:rFonts w:cs="Arial"/>
          <w:b w:val="0"/>
          <w:sz w:val="14"/>
          <w:szCs w:val="14"/>
        </w:rPr>
        <w:instrText xml:space="preserve"> SEQ Tabela \* ARABIC </w:instrText>
      </w:r>
      <w:r w:rsidRPr="009E060D">
        <w:rPr>
          <w:rFonts w:cs="Arial"/>
          <w:b w:val="0"/>
          <w:sz w:val="14"/>
          <w:szCs w:val="14"/>
        </w:rPr>
        <w:fldChar w:fldCharType="separate"/>
      </w:r>
      <w:r>
        <w:rPr>
          <w:rFonts w:cs="Arial"/>
          <w:b w:val="0"/>
          <w:noProof/>
          <w:sz w:val="14"/>
          <w:szCs w:val="14"/>
        </w:rPr>
        <w:t>1</w:t>
      </w:r>
      <w:r w:rsidRPr="009E060D">
        <w:rPr>
          <w:rFonts w:cs="Arial"/>
          <w:b w:val="0"/>
          <w:noProof/>
          <w:sz w:val="14"/>
          <w:szCs w:val="14"/>
        </w:rPr>
        <w:fldChar w:fldCharType="end"/>
      </w:r>
      <w:r w:rsidRPr="002A6B1F">
        <w:rPr>
          <w:b w:val="0"/>
          <w:sz w:val="14"/>
        </w:rPr>
        <w:t xml:space="preserve"> – </w:t>
      </w:r>
      <w:r>
        <w:rPr>
          <w:b w:val="0"/>
          <w:sz w:val="14"/>
        </w:rPr>
        <w:t>Financial Performance</w:t>
      </w:r>
      <w:r w:rsidRPr="002A6B1F">
        <w:rPr>
          <w:b w:val="0"/>
          <w:sz w:val="14"/>
        </w:rPr>
        <w:t xml:space="preserve"> | </w:t>
      </w:r>
      <w:r>
        <w:rPr>
          <w:b w:val="0"/>
          <w:sz w:val="14"/>
        </w:rPr>
        <w:t>Income Statement – Parent View</w:t>
      </w:r>
    </w:p>
    <w:tbl>
      <w:tblPr>
        <w:tblStyle w:val="TabeladeLista6Colorida-nfase5"/>
        <w:tblW w:w="9639" w:type="dxa"/>
        <w:tblLook w:val="04A0" w:firstRow="1" w:lastRow="0" w:firstColumn="1" w:lastColumn="0" w:noHBand="0" w:noVBand="1"/>
      </w:tblPr>
      <w:tblGrid>
        <w:gridCol w:w="4066"/>
        <w:gridCol w:w="1860"/>
        <w:gridCol w:w="1860"/>
        <w:gridCol w:w="1853"/>
      </w:tblGrid>
      <w:tr w:rsidR="00A63664" w:rsidRPr="00201B3F" w14:paraId="6B9583CA" w14:textId="77777777" w:rsidTr="00A2204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27CF9293" w14:textId="403165E4" w:rsidR="00A63664" w:rsidRPr="00201B3F" w:rsidRDefault="00A63664" w:rsidP="00A22043">
            <w:pPr>
              <w:pStyle w:val="08-Tabelageral"/>
              <w:jc w:val="left"/>
              <w:rPr>
                <w:rFonts w:cs="Arial"/>
              </w:rPr>
            </w:pPr>
            <w:r>
              <w:rPr>
                <w:rFonts w:cs="Arial"/>
              </w:rPr>
              <w:t>BRL thousand</w:t>
            </w:r>
          </w:p>
        </w:tc>
        <w:tc>
          <w:tcPr>
            <w:tcW w:w="1860" w:type="dxa"/>
            <w:vMerge w:val="restart"/>
            <w:tcBorders>
              <w:top w:val="single" w:sz="2" w:space="0" w:color="8EAADB" w:themeColor="accent5" w:themeTint="99"/>
            </w:tcBorders>
            <w:shd w:val="clear" w:color="auto" w:fill="D9E2F3" w:themeFill="accent5" w:themeFillTint="33"/>
            <w:vAlign w:val="center"/>
          </w:tcPr>
          <w:p w14:paraId="6136E552" w14:textId="030BBF40" w:rsidR="00A63664" w:rsidRPr="009C4EEC" w:rsidRDefault="00A63664" w:rsidP="00A22043">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Pr>
                <w:rFonts w:cs="Arial"/>
              </w:rPr>
              <w:t>Fiscal Year 2021</w:t>
            </w:r>
          </w:p>
        </w:tc>
        <w:tc>
          <w:tcPr>
            <w:tcW w:w="1860" w:type="dxa"/>
            <w:vMerge w:val="restart"/>
            <w:tcBorders>
              <w:top w:val="single" w:sz="2" w:space="0" w:color="8EAADB" w:themeColor="accent5" w:themeTint="99"/>
            </w:tcBorders>
            <w:shd w:val="clear" w:color="auto" w:fill="D9E2F3" w:themeFill="accent5" w:themeFillTint="33"/>
            <w:vAlign w:val="center"/>
          </w:tcPr>
          <w:p w14:paraId="1208656A" w14:textId="508FF05D" w:rsidR="00A63664" w:rsidRPr="009C4EEC" w:rsidRDefault="00A63664" w:rsidP="00A22043">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Pr>
                <w:rFonts w:cs="Arial"/>
              </w:rPr>
              <w:t>Fiscal Year 2020</w:t>
            </w:r>
          </w:p>
        </w:tc>
        <w:tc>
          <w:tcPr>
            <w:tcW w:w="1853" w:type="dxa"/>
            <w:tcBorders>
              <w:top w:val="single" w:sz="2" w:space="0" w:color="8EAADB" w:themeColor="accent5" w:themeTint="99"/>
              <w:bottom w:val="nil"/>
            </w:tcBorders>
            <w:shd w:val="clear" w:color="auto" w:fill="D9E2F3" w:themeFill="accent5" w:themeFillTint="33"/>
            <w:vAlign w:val="center"/>
          </w:tcPr>
          <w:p w14:paraId="67275930" w14:textId="77777777" w:rsidR="00A63664" w:rsidRPr="00201B3F" w:rsidRDefault="00A63664" w:rsidP="00A22043">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Pr>
                <w:rFonts w:cs="Arial"/>
              </w:rPr>
              <w:t>Chg.%</w:t>
            </w:r>
          </w:p>
        </w:tc>
      </w:tr>
      <w:tr w:rsidR="00A63664" w:rsidRPr="001D6BE8" w14:paraId="2DF9DC35"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61EDD82A" w14:textId="77777777" w:rsidR="00A63664" w:rsidRPr="00C806B0" w:rsidRDefault="00A63664" w:rsidP="00A22043">
            <w:pPr>
              <w:pStyle w:val="08-Tabelageral"/>
              <w:jc w:val="left"/>
              <w:rPr>
                <w:rFonts w:cs="Arial"/>
                <w:bCs w:val="0"/>
                <w:szCs w:val="14"/>
              </w:rPr>
            </w:pPr>
          </w:p>
        </w:tc>
        <w:tc>
          <w:tcPr>
            <w:tcW w:w="1860" w:type="dxa"/>
            <w:vMerge/>
            <w:tcBorders>
              <w:bottom w:val="single" w:sz="2" w:space="0" w:color="8EAADB" w:themeColor="accent5" w:themeTint="99"/>
            </w:tcBorders>
            <w:vAlign w:val="center"/>
          </w:tcPr>
          <w:p w14:paraId="7C8A9FCA" w14:textId="77777777" w:rsidR="00A63664" w:rsidRPr="002A6B1F" w:rsidRDefault="00A63664" w:rsidP="00A22043">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p>
        </w:tc>
        <w:tc>
          <w:tcPr>
            <w:tcW w:w="1860" w:type="dxa"/>
            <w:vMerge/>
            <w:tcBorders>
              <w:bottom w:val="single" w:sz="2" w:space="0" w:color="8EAADB" w:themeColor="accent5" w:themeTint="99"/>
            </w:tcBorders>
            <w:vAlign w:val="center"/>
          </w:tcPr>
          <w:p w14:paraId="6D211519" w14:textId="77777777" w:rsidR="00A63664" w:rsidRPr="002A6B1F" w:rsidRDefault="00A63664" w:rsidP="00A22043">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p>
        </w:tc>
        <w:tc>
          <w:tcPr>
            <w:tcW w:w="1853" w:type="dxa"/>
            <w:tcBorders>
              <w:top w:val="nil"/>
              <w:bottom w:val="single" w:sz="2" w:space="0" w:color="8EAADB" w:themeColor="accent5" w:themeTint="99"/>
            </w:tcBorders>
            <w:vAlign w:val="center"/>
          </w:tcPr>
          <w:p w14:paraId="29333EB8" w14:textId="3549092D" w:rsidR="00A63664" w:rsidRPr="002A6B1F" w:rsidRDefault="00A63664" w:rsidP="00A2204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on</w:t>
            </w:r>
            <w:r w:rsidRPr="002A6B1F">
              <w:rPr>
                <w:rFonts w:cs="Arial"/>
                <w:b/>
              </w:rPr>
              <w:t xml:space="preserve"> 20</w:t>
            </w:r>
            <w:r>
              <w:rPr>
                <w:rFonts w:cs="Arial"/>
                <w:b/>
              </w:rPr>
              <w:t>20</w:t>
            </w:r>
          </w:p>
        </w:tc>
      </w:tr>
      <w:tr w:rsidR="00705ED7" w:rsidRPr="001D6BE8" w14:paraId="0615BD17" w14:textId="77777777" w:rsidTr="00A22043">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tcPr>
          <w:p w14:paraId="65819C0B" w14:textId="77777777" w:rsidR="00705ED7" w:rsidRPr="002A6B1F" w:rsidRDefault="00705ED7" w:rsidP="00705ED7">
            <w:pPr>
              <w:pStyle w:val="08-Tabelageral"/>
              <w:jc w:val="left"/>
              <w:rPr>
                <w:rFonts w:cs="Arial"/>
                <w:snapToGrid w:val="0"/>
              </w:rPr>
            </w:pPr>
            <w:r w:rsidRPr="009D1C36">
              <w:t>Equity income</w:t>
            </w:r>
          </w:p>
        </w:tc>
        <w:tc>
          <w:tcPr>
            <w:tcW w:w="1860" w:type="dxa"/>
            <w:tcBorders>
              <w:top w:val="single" w:sz="2" w:space="0" w:color="8EAADB" w:themeColor="accent5" w:themeTint="99"/>
              <w:bottom w:val="nil"/>
            </w:tcBorders>
            <w:vAlign w:val="center"/>
          </w:tcPr>
          <w:p w14:paraId="384C3414" w14:textId="2092814F"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AA6D51">
              <w:rPr>
                <w:rFonts w:cs="Arial"/>
                <w:b/>
                <w:szCs w:val="14"/>
                <w:lang w:eastAsia="en-US"/>
              </w:rPr>
              <w:t>3</w:t>
            </w:r>
            <w:r>
              <w:rPr>
                <w:rFonts w:cs="Arial"/>
                <w:b/>
                <w:szCs w:val="14"/>
                <w:lang w:eastAsia="en-US"/>
              </w:rPr>
              <w:t>,</w:t>
            </w:r>
            <w:r w:rsidRPr="00AA6D51">
              <w:rPr>
                <w:rFonts w:cs="Arial"/>
                <w:b/>
                <w:szCs w:val="14"/>
                <w:lang w:eastAsia="en-US"/>
              </w:rPr>
              <w:t>923</w:t>
            </w:r>
            <w:r>
              <w:rPr>
                <w:rFonts w:cs="Arial"/>
                <w:b/>
                <w:szCs w:val="14"/>
                <w:lang w:eastAsia="en-US"/>
              </w:rPr>
              <w:t>,</w:t>
            </w:r>
            <w:r w:rsidRPr="00AA6D51">
              <w:rPr>
                <w:rFonts w:cs="Arial"/>
                <w:b/>
                <w:szCs w:val="14"/>
                <w:lang w:eastAsia="en-US"/>
              </w:rPr>
              <w:t>593</w:t>
            </w:r>
          </w:p>
        </w:tc>
        <w:tc>
          <w:tcPr>
            <w:tcW w:w="1860" w:type="dxa"/>
            <w:tcBorders>
              <w:top w:val="single" w:sz="2" w:space="0" w:color="8EAADB" w:themeColor="accent5" w:themeTint="99"/>
              <w:bottom w:val="nil"/>
            </w:tcBorders>
            <w:vAlign w:val="center"/>
          </w:tcPr>
          <w:p w14:paraId="5E76B430" w14:textId="1E6A8644"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AA6D51">
              <w:rPr>
                <w:rFonts w:cs="Arial"/>
                <w:b/>
                <w:bCs/>
                <w:szCs w:val="14"/>
                <w:lang w:eastAsia="en-US"/>
              </w:rPr>
              <w:t>3</w:t>
            </w:r>
            <w:r>
              <w:rPr>
                <w:rFonts w:cs="Arial"/>
                <w:b/>
                <w:bCs/>
                <w:szCs w:val="14"/>
                <w:lang w:eastAsia="en-US"/>
              </w:rPr>
              <w:t>,</w:t>
            </w:r>
            <w:r w:rsidRPr="00AA6D51">
              <w:rPr>
                <w:rFonts w:cs="Arial"/>
                <w:b/>
                <w:bCs/>
                <w:szCs w:val="14"/>
                <w:lang w:eastAsia="en-US"/>
              </w:rPr>
              <w:t>833</w:t>
            </w:r>
            <w:r>
              <w:rPr>
                <w:rFonts w:cs="Arial"/>
                <w:b/>
                <w:bCs/>
                <w:szCs w:val="14"/>
                <w:lang w:eastAsia="en-US"/>
              </w:rPr>
              <w:t>,</w:t>
            </w:r>
            <w:r w:rsidRPr="00AA6D51">
              <w:rPr>
                <w:rFonts w:cs="Arial"/>
                <w:b/>
                <w:bCs/>
                <w:szCs w:val="14"/>
                <w:lang w:eastAsia="en-US"/>
              </w:rPr>
              <w:t>384</w:t>
            </w:r>
          </w:p>
        </w:tc>
        <w:tc>
          <w:tcPr>
            <w:tcW w:w="1853" w:type="dxa"/>
            <w:tcBorders>
              <w:top w:val="single" w:sz="2" w:space="0" w:color="8EAADB" w:themeColor="accent5" w:themeTint="99"/>
              <w:bottom w:val="nil"/>
            </w:tcBorders>
          </w:tcPr>
          <w:p w14:paraId="0AEB75E0" w14:textId="656281FF"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8B50EE">
              <w:rPr>
                <w:b/>
                <w:bCs/>
              </w:rPr>
              <w:t>2</w:t>
            </w:r>
            <w:r>
              <w:rPr>
                <w:b/>
                <w:bCs/>
              </w:rPr>
              <w:t>.</w:t>
            </w:r>
            <w:r w:rsidRPr="008B50EE">
              <w:rPr>
                <w:b/>
                <w:bCs/>
              </w:rPr>
              <w:t>4</w:t>
            </w:r>
          </w:p>
        </w:tc>
      </w:tr>
      <w:tr w:rsidR="00705ED7" w:rsidRPr="001D6BE8" w14:paraId="3A3FA3C6"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B03BD00" w14:textId="1C65920B" w:rsidR="00705ED7" w:rsidRPr="00415FBA" w:rsidRDefault="00705ED7" w:rsidP="00705ED7">
            <w:pPr>
              <w:pStyle w:val="08-Tabelageral"/>
              <w:ind w:left="113"/>
              <w:jc w:val="left"/>
              <w:rPr>
                <w:rFonts w:cs="Arial"/>
                <w:b w:val="0"/>
                <w:snapToGrid w:val="0"/>
              </w:rPr>
            </w:pPr>
            <w:r w:rsidRPr="00AA6D51">
              <w:rPr>
                <w:rFonts w:cs="Arial"/>
                <w:b w:val="0"/>
                <w:lang w:eastAsia="en-US"/>
              </w:rPr>
              <w:t>BB MAPFRE Participações S.A. (Brasilseg)</w:t>
            </w:r>
          </w:p>
        </w:tc>
        <w:tc>
          <w:tcPr>
            <w:tcW w:w="1860" w:type="dxa"/>
            <w:tcBorders>
              <w:top w:val="nil"/>
              <w:bottom w:val="nil"/>
            </w:tcBorders>
            <w:vAlign w:val="center"/>
          </w:tcPr>
          <w:p w14:paraId="297671D5" w14:textId="20B47990"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AA6D51">
              <w:rPr>
                <w:rFonts w:cs="Arial"/>
                <w:szCs w:val="14"/>
                <w:lang w:eastAsia="en-US"/>
              </w:rPr>
              <w:t>1</w:t>
            </w:r>
            <w:r>
              <w:rPr>
                <w:rFonts w:cs="Arial"/>
                <w:szCs w:val="14"/>
                <w:lang w:eastAsia="en-US"/>
              </w:rPr>
              <w:t>,</w:t>
            </w:r>
            <w:r w:rsidRPr="00AA6D51">
              <w:rPr>
                <w:rFonts w:cs="Arial"/>
                <w:szCs w:val="14"/>
                <w:lang w:eastAsia="en-US"/>
              </w:rPr>
              <w:t>067</w:t>
            </w:r>
            <w:r>
              <w:rPr>
                <w:rFonts w:cs="Arial"/>
                <w:szCs w:val="14"/>
                <w:lang w:eastAsia="en-US"/>
              </w:rPr>
              <w:t>,</w:t>
            </w:r>
            <w:r w:rsidRPr="00AA6D51">
              <w:rPr>
                <w:rFonts w:cs="Arial"/>
                <w:szCs w:val="14"/>
                <w:lang w:eastAsia="en-US"/>
              </w:rPr>
              <w:t>020</w:t>
            </w:r>
          </w:p>
        </w:tc>
        <w:tc>
          <w:tcPr>
            <w:tcW w:w="1860" w:type="dxa"/>
            <w:tcBorders>
              <w:top w:val="nil"/>
              <w:bottom w:val="nil"/>
            </w:tcBorders>
            <w:vAlign w:val="center"/>
          </w:tcPr>
          <w:p w14:paraId="3FF9C122" w14:textId="400ADBF4"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6D51">
              <w:rPr>
                <w:rFonts w:cs="Arial"/>
                <w:szCs w:val="14"/>
                <w:lang w:eastAsia="en-US"/>
              </w:rPr>
              <w:t>1</w:t>
            </w:r>
            <w:r>
              <w:rPr>
                <w:rFonts w:cs="Arial"/>
                <w:szCs w:val="14"/>
                <w:lang w:eastAsia="en-US"/>
              </w:rPr>
              <w:t>,</w:t>
            </w:r>
            <w:r w:rsidRPr="00AA6D51">
              <w:rPr>
                <w:rFonts w:cs="Arial"/>
                <w:szCs w:val="14"/>
                <w:lang w:eastAsia="en-US"/>
              </w:rPr>
              <w:t>086</w:t>
            </w:r>
            <w:r>
              <w:rPr>
                <w:rFonts w:cs="Arial"/>
                <w:szCs w:val="14"/>
                <w:lang w:eastAsia="en-US"/>
              </w:rPr>
              <w:t>,</w:t>
            </w:r>
            <w:r w:rsidRPr="00AA6D51">
              <w:rPr>
                <w:rFonts w:cs="Arial"/>
                <w:szCs w:val="14"/>
                <w:lang w:eastAsia="en-US"/>
              </w:rPr>
              <w:t>543</w:t>
            </w:r>
          </w:p>
        </w:tc>
        <w:tc>
          <w:tcPr>
            <w:tcW w:w="1853" w:type="dxa"/>
            <w:tcBorders>
              <w:top w:val="nil"/>
              <w:bottom w:val="nil"/>
            </w:tcBorders>
          </w:tcPr>
          <w:p w14:paraId="6B731D80" w14:textId="2504A2F5"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t>(</w:t>
            </w:r>
            <w:r w:rsidRPr="001A39EB">
              <w:t>1</w:t>
            </w:r>
            <w:r>
              <w:t>.</w:t>
            </w:r>
            <w:r w:rsidRPr="001A39EB">
              <w:t>8</w:t>
            </w:r>
            <w:r>
              <w:t>)</w:t>
            </w:r>
          </w:p>
        </w:tc>
      </w:tr>
      <w:tr w:rsidR="00705ED7" w:rsidRPr="001D6BE8" w14:paraId="71F888E6"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67AA88A" w14:textId="77777777" w:rsidR="00705ED7" w:rsidRPr="00415FBA" w:rsidRDefault="00705ED7" w:rsidP="00705ED7">
            <w:pPr>
              <w:pStyle w:val="08-Tabelageral"/>
              <w:ind w:left="113"/>
              <w:jc w:val="left"/>
              <w:rPr>
                <w:rFonts w:cs="Arial"/>
                <w:b w:val="0"/>
                <w:snapToGrid w:val="0"/>
              </w:rPr>
            </w:pPr>
            <w:r w:rsidRPr="00415FBA">
              <w:rPr>
                <w:b w:val="0"/>
              </w:rPr>
              <w:t>Brasilprev Seguros e Previdência S</w:t>
            </w:r>
            <w:r>
              <w:rPr>
                <w:b w:val="0"/>
              </w:rPr>
              <w:t>,</w:t>
            </w:r>
            <w:r w:rsidRPr="00415FBA">
              <w:rPr>
                <w:b w:val="0"/>
              </w:rPr>
              <w:t>A</w:t>
            </w:r>
            <w:r>
              <w:rPr>
                <w:b w:val="0"/>
              </w:rPr>
              <w:t>,</w:t>
            </w:r>
          </w:p>
        </w:tc>
        <w:tc>
          <w:tcPr>
            <w:tcW w:w="1860" w:type="dxa"/>
            <w:tcBorders>
              <w:top w:val="nil"/>
              <w:bottom w:val="nil"/>
            </w:tcBorders>
            <w:vAlign w:val="center"/>
          </w:tcPr>
          <w:p w14:paraId="1AA08629" w14:textId="7FD919D2"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AA6D51">
              <w:rPr>
                <w:rFonts w:cs="Arial"/>
                <w:szCs w:val="14"/>
                <w:lang w:eastAsia="en-US"/>
              </w:rPr>
              <w:t>756</w:t>
            </w:r>
            <w:r>
              <w:rPr>
                <w:rFonts w:cs="Arial"/>
                <w:szCs w:val="14"/>
                <w:lang w:eastAsia="en-US"/>
              </w:rPr>
              <w:t>,</w:t>
            </w:r>
            <w:r w:rsidRPr="00AA6D51">
              <w:rPr>
                <w:rFonts w:cs="Arial"/>
                <w:szCs w:val="14"/>
                <w:lang w:eastAsia="en-US"/>
              </w:rPr>
              <w:t>544</w:t>
            </w:r>
          </w:p>
        </w:tc>
        <w:tc>
          <w:tcPr>
            <w:tcW w:w="1860" w:type="dxa"/>
            <w:tcBorders>
              <w:top w:val="nil"/>
              <w:bottom w:val="nil"/>
            </w:tcBorders>
            <w:vAlign w:val="center"/>
          </w:tcPr>
          <w:p w14:paraId="1B478613" w14:textId="659ED9E5"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6D51">
              <w:rPr>
                <w:lang w:eastAsia="en-US"/>
              </w:rPr>
              <w:t>686</w:t>
            </w:r>
            <w:r>
              <w:rPr>
                <w:lang w:eastAsia="en-US"/>
              </w:rPr>
              <w:t>,</w:t>
            </w:r>
            <w:r w:rsidRPr="00AA6D51">
              <w:rPr>
                <w:lang w:eastAsia="en-US"/>
              </w:rPr>
              <w:t>379</w:t>
            </w:r>
          </w:p>
        </w:tc>
        <w:tc>
          <w:tcPr>
            <w:tcW w:w="1853" w:type="dxa"/>
            <w:tcBorders>
              <w:top w:val="nil"/>
              <w:bottom w:val="nil"/>
            </w:tcBorders>
          </w:tcPr>
          <w:p w14:paraId="21EF3CB4" w14:textId="2FE30821"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1A39EB">
              <w:t>10</w:t>
            </w:r>
            <w:r>
              <w:t>.</w:t>
            </w:r>
            <w:r w:rsidRPr="001A39EB">
              <w:t>2</w:t>
            </w:r>
          </w:p>
        </w:tc>
      </w:tr>
      <w:tr w:rsidR="00705ED7" w:rsidRPr="001D6BE8" w14:paraId="638C9052"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6A8D2A4" w14:textId="77777777" w:rsidR="00705ED7" w:rsidRPr="00415FBA" w:rsidRDefault="00705ED7" w:rsidP="00705ED7">
            <w:pPr>
              <w:pStyle w:val="08-Tabelageral"/>
              <w:ind w:left="113"/>
              <w:jc w:val="left"/>
              <w:rPr>
                <w:rFonts w:cs="Arial"/>
                <w:b w:val="0"/>
                <w:snapToGrid w:val="0"/>
              </w:rPr>
            </w:pPr>
            <w:r w:rsidRPr="00415FBA">
              <w:rPr>
                <w:b w:val="0"/>
              </w:rPr>
              <w:t>Brasilcap Capitalização S</w:t>
            </w:r>
            <w:r>
              <w:rPr>
                <w:b w:val="0"/>
              </w:rPr>
              <w:t>,</w:t>
            </w:r>
            <w:r w:rsidRPr="00415FBA">
              <w:rPr>
                <w:b w:val="0"/>
              </w:rPr>
              <w:t>A</w:t>
            </w:r>
            <w:r>
              <w:rPr>
                <w:b w:val="0"/>
              </w:rPr>
              <w:t>,</w:t>
            </w:r>
          </w:p>
        </w:tc>
        <w:tc>
          <w:tcPr>
            <w:tcW w:w="1860" w:type="dxa"/>
            <w:tcBorders>
              <w:top w:val="nil"/>
              <w:bottom w:val="nil"/>
            </w:tcBorders>
            <w:vAlign w:val="center"/>
          </w:tcPr>
          <w:p w14:paraId="75A5DDC7" w14:textId="7687F626"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AA6D51">
              <w:rPr>
                <w:rFonts w:cs="Arial"/>
                <w:szCs w:val="14"/>
                <w:lang w:eastAsia="en-US"/>
              </w:rPr>
              <w:t>2</w:t>
            </w:r>
            <w:r>
              <w:rPr>
                <w:rFonts w:cs="Arial"/>
                <w:szCs w:val="14"/>
                <w:lang w:eastAsia="en-US"/>
              </w:rPr>
              <w:t>,</w:t>
            </w:r>
            <w:r w:rsidRPr="00AA6D51">
              <w:rPr>
                <w:rFonts w:cs="Arial"/>
                <w:szCs w:val="14"/>
                <w:lang w:eastAsia="en-US"/>
              </w:rPr>
              <w:t>341</w:t>
            </w:r>
          </w:p>
        </w:tc>
        <w:tc>
          <w:tcPr>
            <w:tcW w:w="1860" w:type="dxa"/>
            <w:tcBorders>
              <w:top w:val="nil"/>
              <w:bottom w:val="nil"/>
            </w:tcBorders>
            <w:vAlign w:val="center"/>
          </w:tcPr>
          <w:p w14:paraId="773A1353" w14:textId="2F51F48D"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6D51">
              <w:rPr>
                <w:lang w:eastAsia="en-US"/>
              </w:rPr>
              <w:t>105</w:t>
            </w:r>
            <w:r>
              <w:rPr>
                <w:lang w:eastAsia="en-US"/>
              </w:rPr>
              <w:t>,</w:t>
            </w:r>
            <w:r w:rsidRPr="00AA6D51">
              <w:rPr>
                <w:lang w:eastAsia="en-US"/>
              </w:rPr>
              <w:t>780</w:t>
            </w:r>
          </w:p>
        </w:tc>
        <w:tc>
          <w:tcPr>
            <w:tcW w:w="1853" w:type="dxa"/>
            <w:tcBorders>
              <w:top w:val="nil"/>
              <w:bottom w:val="nil"/>
            </w:tcBorders>
          </w:tcPr>
          <w:p w14:paraId="0A04570F" w14:textId="3E9ECF59"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t>(</w:t>
            </w:r>
            <w:r w:rsidRPr="001A39EB">
              <w:t>97</w:t>
            </w:r>
            <w:r>
              <w:t>.</w:t>
            </w:r>
            <w:r w:rsidRPr="001A39EB">
              <w:t>8</w:t>
            </w:r>
            <w:r>
              <w:t>)</w:t>
            </w:r>
          </w:p>
        </w:tc>
      </w:tr>
      <w:tr w:rsidR="00705ED7" w:rsidRPr="001D6BE8" w14:paraId="3570E872"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2967956" w14:textId="77777777" w:rsidR="00705ED7" w:rsidRPr="00415FBA" w:rsidRDefault="00705ED7" w:rsidP="00705ED7">
            <w:pPr>
              <w:pStyle w:val="08-Tabelageral"/>
              <w:ind w:left="113"/>
              <w:jc w:val="left"/>
              <w:rPr>
                <w:rFonts w:cs="Arial"/>
                <w:b w:val="0"/>
                <w:snapToGrid w:val="0"/>
              </w:rPr>
            </w:pPr>
            <w:r w:rsidRPr="00415FBA">
              <w:rPr>
                <w:b w:val="0"/>
              </w:rPr>
              <w:t>Brasildental Operadora de Planos Odontológicos S</w:t>
            </w:r>
            <w:r>
              <w:rPr>
                <w:b w:val="0"/>
              </w:rPr>
              <w:t>,</w:t>
            </w:r>
            <w:r w:rsidRPr="00415FBA">
              <w:rPr>
                <w:b w:val="0"/>
              </w:rPr>
              <w:t>A</w:t>
            </w:r>
            <w:r>
              <w:rPr>
                <w:b w:val="0"/>
              </w:rPr>
              <w:t>,</w:t>
            </w:r>
          </w:p>
        </w:tc>
        <w:tc>
          <w:tcPr>
            <w:tcW w:w="1860" w:type="dxa"/>
            <w:tcBorders>
              <w:top w:val="nil"/>
              <w:bottom w:val="nil"/>
            </w:tcBorders>
            <w:vAlign w:val="center"/>
          </w:tcPr>
          <w:p w14:paraId="31B99276" w14:textId="344BAFD3"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AA6D51">
              <w:rPr>
                <w:lang w:eastAsia="en-US"/>
              </w:rPr>
              <w:t>17</w:t>
            </w:r>
            <w:r>
              <w:rPr>
                <w:lang w:eastAsia="en-US"/>
              </w:rPr>
              <w:t>,</w:t>
            </w:r>
            <w:r w:rsidRPr="00AA6D51">
              <w:rPr>
                <w:lang w:eastAsia="en-US"/>
              </w:rPr>
              <w:t>083</w:t>
            </w:r>
          </w:p>
        </w:tc>
        <w:tc>
          <w:tcPr>
            <w:tcW w:w="1860" w:type="dxa"/>
            <w:tcBorders>
              <w:top w:val="nil"/>
              <w:bottom w:val="nil"/>
            </w:tcBorders>
            <w:vAlign w:val="center"/>
          </w:tcPr>
          <w:p w14:paraId="373497E1" w14:textId="13130554"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6D51">
              <w:rPr>
                <w:lang w:eastAsia="en-US"/>
              </w:rPr>
              <w:t>17</w:t>
            </w:r>
            <w:r>
              <w:rPr>
                <w:lang w:eastAsia="en-US"/>
              </w:rPr>
              <w:t>,</w:t>
            </w:r>
            <w:r w:rsidRPr="00AA6D51">
              <w:rPr>
                <w:lang w:eastAsia="en-US"/>
              </w:rPr>
              <w:t>702</w:t>
            </w:r>
          </w:p>
        </w:tc>
        <w:tc>
          <w:tcPr>
            <w:tcW w:w="1853" w:type="dxa"/>
            <w:tcBorders>
              <w:top w:val="nil"/>
              <w:bottom w:val="nil"/>
            </w:tcBorders>
          </w:tcPr>
          <w:p w14:paraId="77B35280" w14:textId="329910E1"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t>(</w:t>
            </w:r>
            <w:r w:rsidRPr="001A39EB">
              <w:t>3</w:t>
            </w:r>
            <w:r>
              <w:t>.</w:t>
            </w:r>
            <w:r w:rsidRPr="001A39EB">
              <w:t>5</w:t>
            </w:r>
            <w:r>
              <w:t>)</w:t>
            </w:r>
          </w:p>
        </w:tc>
      </w:tr>
      <w:tr w:rsidR="00705ED7" w:rsidRPr="001D6BE8" w14:paraId="3A815BB0" w14:textId="77777777" w:rsidTr="00A22043">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7921F47" w14:textId="77777777" w:rsidR="00705ED7" w:rsidRPr="00415FBA" w:rsidRDefault="00705ED7" w:rsidP="00705ED7">
            <w:pPr>
              <w:pStyle w:val="08-Tabelageral"/>
              <w:ind w:left="113"/>
              <w:jc w:val="left"/>
              <w:rPr>
                <w:rFonts w:cs="Arial"/>
                <w:b w:val="0"/>
              </w:rPr>
            </w:pPr>
            <w:r w:rsidRPr="00415FBA">
              <w:rPr>
                <w:b w:val="0"/>
              </w:rPr>
              <w:t>BB Corretora de Seguros e Administradora de Bens S</w:t>
            </w:r>
            <w:r>
              <w:rPr>
                <w:b w:val="0"/>
              </w:rPr>
              <w:t>,</w:t>
            </w:r>
            <w:r w:rsidRPr="00415FBA">
              <w:rPr>
                <w:b w:val="0"/>
              </w:rPr>
              <w:t>A</w:t>
            </w:r>
            <w:r>
              <w:rPr>
                <w:b w:val="0"/>
              </w:rPr>
              <w:t>,</w:t>
            </w:r>
          </w:p>
        </w:tc>
        <w:tc>
          <w:tcPr>
            <w:tcW w:w="1860" w:type="dxa"/>
            <w:tcBorders>
              <w:top w:val="nil"/>
              <w:bottom w:val="nil"/>
            </w:tcBorders>
            <w:vAlign w:val="center"/>
          </w:tcPr>
          <w:p w14:paraId="4BC6B3AB" w14:textId="4BE9F863"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AA6D51">
              <w:rPr>
                <w:rFonts w:cs="Arial"/>
                <w:szCs w:val="14"/>
                <w:lang w:eastAsia="en-US"/>
              </w:rPr>
              <w:t>2</w:t>
            </w:r>
            <w:r>
              <w:rPr>
                <w:rFonts w:cs="Arial"/>
                <w:szCs w:val="14"/>
                <w:lang w:eastAsia="en-US"/>
              </w:rPr>
              <w:t>,</w:t>
            </w:r>
            <w:r w:rsidRPr="00AA6D51">
              <w:rPr>
                <w:rFonts w:cs="Arial"/>
                <w:szCs w:val="14"/>
                <w:lang w:eastAsia="en-US"/>
              </w:rPr>
              <w:t>162</w:t>
            </w:r>
            <w:r>
              <w:rPr>
                <w:rFonts w:cs="Arial"/>
                <w:szCs w:val="14"/>
                <w:lang w:eastAsia="en-US"/>
              </w:rPr>
              <w:t>,</w:t>
            </w:r>
            <w:r w:rsidRPr="00AA6D51">
              <w:rPr>
                <w:rFonts w:cs="Arial"/>
                <w:szCs w:val="14"/>
                <w:lang w:eastAsia="en-US"/>
              </w:rPr>
              <w:t>039</w:t>
            </w:r>
          </w:p>
        </w:tc>
        <w:tc>
          <w:tcPr>
            <w:tcW w:w="1860" w:type="dxa"/>
            <w:tcBorders>
              <w:top w:val="nil"/>
              <w:bottom w:val="nil"/>
            </w:tcBorders>
            <w:vAlign w:val="center"/>
          </w:tcPr>
          <w:p w14:paraId="20E78EE6" w14:textId="3D044B70"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6D51">
              <w:rPr>
                <w:rFonts w:cs="Arial"/>
                <w:szCs w:val="14"/>
                <w:lang w:eastAsia="en-US"/>
              </w:rPr>
              <w:t>1</w:t>
            </w:r>
            <w:r>
              <w:rPr>
                <w:rFonts w:cs="Arial"/>
                <w:szCs w:val="14"/>
                <w:lang w:eastAsia="en-US"/>
              </w:rPr>
              <w:t>,</w:t>
            </w:r>
            <w:r w:rsidRPr="00AA6D51">
              <w:rPr>
                <w:rFonts w:cs="Arial"/>
                <w:szCs w:val="14"/>
                <w:lang w:eastAsia="en-US"/>
              </w:rPr>
              <w:t>969</w:t>
            </w:r>
            <w:r>
              <w:rPr>
                <w:rFonts w:cs="Arial"/>
                <w:szCs w:val="14"/>
                <w:lang w:eastAsia="en-US"/>
              </w:rPr>
              <w:t>,</w:t>
            </w:r>
            <w:r w:rsidRPr="00AA6D51">
              <w:rPr>
                <w:rFonts w:cs="Arial"/>
                <w:szCs w:val="14"/>
                <w:lang w:eastAsia="en-US"/>
              </w:rPr>
              <w:t>105</w:t>
            </w:r>
          </w:p>
        </w:tc>
        <w:tc>
          <w:tcPr>
            <w:tcW w:w="1853" w:type="dxa"/>
            <w:tcBorders>
              <w:top w:val="nil"/>
              <w:bottom w:val="nil"/>
            </w:tcBorders>
          </w:tcPr>
          <w:p w14:paraId="6E61D6FB" w14:textId="0EE4C433"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1A39EB">
              <w:t>9</w:t>
            </w:r>
            <w:r>
              <w:t>.</w:t>
            </w:r>
            <w:r w:rsidRPr="001A39EB">
              <w:t>8</w:t>
            </w:r>
          </w:p>
        </w:tc>
      </w:tr>
      <w:tr w:rsidR="00705ED7" w:rsidRPr="001D6BE8" w14:paraId="6EBE26A6"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FA73633" w14:textId="77777777" w:rsidR="00705ED7" w:rsidRPr="00415FBA" w:rsidRDefault="00705ED7" w:rsidP="00705ED7">
            <w:pPr>
              <w:pStyle w:val="08-Tabelageral"/>
              <w:ind w:left="113"/>
              <w:jc w:val="left"/>
              <w:rPr>
                <w:rFonts w:cs="Arial"/>
                <w:b w:val="0"/>
              </w:rPr>
            </w:pPr>
            <w:r w:rsidRPr="00415FBA">
              <w:rPr>
                <w:b w:val="0"/>
              </w:rPr>
              <w:t>Other</w:t>
            </w:r>
          </w:p>
        </w:tc>
        <w:tc>
          <w:tcPr>
            <w:tcW w:w="1860" w:type="dxa"/>
            <w:tcBorders>
              <w:top w:val="nil"/>
              <w:bottom w:val="nil"/>
            </w:tcBorders>
            <w:vAlign w:val="center"/>
          </w:tcPr>
          <w:p w14:paraId="1CD6EC0A" w14:textId="617B6310"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AA6D51">
              <w:rPr>
                <w:rFonts w:cs="Arial"/>
                <w:szCs w:val="14"/>
                <w:lang w:eastAsia="en-US"/>
              </w:rPr>
              <w:t>(</w:t>
            </w:r>
            <w:r>
              <w:rPr>
                <w:rFonts w:cs="Arial"/>
                <w:szCs w:val="14"/>
                <w:lang w:eastAsia="en-US"/>
              </w:rPr>
              <w:t>81,434</w:t>
            </w:r>
            <w:r w:rsidRPr="00AA6D51">
              <w:rPr>
                <w:rFonts w:cs="Arial"/>
                <w:szCs w:val="14"/>
                <w:lang w:eastAsia="en-US"/>
              </w:rPr>
              <w:t>)</w:t>
            </w:r>
          </w:p>
        </w:tc>
        <w:tc>
          <w:tcPr>
            <w:tcW w:w="1860" w:type="dxa"/>
            <w:tcBorders>
              <w:top w:val="nil"/>
              <w:bottom w:val="nil"/>
            </w:tcBorders>
            <w:vAlign w:val="center"/>
          </w:tcPr>
          <w:p w14:paraId="7C2A073B" w14:textId="3240B37F"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6D51">
              <w:rPr>
                <w:rFonts w:cs="Arial"/>
                <w:szCs w:val="14"/>
                <w:lang w:eastAsia="en-US"/>
              </w:rPr>
              <w:t>(32</w:t>
            </w:r>
            <w:r>
              <w:rPr>
                <w:rFonts w:cs="Arial"/>
                <w:szCs w:val="14"/>
                <w:lang w:eastAsia="en-US"/>
              </w:rPr>
              <w:t>,</w:t>
            </w:r>
            <w:r w:rsidRPr="00AA6D51">
              <w:rPr>
                <w:rFonts w:cs="Arial"/>
                <w:szCs w:val="14"/>
                <w:lang w:eastAsia="en-US"/>
              </w:rPr>
              <w:t>125)</w:t>
            </w:r>
          </w:p>
        </w:tc>
        <w:tc>
          <w:tcPr>
            <w:tcW w:w="1853" w:type="dxa"/>
            <w:tcBorders>
              <w:top w:val="nil"/>
              <w:bottom w:val="nil"/>
            </w:tcBorders>
          </w:tcPr>
          <w:p w14:paraId="73646D33" w14:textId="4B50F753"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1A39EB">
              <w:t>153</w:t>
            </w:r>
            <w:r>
              <w:t>.</w:t>
            </w:r>
            <w:r w:rsidRPr="001A39EB">
              <w:t>5</w:t>
            </w:r>
          </w:p>
        </w:tc>
      </w:tr>
      <w:tr w:rsidR="00705ED7" w:rsidRPr="001D6BE8" w14:paraId="77CF1783"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FDDA884" w14:textId="77777777" w:rsidR="00705ED7" w:rsidRPr="002A6B1F" w:rsidRDefault="00705ED7" w:rsidP="00705ED7">
            <w:pPr>
              <w:pStyle w:val="08-Tabelageral"/>
              <w:jc w:val="left"/>
              <w:rPr>
                <w:rFonts w:cs="Arial"/>
                <w:snapToGrid w:val="0"/>
              </w:rPr>
            </w:pPr>
            <w:r w:rsidRPr="009D1C36">
              <w:t>Other Income and Expenses</w:t>
            </w:r>
          </w:p>
        </w:tc>
        <w:tc>
          <w:tcPr>
            <w:tcW w:w="1860" w:type="dxa"/>
            <w:tcBorders>
              <w:top w:val="nil"/>
              <w:bottom w:val="nil"/>
            </w:tcBorders>
            <w:vAlign w:val="center"/>
          </w:tcPr>
          <w:p w14:paraId="45968D52" w14:textId="74F8A952"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sidRPr="00AA6D51">
              <w:rPr>
                <w:rFonts w:cs="Arial"/>
                <w:b/>
                <w:bCs/>
                <w:szCs w:val="14"/>
                <w:lang w:eastAsia="en-US"/>
              </w:rPr>
              <w:t>(8</w:t>
            </w:r>
            <w:r>
              <w:rPr>
                <w:rFonts w:cs="Arial"/>
                <w:b/>
                <w:bCs/>
                <w:szCs w:val="14"/>
                <w:lang w:eastAsia="en-US"/>
              </w:rPr>
              <w:t>,</w:t>
            </w:r>
            <w:r w:rsidRPr="00AA6D51">
              <w:rPr>
                <w:rFonts w:cs="Arial"/>
                <w:b/>
                <w:bCs/>
                <w:szCs w:val="14"/>
                <w:lang w:eastAsia="en-US"/>
              </w:rPr>
              <w:t>572)</w:t>
            </w:r>
          </w:p>
        </w:tc>
        <w:tc>
          <w:tcPr>
            <w:tcW w:w="1860" w:type="dxa"/>
            <w:tcBorders>
              <w:top w:val="nil"/>
              <w:bottom w:val="nil"/>
            </w:tcBorders>
            <w:vAlign w:val="center"/>
          </w:tcPr>
          <w:p w14:paraId="3BB85390" w14:textId="3506B15E"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D51">
              <w:rPr>
                <w:rFonts w:cs="Arial"/>
                <w:b/>
                <w:bCs/>
                <w:szCs w:val="14"/>
                <w:lang w:eastAsia="en-US"/>
              </w:rPr>
              <w:t>(10</w:t>
            </w:r>
            <w:r>
              <w:rPr>
                <w:rFonts w:cs="Arial"/>
                <w:b/>
                <w:bCs/>
                <w:szCs w:val="14"/>
                <w:lang w:eastAsia="en-US"/>
              </w:rPr>
              <w:t>,</w:t>
            </w:r>
            <w:r w:rsidRPr="00AA6D51">
              <w:rPr>
                <w:rFonts w:cs="Arial"/>
                <w:b/>
                <w:bCs/>
                <w:szCs w:val="14"/>
                <w:lang w:eastAsia="en-US"/>
              </w:rPr>
              <w:t>882)</w:t>
            </w:r>
          </w:p>
        </w:tc>
        <w:tc>
          <w:tcPr>
            <w:tcW w:w="1853" w:type="dxa"/>
            <w:tcBorders>
              <w:top w:val="nil"/>
              <w:bottom w:val="nil"/>
            </w:tcBorders>
          </w:tcPr>
          <w:p w14:paraId="296A8DCF" w14:textId="66F44CA2"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Pr>
                <w:b/>
                <w:bCs/>
              </w:rPr>
              <w:t>(</w:t>
            </w:r>
            <w:r w:rsidRPr="008B50EE">
              <w:rPr>
                <w:b/>
                <w:bCs/>
              </w:rPr>
              <w:t>21</w:t>
            </w:r>
            <w:r>
              <w:rPr>
                <w:b/>
                <w:bCs/>
              </w:rPr>
              <w:t>.</w:t>
            </w:r>
            <w:r w:rsidRPr="008B50EE">
              <w:rPr>
                <w:b/>
                <w:bCs/>
              </w:rPr>
              <w:t>2</w:t>
            </w:r>
            <w:r>
              <w:rPr>
                <w:b/>
                <w:bCs/>
              </w:rPr>
              <w:t>)</w:t>
            </w:r>
          </w:p>
        </w:tc>
      </w:tr>
      <w:tr w:rsidR="00705ED7" w:rsidRPr="001D6BE8" w14:paraId="47090A1F"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EC5EA35" w14:textId="77777777" w:rsidR="00705ED7" w:rsidRPr="00415FBA" w:rsidRDefault="00705ED7" w:rsidP="00705ED7">
            <w:pPr>
              <w:pStyle w:val="08-Tabelageral"/>
              <w:ind w:left="113"/>
              <w:jc w:val="left"/>
              <w:rPr>
                <w:rFonts w:cs="Arial"/>
                <w:b w:val="0"/>
                <w:snapToGrid w:val="0"/>
              </w:rPr>
            </w:pPr>
            <w:r w:rsidRPr="00415FBA">
              <w:rPr>
                <w:b w:val="0"/>
              </w:rPr>
              <w:t>Personnel expenses</w:t>
            </w:r>
          </w:p>
        </w:tc>
        <w:tc>
          <w:tcPr>
            <w:tcW w:w="1860" w:type="dxa"/>
            <w:tcBorders>
              <w:top w:val="nil"/>
              <w:bottom w:val="nil"/>
            </w:tcBorders>
            <w:vAlign w:val="center"/>
          </w:tcPr>
          <w:p w14:paraId="69B6E990" w14:textId="16AE2FB7"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AA6D51">
              <w:rPr>
                <w:rFonts w:cs="Arial"/>
                <w:szCs w:val="14"/>
                <w:lang w:eastAsia="en-US"/>
              </w:rPr>
              <w:t>(12</w:t>
            </w:r>
            <w:r>
              <w:rPr>
                <w:rFonts w:cs="Arial"/>
                <w:szCs w:val="14"/>
                <w:lang w:eastAsia="en-US"/>
              </w:rPr>
              <w:t>,</w:t>
            </w:r>
            <w:r w:rsidRPr="00AA6D51">
              <w:rPr>
                <w:rFonts w:cs="Arial"/>
                <w:szCs w:val="14"/>
                <w:lang w:eastAsia="en-US"/>
              </w:rPr>
              <w:t>167)</w:t>
            </w:r>
          </w:p>
        </w:tc>
        <w:tc>
          <w:tcPr>
            <w:tcW w:w="1860" w:type="dxa"/>
            <w:tcBorders>
              <w:top w:val="nil"/>
              <w:bottom w:val="nil"/>
            </w:tcBorders>
            <w:vAlign w:val="center"/>
          </w:tcPr>
          <w:p w14:paraId="292B3240" w14:textId="681F184B"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6D51">
              <w:rPr>
                <w:rFonts w:cs="Arial"/>
                <w:szCs w:val="14"/>
                <w:lang w:eastAsia="en-US"/>
              </w:rPr>
              <w:t>(11</w:t>
            </w:r>
            <w:r>
              <w:rPr>
                <w:rFonts w:cs="Arial"/>
                <w:szCs w:val="14"/>
                <w:lang w:eastAsia="en-US"/>
              </w:rPr>
              <w:t>,</w:t>
            </w:r>
            <w:r w:rsidRPr="00AA6D51">
              <w:rPr>
                <w:rFonts w:cs="Arial"/>
                <w:szCs w:val="14"/>
                <w:lang w:eastAsia="en-US"/>
              </w:rPr>
              <w:t>602)</w:t>
            </w:r>
          </w:p>
        </w:tc>
        <w:tc>
          <w:tcPr>
            <w:tcW w:w="1853" w:type="dxa"/>
            <w:tcBorders>
              <w:top w:val="nil"/>
              <w:bottom w:val="nil"/>
            </w:tcBorders>
          </w:tcPr>
          <w:p w14:paraId="79337B2B" w14:textId="61CB12E6"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1A39EB">
              <w:t>4</w:t>
            </w:r>
            <w:r>
              <w:t>.</w:t>
            </w:r>
            <w:r w:rsidRPr="001A39EB">
              <w:t>9</w:t>
            </w:r>
          </w:p>
        </w:tc>
      </w:tr>
      <w:tr w:rsidR="00705ED7" w:rsidRPr="001D6BE8" w14:paraId="064DFB91" w14:textId="77777777" w:rsidTr="00A22043">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0D61783" w14:textId="77777777" w:rsidR="00705ED7" w:rsidRPr="00415FBA" w:rsidRDefault="00705ED7" w:rsidP="00705ED7">
            <w:pPr>
              <w:pStyle w:val="08-Tabelageral"/>
              <w:ind w:left="113"/>
              <w:jc w:val="left"/>
              <w:rPr>
                <w:rFonts w:cs="Arial"/>
                <w:b w:val="0"/>
              </w:rPr>
            </w:pPr>
            <w:r w:rsidRPr="00415FBA">
              <w:rPr>
                <w:b w:val="0"/>
              </w:rPr>
              <w:t>Administrative expenses</w:t>
            </w:r>
          </w:p>
        </w:tc>
        <w:tc>
          <w:tcPr>
            <w:tcW w:w="1860" w:type="dxa"/>
            <w:tcBorders>
              <w:top w:val="nil"/>
              <w:bottom w:val="nil"/>
            </w:tcBorders>
            <w:vAlign w:val="center"/>
          </w:tcPr>
          <w:p w14:paraId="7050C4AB" w14:textId="23C98BC0"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AA6D51">
              <w:rPr>
                <w:rFonts w:cs="Arial"/>
                <w:szCs w:val="14"/>
                <w:lang w:eastAsia="en-US"/>
              </w:rPr>
              <w:t>(3</w:t>
            </w:r>
            <w:r>
              <w:rPr>
                <w:rFonts w:cs="Arial"/>
                <w:szCs w:val="14"/>
                <w:lang w:eastAsia="en-US"/>
              </w:rPr>
              <w:t>,</w:t>
            </w:r>
            <w:r w:rsidRPr="00AA6D51">
              <w:rPr>
                <w:rFonts w:cs="Arial"/>
                <w:szCs w:val="14"/>
                <w:lang w:eastAsia="en-US"/>
              </w:rPr>
              <w:t>152)</w:t>
            </w:r>
          </w:p>
        </w:tc>
        <w:tc>
          <w:tcPr>
            <w:tcW w:w="1860" w:type="dxa"/>
            <w:tcBorders>
              <w:top w:val="nil"/>
              <w:bottom w:val="nil"/>
            </w:tcBorders>
            <w:vAlign w:val="center"/>
          </w:tcPr>
          <w:p w14:paraId="6595CA48" w14:textId="402F5EBC"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6D51">
              <w:rPr>
                <w:rFonts w:cs="Arial"/>
                <w:szCs w:val="14"/>
                <w:lang w:eastAsia="en-US"/>
              </w:rPr>
              <w:t>(3</w:t>
            </w:r>
            <w:r>
              <w:rPr>
                <w:rFonts w:cs="Arial"/>
                <w:szCs w:val="14"/>
                <w:lang w:eastAsia="en-US"/>
              </w:rPr>
              <w:t>,</w:t>
            </w:r>
            <w:r w:rsidRPr="00AA6D51">
              <w:rPr>
                <w:rFonts w:cs="Arial"/>
                <w:szCs w:val="14"/>
                <w:lang w:eastAsia="en-US"/>
              </w:rPr>
              <w:t>096)</w:t>
            </w:r>
          </w:p>
        </w:tc>
        <w:tc>
          <w:tcPr>
            <w:tcW w:w="1853" w:type="dxa"/>
            <w:tcBorders>
              <w:top w:val="nil"/>
              <w:bottom w:val="nil"/>
            </w:tcBorders>
          </w:tcPr>
          <w:p w14:paraId="3E7E173B" w14:textId="28B38DD3"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1A39EB">
              <w:t>1</w:t>
            </w:r>
            <w:r>
              <w:t>.</w:t>
            </w:r>
            <w:r w:rsidRPr="001A39EB">
              <w:t>8</w:t>
            </w:r>
          </w:p>
        </w:tc>
      </w:tr>
      <w:tr w:rsidR="00705ED7" w:rsidRPr="001D6BE8" w14:paraId="6DAD459A" w14:textId="77777777" w:rsidTr="00A22043">
        <w:trPr>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8B8A7F0" w14:textId="77777777" w:rsidR="00705ED7" w:rsidRPr="00415FBA" w:rsidRDefault="00705ED7" w:rsidP="00705ED7">
            <w:pPr>
              <w:pStyle w:val="08-Tabelageral"/>
              <w:ind w:left="113"/>
              <w:jc w:val="left"/>
              <w:rPr>
                <w:rFonts w:cs="Arial"/>
                <w:b w:val="0"/>
              </w:rPr>
            </w:pPr>
            <w:r w:rsidRPr="00415FBA">
              <w:rPr>
                <w:b w:val="0"/>
              </w:rPr>
              <w:t>Tax expenses</w:t>
            </w:r>
          </w:p>
        </w:tc>
        <w:tc>
          <w:tcPr>
            <w:tcW w:w="1860" w:type="dxa"/>
            <w:tcBorders>
              <w:top w:val="nil"/>
              <w:bottom w:val="nil"/>
            </w:tcBorders>
            <w:vAlign w:val="center"/>
          </w:tcPr>
          <w:p w14:paraId="5F0FA037" w14:textId="1048C2D2"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AA6D51">
              <w:rPr>
                <w:rFonts w:cs="Arial"/>
                <w:szCs w:val="14"/>
                <w:lang w:eastAsia="en-US"/>
              </w:rPr>
              <w:t>(2</w:t>
            </w:r>
            <w:r>
              <w:rPr>
                <w:rFonts w:cs="Arial"/>
                <w:szCs w:val="14"/>
                <w:lang w:eastAsia="en-US"/>
              </w:rPr>
              <w:t>,</w:t>
            </w:r>
            <w:r w:rsidRPr="00AA6D51">
              <w:rPr>
                <w:rFonts w:cs="Arial"/>
                <w:szCs w:val="14"/>
                <w:lang w:eastAsia="en-US"/>
              </w:rPr>
              <w:t>083)</w:t>
            </w:r>
          </w:p>
        </w:tc>
        <w:tc>
          <w:tcPr>
            <w:tcW w:w="1860" w:type="dxa"/>
            <w:tcBorders>
              <w:top w:val="nil"/>
              <w:bottom w:val="nil"/>
            </w:tcBorders>
            <w:vAlign w:val="center"/>
          </w:tcPr>
          <w:p w14:paraId="75824BE6" w14:textId="472B9F4A"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6D51">
              <w:rPr>
                <w:rFonts w:cs="Arial"/>
                <w:szCs w:val="14"/>
                <w:lang w:eastAsia="en-US"/>
              </w:rPr>
              <w:t>(3</w:t>
            </w:r>
            <w:r>
              <w:rPr>
                <w:rFonts w:cs="Arial"/>
                <w:szCs w:val="14"/>
                <w:lang w:eastAsia="en-US"/>
              </w:rPr>
              <w:t>,</w:t>
            </w:r>
            <w:r w:rsidRPr="00AA6D51">
              <w:rPr>
                <w:rFonts w:cs="Arial"/>
                <w:szCs w:val="14"/>
                <w:lang w:eastAsia="en-US"/>
              </w:rPr>
              <w:t>645)</w:t>
            </w:r>
          </w:p>
        </w:tc>
        <w:tc>
          <w:tcPr>
            <w:tcW w:w="1853" w:type="dxa"/>
            <w:tcBorders>
              <w:top w:val="nil"/>
              <w:bottom w:val="nil"/>
            </w:tcBorders>
          </w:tcPr>
          <w:p w14:paraId="22A6A24E" w14:textId="48612085"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t>(</w:t>
            </w:r>
            <w:r w:rsidRPr="001A39EB">
              <w:t>42</w:t>
            </w:r>
            <w:r>
              <w:t>.</w:t>
            </w:r>
            <w:r w:rsidRPr="001A39EB">
              <w:t>9</w:t>
            </w:r>
            <w:r>
              <w:t>)</w:t>
            </w:r>
          </w:p>
        </w:tc>
      </w:tr>
      <w:tr w:rsidR="00705ED7" w:rsidRPr="001D6BE8" w14:paraId="63A6BD3E"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B5418C9" w14:textId="77777777" w:rsidR="00705ED7" w:rsidRPr="00415FBA" w:rsidRDefault="00705ED7" w:rsidP="00705ED7">
            <w:pPr>
              <w:pStyle w:val="08-Tabelageral"/>
              <w:ind w:left="113"/>
              <w:jc w:val="left"/>
              <w:rPr>
                <w:rFonts w:cs="Arial"/>
                <w:b w:val="0"/>
                <w:snapToGrid w:val="0"/>
              </w:rPr>
            </w:pPr>
            <w:r w:rsidRPr="00415FBA">
              <w:rPr>
                <w:b w:val="0"/>
              </w:rPr>
              <w:t>Other operating income/(expenses)</w:t>
            </w:r>
          </w:p>
        </w:tc>
        <w:tc>
          <w:tcPr>
            <w:tcW w:w="1860" w:type="dxa"/>
            <w:tcBorders>
              <w:top w:val="nil"/>
              <w:bottom w:val="nil"/>
            </w:tcBorders>
            <w:vAlign w:val="center"/>
          </w:tcPr>
          <w:p w14:paraId="5447A9F7" w14:textId="3631DC7C"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AA6D51">
              <w:rPr>
                <w:rFonts w:cs="Arial"/>
                <w:szCs w:val="14"/>
                <w:lang w:eastAsia="en-US"/>
              </w:rPr>
              <w:t>8</w:t>
            </w:r>
            <w:r>
              <w:rPr>
                <w:rFonts w:cs="Arial"/>
                <w:szCs w:val="14"/>
                <w:lang w:eastAsia="en-US"/>
              </w:rPr>
              <w:t>,</w:t>
            </w:r>
            <w:r w:rsidRPr="00AA6D51">
              <w:rPr>
                <w:rFonts w:cs="Arial"/>
                <w:szCs w:val="14"/>
                <w:lang w:eastAsia="en-US"/>
              </w:rPr>
              <w:t>830</w:t>
            </w:r>
          </w:p>
        </w:tc>
        <w:tc>
          <w:tcPr>
            <w:tcW w:w="1860" w:type="dxa"/>
            <w:tcBorders>
              <w:top w:val="nil"/>
              <w:bottom w:val="nil"/>
            </w:tcBorders>
            <w:vAlign w:val="center"/>
          </w:tcPr>
          <w:p w14:paraId="5C50457E" w14:textId="1F549597"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6D51">
              <w:rPr>
                <w:rFonts w:cs="Arial"/>
                <w:szCs w:val="14"/>
                <w:lang w:eastAsia="en-US"/>
              </w:rPr>
              <w:t>7</w:t>
            </w:r>
            <w:r>
              <w:rPr>
                <w:rFonts w:cs="Arial"/>
                <w:szCs w:val="14"/>
                <w:lang w:eastAsia="en-US"/>
              </w:rPr>
              <w:t>,</w:t>
            </w:r>
            <w:r w:rsidRPr="00AA6D51">
              <w:rPr>
                <w:rFonts w:cs="Arial"/>
                <w:szCs w:val="14"/>
                <w:lang w:eastAsia="en-US"/>
              </w:rPr>
              <w:t>461</w:t>
            </w:r>
          </w:p>
        </w:tc>
        <w:tc>
          <w:tcPr>
            <w:tcW w:w="1853" w:type="dxa"/>
            <w:tcBorders>
              <w:top w:val="nil"/>
              <w:bottom w:val="nil"/>
            </w:tcBorders>
          </w:tcPr>
          <w:p w14:paraId="0E86C7AC" w14:textId="3A6B70C7"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1A39EB">
              <w:t>18</w:t>
            </w:r>
            <w:r>
              <w:t>.</w:t>
            </w:r>
            <w:r w:rsidRPr="001A39EB">
              <w:t>3</w:t>
            </w:r>
          </w:p>
        </w:tc>
      </w:tr>
      <w:tr w:rsidR="00705ED7" w:rsidRPr="001D6BE8" w14:paraId="4B740962"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EB6D05D" w14:textId="77777777" w:rsidR="00705ED7" w:rsidRPr="002A6B1F" w:rsidRDefault="00705ED7" w:rsidP="00705ED7">
            <w:pPr>
              <w:pStyle w:val="08-Tabelageral"/>
              <w:jc w:val="left"/>
              <w:rPr>
                <w:rFonts w:cs="Arial"/>
              </w:rPr>
            </w:pPr>
            <w:r w:rsidRPr="009D1C36">
              <w:t>Net investment income</w:t>
            </w:r>
          </w:p>
        </w:tc>
        <w:tc>
          <w:tcPr>
            <w:tcW w:w="1860" w:type="dxa"/>
            <w:tcBorders>
              <w:top w:val="nil"/>
              <w:bottom w:val="nil"/>
            </w:tcBorders>
            <w:vAlign w:val="center"/>
          </w:tcPr>
          <w:p w14:paraId="16643549" w14:textId="6CBCC4F2"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AA6D51">
              <w:rPr>
                <w:rFonts w:cs="Arial"/>
                <w:b/>
                <w:bCs/>
                <w:szCs w:val="14"/>
                <w:lang w:eastAsia="en-US"/>
              </w:rPr>
              <w:t>22</w:t>
            </w:r>
            <w:r>
              <w:rPr>
                <w:rFonts w:cs="Arial"/>
                <w:b/>
                <w:bCs/>
                <w:szCs w:val="14"/>
                <w:lang w:eastAsia="en-US"/>
              </w:rPr>
              <w:t>,</w:t>
            </w:r>
            <w:r w:rsidRPr="00AA6D51">
              <w:rPr>
                <w:rFonts w:cs="Arial"/>
                <w:b/>
                <w:bCs/>
                <w:szCs w:val="14"/>
                <w:lang w:eastAsia="en-US"/>
              </w:rPr>
              <w:t>901</w:t>
            </w:r>
          </w:p>
        </w:tc>
        <w:tc>
          <w:tcPr>
            <w:tcW w:w="1860" w:type="dxa"/>
            <w:tcBorders>
              <w:top w:val="nil"/>
              <w:bottom w:val="nil"/>
            </w:tcBorders>
            <w:vAlign w:val="center"/>
          </w:tcPr>
          <w:p w14:paraId="1D5CFF86" w14:textId="40419EF6"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AA6D51">
              <w:rPr>
                <w:rFonts w:cs="Arial"/>
                <w:b/>
                <w:bCs/>
                <w:szCs w:val="14"/>
                <w:lang w:eastAsia="en-US"/>
              </w:rPr>
              <w:t>37</w:t>
            </w:r>
            <w:r>
              <w:rPr>
                <w:rFonts w:cs="Arial"/>
                <w:b/>
                <w:bCs/>
                <w:szCs w:val="14"/>
                <w:lang w:eastAsia="en-US"/>
              </w:rPr>
              <w:t>,</w:t>
            </w:r>
            <w:r w:rsidRPr="00AA6D51">
              <w:rPr>
                <w:rFonts w:cs="Arial"/>
                <w:b/>
                <w:bCs/>
                <w:szCs w:val="14"/>
                <w:lang w:eastAsia="en-US"/>
              </w:rPr>
              <w:t>295</w:t>
            </w:r>
          </w:p>
        </w:tc>
        <w:tc>
          <w:tcPr>
            <w:tcW w:w="1853" w:type="dxa"/>
            <w:tcBorders>
              <w:top w:val="nil"/>
              <w:bottom w:val="nil"/>
            </w:tcBorders>
          </w:tcPr>
          <w:p w14:paraId="13C36E88" w14:textId="0BAFFDDC"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Pr>
                <w:b/>
                <w:bCs/>
              </w:rPr>
              <w:t>(</w:t>
            </w:r>
            <w:r w:rsidRPr="008B50EE">
              <w:rPr>
                <w:b/>
                <w:bCs/>
              </w:rPr>
              <w:t>38</w:t>
            </w:r>
            <w:r>
              <w:rPr>
                <w:b/>
                <w:bCs/>
              </w:rPr>
              <w:t>.</w:t>
            </w:r>
            <w:r w:rsidRPr="008B50EE">
              <w:rPr>
                <w:b/>
                <w:bCs/>
              </w:rPr>
              <w:t>6</w:t>
            </w:r>
            <w:r>
              <w:rPr>
                <w:b/>
                <w:bCs/>
              </w:rPr>
              <w:t>)</w:t>
            </w:r>
          </w:p>
        </w:tc>
      </w:tr>
      <w:tr w:rsidR="00705ED7" w:rsidRPr="001D6BE8" w14:paraId="0F66C61B"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D98D45C" w14:textId="77777777" w:rsidR="00705ED7" w:rsidRPr="00415FBA" w:rsidRDefault="00705ED7" w:rsidP="00705ED7">
            <w:pPr>
              <w:pStyle w:val="08-Tabelageral"/>
              <w:ind w:left="113"/>
              <w:jc w:val="left"/>
              <w:rPr>
                <w:rFonts w:cs="Arial"/>
                <w:b w:val="0"/>
              </w:rPr>
            </w:pPr>
            <w:r w:rsidRPr="00415FBA">
              <w:rPr>
                <w:b w:val="0"/>
              </w:rPr>
              <w:t>Investment income</w:t>
            </w:r>
          </w:p>
        </w:tc>
        <w:tc>
          <w:tcPr>
            <w:tcW w:w="1860" w:type="dxa"/>
            <w:tcBorders>
              <w:top w:val="nil"/>
              <w:bottom w:val="nil"/>
            </w:tcBorders>
            <w:vAlign w:val="center"/>
          </w:tcPr>
          <w:p w14:paraId="2B17AC82" w14:textId="261FD8EB"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AA6D51">
              <w:rPr>
                <w:rFonts w:cs="Arial"/>
                <w:bCs/>
                <w:szCs w:val="14"/>
                <w:lang w:eastAsia="en-US"/>
              </w:rPr>
              <w:t>26</w:t>
            </w:r>
            <w:r>
              <w:rPr>
                <w:rFonts w:cs="Arial"/>
                <w:bCs/>
                <w:szCs w:val="14"/>
                <w:lang w:eastAsia="en-US"/>
              </w:rPr>
              <w:t>,</w:t>
            </w:r>
            <w:r w:rsidRPr="00AA6D51">
              <w:rPr>
                <w:rFonts w:cs="Arial"/>
                <w:bCs/>
                <w:szCs w:val="14"/>
                <w:lang w:eastAsia="en-US"/>
              </w:rPr>
              <w:t>992</w:t>
            </w:r>
          </w:p>
        </w:tc>
        <w:tc>
          <w:tcPr>
            <w:tcW w:w="1860" w:type="dxa"/>
            <w:tcBorders>
              <w:top w:val="nil"/>
              <w:bottom w:val="nil"/>
            </w:tcBorders>
            <w:vAlign w:val="center"/>
          </w:tcPr>
          <w:p w14:paraId="4641BDF5" w14:textId="32EC4371"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A6D51">
              <w:rPr>
                <w:rFonts w:cs="Arial"/>
                <w:szCs w:val="14"/>
                <w:lang w:eastAsia="en-US"/>
              </w:rPr>
              <w:t>62</w:t>
            </w:r>
            <w:r>
              <w:rPr>
                <w:rFonts w:cs="Arial"/>
                <w:szCs w:val="14"/>
                <w:lang w:eastAsia="en-US"/>
              </w:rPr>
              <w:t>,</w:t>
            </w:r>
            <w:r w:rsidRPr="00AA6D51">
              <w:rPr>
                <w:rFonts w:cs="Arial"/>
                <w:szCs w:val="14"/>
                <w:lang w:eastAsia="en-US"/>
              </w:rPr>
              <w:t>764</w:t>
            </w:r>
          </w:p>
        </w:tc>
        <w:tc>
          <w:tcPr>
            <w:tcW w:w="1853" w:type="dxa"/>
            <w:tcBorders>
              <w:top w:val="nil"/>
              <w:bottom w:val="nil"/>
            </w:tcBorders>
          </w:tcPr>
          <w:p w14:paraId="63214BD3" w14:textId="207919D0"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t>(</w:t>
            </w:r>
            <w:r w:rsidRPr="001A39EB">
              <w:t>57</w:t>
            </w:r>
            <w:r>
              <w:t>.</w:t>
            </w:r>
            <w:r w:rsidRPr="001A39EB">
              <w:t>0</w:t>
            </w:r>
            <w:r>
              <w:t>)</w:t>
            </w:r>
          </w:p>
        </w:tc>
      </w:tr>
      <w:tr w:rsidR="00705ED7" w:rsidRPr="001D6BE8" w14:paraId="69BD5368"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4CAB539" w14:textId="77777777" w:rsidR="00705ED7" w:rsidRPr="00415FBA" w:rsidRDefault="00705ED7" w:rsidP="00705ED7">
            <w:pPr>
              <w:pStyle w:val="08-Tabelageral"/>
              <w:ind w:left="113"/>
              <w:jc w:val="left"/>
              <w:rPr>
                <w:rFonts w:cs="Arial"/>
                <w:b w:val="0"/>
              </w:rPr>
            </w:pPr>
            <w:r w:rsidRPr="00415FBA">
              <w:rPr>
                <w:b w:val="0"/>
              </w:rPr>
              <w:t>Investment expenses</w:t>
            </w:r>
          </w:p>
        </w:tc>
        <w:tc>
          <w:tcPr>
            <w:tcW w:w="1860" w:type="dxa"/>
            <w:tcBorders>
              <w:top w:val="nil"/>
              <w:bottom w:val="nil"/>
            </w:tcBorders>
            <w:vAlign w:val="center"/>
          </w:tcPr>
          <w:p w14:paraId="1F974D7C" w14:textId="47745651"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AA6D51">
              <w:rPr>
                <w:rFonts w:cs="Arial"/>
                <w:szCs w:val="14"/>
                <w:lang w:eastAsia="en-US"/>
              </w:rPr>
              <w:t>(4</w:t>
            </w:r>
            <w:r>
              <w:rPr>
                <w:rFonts w:cs="Arial"/>
                <w:szCs w:val="14"/>
                <w:lang w:eastAsia="en-US"/>
              </w:rPr>
              <w:t>,</w:t>
            </w:r>
            <w:r w:rsidRPr="00AA6D51">
              <w:rPr>
                <w:rFonts w:cs="Arial"/>
                <w:szCs w:val="14"/>
                <w:lang w:eastAsia="en-US"/>
              </w:rPr>
              <w:t>091)</w:t>
            </w:r>
          </w:p>
        </w:tc>
        <w:tc>
          <w:tcPr>
            <w:tcW w:w="1860" w:type="dxa"/>
            <w:tcBorders>
              <w:top w:val="nil"/>
              <w:bottom w:val="nil"/>
            </w:tcBorders>
            <w:vAlign w:val="center"/>
          </w:tcPr>
          <w:p w14:paraId="0A84589B" w14:textId="52A23973"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6D51">
              <w:rPr>
                <w:rFonts w:cs="Arial"/>
                <w:szCs w:val="14"/>
                <w:lang w:eastAsia="en-US"/>
              </w:rPr>
              <w:t>(25</w:t>
            </w:r>
            <w:r>
              <w:rPr>
                <w:rFonts w:cs="Arial"/>
                <w:szCs w:val="14"/>
                <w:lang w:eastAsia="en-US"/>
              </w:rPr>
              <w:t>,</w:t>
            </w:r>
            <w:r w:rsidRPr="00AA6D51">
              <w:rPr>
                <w:rFonts w:cs="Arial"/>
                <w:szCs w:val="14"/>
                <w:lang w:eastAsia="en-US"/>
              </w:rPr>
              <w:t>469)</w:t>
            </w:r>
          </w:p>
        </w:tc>
        <w:tc>
          <w:tcPr>
            <w:tcW w:w="1853" w:type="dxa"/>
            <w:tcBorders>
              <w:top w:val="nil"/>
              <w:bottom w:val="nil"/>
            </w:tcBorders>
          </w:tcPr>
          <w:p w14:paraId="1247DB86" w14:textId="0FD7B94D"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t>(</w:t>
            </w:r>
            <w:r w:rsidRPr="001A39EB">
              <w:t>83</w:t>
            </w:r>
            <w:r>
              <w:t>.</w:t>
            </w:r>
            <w:r w:rsidRPr="001A39EB">
              <w:t>9</w:t>
            </w:r>
            <w:r>
              <w:t>)</w:t>
            </w:r>
          </w:p>
        </w:tc>
      </w:tr>
      <w:tr w:rsidR="00705ED7" w:rsidRPr="001D6BE8" w14:paraId="0EDDF3B8"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F35B1AC" w14:textId="77777777" w:rsidR="00705ED7" w:rsidRPr="002A6B1F" w:rsidRDefault="00705ED7" w:rsidP="00705ED7">
            <w:pPr>
              <w:pStyle w:val="08-Tabelageral"/>
              <w:jc w:val="left"/>
              <w:rPr>
                <w:rFonts w:cs="Arial"/>
                <w:snapToGrid w:val="0"/>
              </w:rPr>
            </w:pPr>
            <w:r w:rsidRPr="009D1C36">
              <w:t>Earnings before taxes</w:t>
            </w:r>
          </w:p>
        </w:tc>
        <w:tc>
          <w:tcPr>
            <w:tcW w:w="1860" w:type="dxa"/>
            <w:tcBorders>
              <w:top w:val="nil"/>
              <w:bottom w:val="nil"/>
            </w:tcBorders>
            <w:vAlign w:val="center"/>
          </w:tcPr>
          <w:p w14:paraId="69EDD4BF" w14:textId="35D71CA6"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sidRPr="00AA6D51">
              <w:rPr>
                <w:rFonts w:cs="Arial"/>
                <w:b/>
                <w:bCs/>
                <w:szCs w:val="14"/>
                <w:lang w:eastAsia="en-US"/>
              </w:rPr>
              <w:t>3</w:t>
            </w:r>
            <w:r>
              <w:rPr>
                <w:rFonts w:cs="Arial"/>
                <w:b/>
                <w:bCs/>
                <w:szCs w:val="14"/>
                <w:lang w:eastAsia="en-US"/>
              </w:rPr>
              <w:t>,</w:t>
            </w:r>
            <w:r w:rsidRPr="00AA6D51">
              <w:rPr>
                <w:rFonts w:cs="Arial"/>
                <w:b/>
                <w:bCs/>
                <w:szCs w:val="14"/>
                <w:lang w:eastAsia="en-US"/>
              </w:rPr>
              <w:t>937</w:t>
            </w:r>
            <w:r>
              <w:rPr>
                <w:rFonts w:cs="Arial"/>
                <w:b/>
                <w:bCs/>
                <w:szCs w:val="14"/>
                <w:lang w:eastAsia="en-US"/>
              </w:rPr>
              <w:t>,</w:t>
            </w:r>
            <w:r w:rsidRPr="00AA6D51">
              <w:rPr>
                <w:rFonts w:cs="Arial"/>
                <w:b/>
                <w:bCs/>
                <w:szCs w:val="14"/>
                <w:lang w:eastAsia="en-US"/>
              </w:rPr>
              <w:t>922</w:t>
            </w:r>
          </w:p>
        </w:tc>
        <w:tc>
          <w:tcPr>
            <w:tcW w:w="1860" w:type="dxa"/>
            <w:tcBorders>
              <w:top w:val="nil"/>
              <w:bottom w:val="nil"/>
            </w:tcBorders>
            <w:vAlign w:val="center"/>
          </w:tcPr>
          <w:p w14:paraId="6407853E" w14:textId="6ECE68D4"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D51">
              <w:rPr>
                <w:rFonts w:cs="Arial"/>
                <w:b/>
                <w:bCs/>
                <w:szCs w:val="14"/>
                <w:lang w:eastAsia="en-US"/>
              </w:rPr>
              <w:t>3</w:t>
            </w:r>
            <w:r>
              <w:rPr>
                <w:rFonts w:cs="Arial"/>
                <w:b/>
                <w:bCs/>
                <w:szCs w:val="14"/>
                <w:lang w:eastAsia="en-US"/>
              </w:rPr>
              <w:t>,</w:t>
            </w:r>
            <w:r w:rsidRPr="00AA6D51">
              <w:rPr>
                <w:rFonts w:cs="Arial"/>
                <w:b/>
                <w:bCs/>
                <w:szCs w:val="14"/>
                <w:lang w:eastAsia="en-US"/>
              </w:rPr>
              <w:t>859</w:t>
            </w:r>
            <w:r>
              <w:rPr>
                <w:rFonts w:cs="Arial"/>
                <w:b/>
                <w:bCs/>
                <w:szCs w:val="14"/>
                <w:lang w:eastAsia="en-US"/>
              </w:rPr>
              <w:t>,</w:t>
            </w:r>
            <w:r w:rsidRPr="00AA6D51">
              <w:rPr>
                <w:rFonts w:cs="Arial"/>
                <w:b/>
                <w:bCs/>
                <w:szCs w:val="14"/>
                <w:lang w:eastAsia="en-US"/>
              </w:rPr>
              <w:t>797</w:t>
            </w:r>
          </w:p>
        </w:tc>
        <w:tc>
          <w:tcPr>
            <w:tcW w:w="1853" w:type="dxa"/>
            <w:tcBorders>
              <w:top w:val="nil"/>
              <w:bottom w:val="nil"/>
            </w:tcBorders>
          </w:tcPr>
          <w:p w14:paraId="0F8F7DE8" w14:textId="47C42DE1"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sidRPr="008B50EE">
              <w:rPr>
                <w:b/>
                <w:bCs/>
              </w:rPr>
              <w:t>2</w:t>
            </w:r>
            <w:r>
              <w:rPr>
                <w:b/>
                <w:bCs/>
              </w:rPr>
              <w:t>.</w:t>
            </w:r>
            <w:r w:rsidRPr="008B50EE">
              <w:rPr>
                <w:b/>
                <w:bCs/>
              </w:rPr>
              <w:t>0</w:t>
            </w:r>
          </w:p>
        </w:tc>
      </w:tr>
      <w:tr w:rsidR="00705ED7" w:rsidRPr="001D6BE8" w14:paraId="014C73B9"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3DB836D" w14:textId="77777777" w:rsidR="00705ED7" w:rsidRPr="00415FBA" w:rsidRDefault="00705ED7" w:rsidP="00705ED7">
            <w:pPr>
              <w:pStyle w:val="08-Tabelageral"/>
              <w:ind w:left="113"/>
              <w:jc w:val="left"/>
              <w:rPr>
                <w:rFonts w:cs="Arial"/>
                <w:b w:val="0"/>
                <w:snapToGrid w:val="0"/>
              </w:rPr>
            </w:pPr>
            <w:r w:rsidRPr="00415FBA">
              <w:rPr>
                <w:b w:val="0"/>
              </w:rPr>
              <w:t>Taxes</w:t>
            </w:r>
          </w:p>
        </w:tc>
        <w:tc>
          <w:tcPr>
            <w:tcW w:w="1860" w:type="dxa"/>
            <w:tcBorders>
              <w:top w:val="nil"/>
              <w:bottom w:val="nil"/>
            </w:tcBorders>
            <w:vAlign w:val="center"/>
          </w:tcPr>
          <w:p w14:paraId="474DE588" w14:textId="173B3407"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AA6D51">
              <w:rPr>
                <w:rFonts w:cs="Arial"/>
                <w:szCs w:val="14"/>
                <w:lang w:eastAsia="en-US"/>
              </w:rPr>
              <w:t>(4</w:t>
            </w:r>
            <w:r>
              <w:rPr>
                <w:rFonts w:cs="Arial"/>
                <w:szCs w:val="14"/>
                <w:lang w:eastAsia="en-US"/>
              </w:rPr>
              <w:t>,</w:t>
            </w:r>
            <w:r w:rsidRPr="00AA6D51">
              <w:rPr>
                <w:rFonts w:cs="Arial"/>
                <w:szCs w:val="14"/>
                <w:lang w:eastAsia="en-US"/>
              </w:rPr>
              <w:t>705)</w:t>
            </w:r>
          </w:p>
        </w:tc>
        <w:tc>
          <w:tcPr>
            <w:tcW w:w="1860" w:type="dxa"/>
            <w:tcBorders>
              <w:top w:val="nil"/>
              <w:bottom w:val="nil"/>
            </w:tcBorders>
            <w:vAlign w:val="center"/>
          </w:tcPr>
          <w:p w14:paraId="126B72D8" w14:textId="383E278F" w:rsidR="00705ED7" w:rsidRPr="002A6B1F"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A6D51">
              <w:rPr>
                <w:rFonts w:cs="Arial"/>
                <w:szCs w:val="14"/>
                <w:lang w:eastAsia="en-US"/>
              </w:rPr>
              <w:t>(9</w:t>
            </w:r>
            <w:r>
              <w:rPr>
                <w:rFonts w:cs="Arial"/>
                <w:szCs w:val="14"/>
                <w:lang w:eastAsia="en-US"/>
              </w:rPr>
              <w:t>,</w:t>
            </w:r>
            <w:r w:rsidRPr="00AA6D51">
              <w:rPr>
                <w:rFonts w:cs="Arial"/>
                <w:szCs w:val="14"/>
                <w:lang w:eastAsia="en-US"/>
              </w:rPr>
              <w:t>026)</w:t>
            </w:r>
          </w:p>
        </w:tc>
        <w:tc>
          <w:tcPr>
            <w:tcW w:w="1853" w:type="dxa"/>
            <w:tcBorders>
              <w:top w:val="nil"/>
              <w:bottom w:val="nil"/>
            </w:tcBorders>
          </w:tcPr>
          <w:p w14:paraId="3F21732E" w14:textId="260D7EDA" w:rsidR="00705ED7" w:rsidRPr="00AF7632" w:rsidRDefault="00705ED7" w:rsidP="00705ED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t>(</w:t>
            </w:r>
            <w:r w:rsidRPr="001A39EB">
              <w:t>47</w:t>
            </w:r>
            <w:r>
              <w:t>.</w:t>
            </w:r>
            <w:r w:rsidRPr="001A39EB">
              <w:t>9</w:t>
            </w:r>
            <w:r>
              <w:t>)</w:t>
            </w:r>
          </w:p>
        </w:tc>
      </w:tr>
      <w:tr w:rsidR="00705ED7" w:rsidRPr="001D6BE8" w14:paraId="4BAD0DDC"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9CC2E5" w:themeColor="accent1" w:themeTint="99"/>
            </w:tcBorders>
          </w:tcPr>
          <w:p w14:paraId="6D0022AC" w14:textId="77777777" w:rsidR="00705ED7" w:rsidRPr="002A6B1F" w:rsidRDefault="00705ED7" w:rsidP="00705ED7">
            <w:pPr>
              <w:pStyle w:val="08-Tabelageral"/>
              <w:jc w:val="left"/>
              <w:rPr>
                <w:rFonts w:cs="Arial"/>
                <w:snapToGrid w:val="0"/>
              </w:rPr>
            </w:pPr>
            <w:r w:rsidRPr="009D1C36">
              <w:t xml:space="preserve">Net income </w:t>
            </w:r>
          </w:p>
        </w:tc>
        <w:tc>
          <w:tcPr>
            <w:tcW w:w="1860" w:type="dxa"/>
            <w:tcBorders>
              <w:top w:val="nil"/>
              <w:bottom w:val="single" w:sz="4" w:space="0" w:color="9CC2E5" w:themeColor="accent1" w:themeTint="99"/>
            </w:tcBorders>
            <w:vAlign w:val="center"/>
          </w:tcPr>
          <w:p w14:paraId="393F0F9B" w14:textId="27244B22"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sidRPr="00AA6D51">
              <w:rPr>
                <w:rFonts w:cs="Arial"/>
                <w:b/>
                <w:bCs/>
                <w:szCs w:val="14"/>
                <w:lang w:eastAsia="en-US"/>
              </w:rPr>
              <w:t>3</w:t>
            </w:r>
            <w:r>
              <w:rPr>
                <w:rFonts w:cs="Arial"/>
                <w:b/>
                <w:bCs/>
                <w:szCs w:val="14"/>
                <w:lang w:eastAsia="en-US"/>
              </w:rPr>
              <w:t>,</w:t>
            </w:r>
            <w:r w:rsidRPr="00AA6D51">
              <w:rPr>
                <w:rFonts w:cs="Arial"/>
                <w:b/>
                <w:bCs/>
                <w:szCs w:val="14"/>
                <w:lang w:eastAsia="en-US"/>
              </w:rPr>
              <w:t>933</w:t>
            </w:r>
            <w:r>
              <w:rPr>
                <w:rFonts w:cs="Arial"/>
                <w:b/>
                <w:bCs/>
                <w:szCs w:val="14"/>
                <w:lang w:eastAsia="en-US"/>
              </w:rPr>
              <w:t>,</w:t>
            </w:r>
            <w:r w:rsidRPr="00AA6D51">
              <w:rPr>
                <w:rFonts w:cs="Arial"/>
                <w:b/>
                <w:bCs/>
                <w:szCs w:val="14"/>
                <w:lang w:eastAsia="en-US"/>
              </w:rPr>
              <w:t>217</w:t>
            </w:r>
          </w:p>
        </w:tc>
        <w:tc>
          <w:tcPr>
            <w:tcW w:w="1860" w:type="dxa"/>
            <w:tcBorders>
              <w:top w:val="nil"/>
              <w:bottom w:val="single" w:sz="4" w:space="0" w:color="9CC2E5" w:themeColor="accent1" w:themeTint="99"/>
            </w:tcBorders>
            <w:vAlign w:val="center"/>
          </w:tcPr>
          <w:p w14:paraId="43467AB6" w14:textId="4AB69B83" w:rsidR="00705ED7" w:rsidRPr="002A6B1F"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D51">
              <w:rPr>
                <w:rFonts w:cs="Arial"/>
                <w:b/>
                <w:bCs/>
                <w:szCs w:val="14"/>
                <w:lang w:eastAsia="en-US"/>
              </w:rPr>
              <w:t>3</w:t>
            </w:r>
            <w:r>
              <w:rPr>
                <w:rFonts w:cs="Arial"/>
                <w:b/>
                <w:bCs/>
                <w:szCs w:val="14"/>
                <w:lang w:eastAsia="en-US"/>
              </w:rPr>
              <w:t>,</w:t>
            </w:r>
            <w:r w:rsidRPr="00AA6D51">
              <w:rPr>
                <w:rFonts w:cs="Arial"/>
                <w:b/>
                <w:bCs/>
                <w:szCs w:val="14"/>
                <w:lang w:eastAsia="en-US"/>
              </w:rPr>
              <w:t>850</w:t>
            </w:r>
            <w:r>
              <w:rPr>
                <w:rFonts w:cs="Arial"/>
                <w:b/>
                <w:bCs/>
                <w:szCs w:val="14"/>
                <w:lang w:eastAsia="en-US"/>
              </w:rPr>
              <w:t>,</w:t>
            </w:r>
            <w:r w:rsidRPr="00AA6D51">
              <w:rPr>
                <w:rFonts w:cs="Arial"/>
                <w:b/>
                <w:bCs/>
                <w:szCs w:val="14"/>
                <w:lang w:eastAsia="en-US"/>
              </w:rPr>
              <w:t>771</w:t>
            </w:r>
          </w:p>
        </w:tc>
        <w:tc>
          <w:tcPr>
            <w:tcW w:w="1853" w:type="dxa"/>
            <w:tcBorders>
              <w:top w:val="nil"/>
              <w:bottom w:val="single" w:sz="4" w:space="0" w:color="9CC2E5" w:themeColor="accent1" w:themeTint="99"/>
            </w:tcBorders>
          </w:tcPr>
          <w:p w14:paraId="01DE63F3" w14:textId="1407B48D" w:rsidR="00705ED7" w:rsidRPr="00AF7632" w:rsidRDefault="00705ED7" w:rsidP="00705ED7">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sidRPr="008B50EE">
              <w:rPr>
                <w:b/>
                <w:bCs/>
              </w:rPr>
              <w:t>2</w:t>
            </w:r>
            <w:r>
              <w:rPr>
                <w:b/>
                <w:bCs/>
              </w:rPr>
              <w:t>.</w:t>
            </w:r>
            <w:r w:rsidRPr="008B50EE">
              <w:rPr>
                <w:b/>
                <w:bCs/>
              </w:rPr>
              <w:t>1</w:t>
            </w:r>
          </w:p>
        </w:tc>
      </w:tr>
    </w:tbl>
    <w:p w14:paraId="1FA2B4B5" w14:textId="5A6C5574" w:rsidR="00A63664" w:rsidRDefault="00A63664" w:rsidP="00585263">
      <w:pPr>
        <w:pStyle w:val="01-Textonormal"/>
        <w:rPr>
          <w:lang w:val="en-US"/>
        </w:rPr>
      </w:pPr>
    </w:p>
    <w:p w14:paraId="0917175D" w14:textId="3D8DFA76" w:rsidR="00A63664" w:rsidRDefault="00A63664" w:rsidP="00585263">
      <w:pPr>
        <w:pStyle w:val="01-Textonormal"/>
        <w:rPr>
          <w:lang w:val="en-US"/>
        </w:rPr>
      </w:pPr>
      <w:r>
        <w:rPr>
          <w:lang w:val="en-US"/>
        </w:rPr>
        <w:t>In 2021, the net income reached R$3,933.2 million, up 2.1% YoY. In 2020, there was an extraordinary event that affected the earnings, as explained below:</w:t>
      </w:r>
    </w:p>
    <w:p w14:paraId="2989998E" w14:textId="242EBC5C" w:rsidR="00585263" w:rsidRDefault="00A63664" w:rsidP="00585263">
      <w:pPr>
        <w:pStyle w:val="01-Textonormal"/>
      </w:pPr>
      <w:r w:rsidRPr="00A63664">
        <w:rPr>
          <w:b/>
          <w:bCs/>
        </w:rPr>
        <w:t>BB Corretora – donation against Covid-19:</w:t>
      </w:r>
      <w:r w:rsidRPr="00A63664">
        <w:t xml:space="preserve"> in order to help the society with the responses to the impact of the pandemic, the Board of Directors approved a donation capped at R$40 million by BB Corretora to Banco do Brasil Foundation (FBB), with the exclusive purpose of acquiring food and hygiene, cleaning and personal protection supply necessary for the social aid to the most affected people. </w:t>
      </w:r>
      <w:r>
        <w:t xml:space="preserve">It was disbursed R$37.9 million in the 1H20 and R$2.1 million in </w:t>
      </w:r>
      <w:r w:rsidRPr="00A63664">
        <w:t>in July and August</w:t>
      </w:r>
      <w:r>
        <w:t xml:space="preserve"> of that year</w:t>
      </w:r>
      <w:r w:rsidRPr="00A63664">
        <w:t xml:space="preserve">. </w:t>
      </w:r>
      <w:r>
        <w:t>The t</w:t>
      </w:r>
      <w:r w:rsidRPr="00A63664">
        <w:t>otal impact to the net income was of R$26.4 million.</w:t>
      </w:r>
    </w:p>
    <w:p w14:paraId="2E638095" w14:textId="41556970" w:rsidR="00591873" w:rsidRDefault="00591873" w:rsidP="00C81A16">
      <w:pPr>
        <w:pStyle w:val="01-Textonormal"/>
      </w:pPr>
    </w:p>
    <w:p w14:paraId="0129AFE0" w14:textId="77777777" w:rsidR="00705ED7" w:rsidRDefault="00705ED7" w:rsidP="00705ED7">
      <w:pPr>
        <w:pStyle w:val="01-Textonormal"/>
        <w:rPr>
          <w:rFonts w:cs="Arial"/>
        </w:rPr>
      </w:pPr>
      <w:r w:rsidRPr="009E060D">
        <w:rPr>
          <w:rFonts w:cs="Arial"/>
          <w:sz w:val="14"/>
          <w:szCs w:val="14"/>
        </w:rPr>
        <w:t>Tab</w:t>
      </w:r>
      <w:r>
        <w:rPr>
          <w:rFonts w:cs="Arial"/>
          <w:sz w:val="14"/>
          <w:szCs w:val="14"/>
        </w:rPr>
        <w:t xml:space="preserve">le </w:t>
      </w:r>
      <w:r w:rsidRPr="009E060D">
        <w:rPr>
          <w:rFonts w:cs="Arial"/>
          <w:b/>
          <w:sz w:val="14"/>
          <w:szCs w:val="14"/>
        </w:rPr>
        <w:fldChar w:fldCharType="begin"/>
      </w:r>
      <w:r w:rsidRPr="009E060D">
        <w:rPr>
          <w:rFonts w:cs="Arial"/>
          <w:sz w:val="14"/>
          <w:szCs w:val="14"/>
        </w:rPr>
        <w:instrText xml:space="preserve"> SEQ Tabela \* ARABIC </w:instrText>
      </w:r>
      <w:r w:rsidRPr="009E060D">
        <w:rPr>
          <w:rFonts w:cs="Arial"/>
          <w:b/>
          <w:sz w:val="14"/>
          <w:szCs w:val="14"/>
        </w:rPr>
        <w:fldChar w:fldCharType="separate"/>
      </w:r>
      <w:r>
        <w:rPr>
          <w:rFonts w:cs="Arial"/>
          <w:noProof/>
          <w:sz w:val="14"/>
          <w:szCs w:val="14"/>
        </w:rPr>
        <w:t>2</w:t>
      </w:r>
      <w:r w:rsidRPr="009E060D">
        <w:rPr>
          <w:rFonts w:cs="Arial"/>
          <w:b/>
          <w:noProof/>
          <w:sz w:val="14"/>
          <w:szCs w:val="14"/>
        </w:rPr>
        <w:fldChar w:fldCharType="end"/>
      </w:r>
      <w:r w:rsidRPr="002A6B1F">
        <w:rPr>
          <w:sz w:val="14"/>
        </w:rPr>
        <w:t xml:space="preserve"> –</w:t>
      </w:r>
      <w:r>
        <w:rPr>
          <w:sz w:val="14"/>
        </w:rPr>
        <w:t xml:space="preserve"> Extraordinary Events</w:t>
      </w:r>
    </w:p>
    <w:tbl>
      <w:tblPr>
        <w:tblStyle w:val="TabeladeLista6Colorida-nfase5"/>
        <w:tblW w:w="9639" w:type="dxa"/>
        <w:tblLook w:val="04A0" w:firstRow="1" w:lastRow="0" w:firstColumn="1" w:lastColumn="0" w:noHBand="0" w:noVBand="1"/>
      </w:tblPr>
      <w:tblGrid>
        <w:gridCol w:w="4066"/>
        <w:gridCol w:w="1860"/>
        <w:gridCol w:w="1860"/>
        <w:gridCol w:w="1853"/>
      </w:tblGrid>
      <w:tr w:rsidR="00705ED7" w:rsidRPr="00201B3F" w14:paraId="748F3461" w14:textId="77777777" w:rsidTr="00A2204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374CE5A3" w14:textId="61755954" w:rsidR="00705ED7" w:rsidRPr="00201B3F" w:rsidRDefault="003D0387" w:rsidP="00A22043">
            <w:pPr>
              <w:pStyle w:val="08-Tabelageral"/>
              <w:jc w:val="left"/>
              <w:rPr>
                <w:rFonts w:cs="Arial"/>
              </w:rPr>
            </w:pPr>
            <w:r>
              <w:rPr>
                <w:rFonts w:cs="Arial"/>
              </w:rPr>
              <w:t>BRL thousand</w:t>
            </w:r>
          </w:p>
        </w:tc>
        <w:tc>
          <w:tcPr>
            <w:tcW w:w="3720" w:type="dxa"/>
            <w:gridSpan w:val="2"/>
            <w:tcBorders>
              <w:top w:val="single" w:sz="2" w:space="0" w:color="8EAADB" w:themeColor="accent5" w:themeTint="99"/>
              <w:bottom w:val="nil"/>
            </w:tcBorders>
            <w:shd w:val="clear" w:color="auto" w:fill="D9E2F3" w:themeFill="accent5" w:themeFillTint="33"/>
            <w:vAlign w:val="center"/>
          </w:tcPr>
          <w:p w14:paraId="1C128013" w14:textId="77777777" w:rsidR="00705ED7" w:rsidRPr="009C4EEC" w:rsidRDefault="00705ED7" w:rsidP="00A2204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Pr>
                <w:rFonts w:cs="Arial"/>
              </w:rPr>
              <w:t>Controller</w:t>
            </w:r>
          </w:p>
        </w:tc>
        <w:tc>
          <w:tcPr>
            <w:tcW w:w="1853" w:type="dxa"/>
            <w:vMerge w:val="restart"/>
            <w:tcBorders>
              <w:top w:val="single" w:sz="2" w:space="0" w:color="8EAADB" w:themeColor="accent5" w:themeTint="99"/>
            </w:tcBorders>
            <w:shd w:val="clear" w:color="auto" w:fill="D9E2F3" w:themeFill="accent5" w:themeFillTint="33"/>
            <w:vAlign w:val="center"/>
          </w:tcPr>
          <w:p w14:paraId="0CC82063" w14:textId="77777777" w:rsidR="00705ED7" w:rsidRPr="00201B3F" w:rsidRDefault="00705ED7" w:rsidP="00A2204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2A6B1F">
              <w:rPr>
                <w:rFonts w:cs="Arial"/>
              </w:rPr>
              <w:t>Var.%</w:t>
            </w:r>
          </w:p>
        </w:tc>
      </w:tr>
      <w:tr w:rsidR="00705ED7" w:rsidRPr="001D6BE8" w14:paraId="0E7476F6"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34D952D8" w14:textId="77777777" w:rsidR="00705ED7" w:rsidRPr="00C806B0" w:rsidRDefault="00705ED7" w:rsidP="00A22043">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104BE7A3" w14:textId="1A89DE74" w:rsidR="00705ED7" w:rsidRPr="00B13B33" w:rsidRDefault="00DB0403" w:rsidP="00A2204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2021</w:t>
            </w:r>
          </w:p>
        </w:tc>
        <w:tc>
          <w:tcPr>
            <w:tcW w:w="1860" w:type="dxa"/>
            <w:tcBorders>
              <w:top w:val="nil"/>
              <w:bottom w:val="single" w:sz="2" w:space="0" w:color="8EAADB" w:themeColor="accent5" w:themeTint="99"/>
            </w:tcBorders>
            <w:vAlign w:val="center"/>
          </w:tcPr>
          <w:p w14:paraId="4B021069" w14:textId="4AFE11B4" w:rsidR="00705ED7" w:rsidRPr="00B13B33" w:rsidRDefault="00705ED7" w:rsidP="00A2204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w:t>
            </w:r>
            <w:r w:rsidR="00DB0403">
              <w:rPr>
                <w:rFonts w:cs="Arial"/>
                <w:b/>
              </w:rPr>
              <w:t>20</w:t>
            </w:r>
          </w:p>
        </w:tc>
        <w:tc>
          <w:tcPr>
            <w:tcW w:w="1853" w:type="dxa"/>
            <w:vMerge/>
            <w:tcBorders>
              <w:bottom w:val="single" w:sz="2" w:space="0" w:color="8EAADB" w:themeColor="accent5" w:themeTint="99"/>
            </w:tcBorders>
            <w:vAlign w:val="center"/>
          </w:tcPr>
          <w:p w14:paraId="293C6ED4" w14:textId="77777777" w:rsidR="00705ED7" w:rsidRPr="002A6B1F" w:rsidRDefault="00705ED7" w:rsidP="00A2204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DB0403" w:rsidRPr="001D6BE8" w14:paraId="4D125015" w14:textId="77777777" w:rsidTr="00A22043">
        <w:trPr>
          <w:trHeight w:hRule="exact" w:val="35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25047AD5" w14:textId="77777777" w:rsidR="00DB0403" w:rsidRPr="002A6B1F" w:rsidRDefault="00DB0403" w:rsidP="00DB0403">
            <w:pPr>
              <w:pStyle w:val="08-Tabelageral"/>
              <w:jc w:val="left"/>
              <w:rPr>
                <w:rFonts w:cs="Arial"/>
                <w:snapToGrid w:val="0"/>
              </w:rPr>
            </w:pPr>
            <w:r>
              <w:rPr>
                <w:rFonts w:cs="Arial"/>
              </w:rPr>
              <w:t>Adjusted net income</w:t>
            </w:r>
          </w:p>
        </w:tc>
        <w:tc>
          <w:tcPr>
            <w:tcW w:w="1860" w:type="dxa"/>
            <w:tcBorders>
              <w:top w:val="single" w:sz="2" w:space="0" w:color="8EAADB" w:themeColor="accent5" w:themeTint="99"/>
              <w:bottom w:val="nil"/>
            </w:tcBorders>
            <w:vAlign w:val="center"/>
          </w:tcPr>
          <w:p w14:paraId="37E91173" w14:textId="1171BC4A" w:rsidR="00DB0403" w:rsidRPr="0066080B" w:rsidRDefault="00DB0403" w:rsidP="00DB0403">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000000"/>
                <w:szCs w:val="14"/>
                <w:lang w:eastAsia="en-US"/>
              </w:rPr>
              <w:t>3,933,217</w:t>
            </w:r>
          </w:p>
        </w:tc>
        <w:tc>
          <w:tcPr>
            <w:tcW w:w="1860" w:type="dxa"/>
            <w:tcBorders>
              <w:top w:val="single" w:sz="2" w:space="0" w:color="8EAADB" w:themeColor="accent5" w:themeTint="99"/>
              <w:bottom w:val="nil"/>
            </w:tcBorders>
            <w:vAlign w:val="center"/>
          </w:tcPr>
          <w:p w14:paraId="034F3AFA" w14:textId="7601B0D1" w:rsidR="00DB0403" w:rsidRPr="002A6B1F" w:rsidRDefault="00DB0403" w:rsidP="00DB040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B50EE">
              <w:rPr>
                <w:rFonts w:cs="Arial"/>
                <w:b/>
                <w:bCs/>
                <w:color w:val="000000"/>
                <w:szCs w:val="14"/>
                <w:lang w:eastAsia="en-US"/>
              </w:rPr>
              <w:t>3</w:t>
            </w:r>
            <w:r>
              <w:rPr>
                <w:rFonts w:cs="Arial"/>
                <w:b/>
                <w:bCs/>
                <w:color w:val="000000"/>
                <w:szCs w:val="14"/>
                <w:lang w:eastAsia="en-US"/>
              </w:rPr>
              <w:t>,</w:t>
            </w:r>
            <w:r w:rsidRPr="008B50EE">
              <w:rPr>
                <w:rFonts w:cs="Arial"/>
                <w:b/>
                <w:bCs/>
                <w:color w:val="000000"/>
                <w:szCs w:val="14"/>
                <w:lang w:eastAsia="en-US"/>
              </w:rPr>
              <w:t>877</w:t>
            </w:r>
            <w:r>
              <w:rPr>
                <w:rFonts w:cs="Arial"/>
                <w:b/>
                <w:bCs/>
                <w:color w:val="000000"/>
                <w:szCs w:val="14"/>
                <w:lang w:eastAsia="en-US"/>
              </w:rPr>
              <w:t>,</w:t>
            </w:r>
            <w:r w:rsidRPr="008B50EE">
              <w:rPr>
                <w:rFonts w:cs="Arial"/>
                <w:b/>
                <w:bCs/>
                <w:color w:val="000000"/>
                <w:szCs w:val="14"/>
                <w:lang w:eastAsia="en-US"/>
              </w:rPr>
              <w:t>171</w:t>
            </w:r>
          </w:p>
        </w:tc>
        <w:tc>
          <w:tcPr>
            <w:tcW w:w="1853" w:type="dxa"/>
            <w:tcBorders>
              <w:top w:val="single" w:sz="2" w:space="0" w:color="8EAADB" w:themeColor="accent5" w:themeTint="99"/>
              <w:bottom w:val="nil"/>
            </w:tcBorders>
            <w:vAlign w:val="center"/>
          </w:tcPr>
          <w:p w14:paraId="11964644" w14:textId="2CA1CDE9" w:rsidR="00DB0403" w:rsidRPr="00605543" w:rsidRDefault="00DB0403" w:rsidP="00DB0403">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szCs w:val="14"/>
                <w:lang w:eastAsia="en-US"/>
              </w:rPr>
              <w:t>1.4</w:t>
            </w:r>
          </w:p>
        </w:tc>
      </w:tr>
      <w:tr w:rsidR="00DB0403" w:rsidRPr="001D6BE8" w14:paraId="3CA2C6A4" w14:textId="77777777" w:rsidTr="00A2204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2971B02" w14:textId="77777777" w:rsidR="00DB0403" w:rsidRPr="00675F21" w:rsidRDefault="00DB0403" w:rsidP="00DB0403">
            <w:pPr>
              <w:pStyle w:val="08-Tabelageral"/>
              <w:ind w:left="113"/>
              <w:jc w:val="left"/>
              <w:rPr>
                <w:rFonts w:cs="Arial"/>
                <w:snapToGrid w:val="0"/>
              </w:rPr>
            </w:pPr>
            <w:r>
              <w:rPr>
                <w:rFonts w:cs="Arial"/>
              </w:rPr>
              <w:t>Extraordinary events</w:t>
            </w:r>
          </w:p>
        </w:tc>
        <w:tc>
          <w:tcPr>
            <w:tcW w:w="1860" w:type="dxa"/>
            <w:tcBorders>
              <w:top w:val="nil"/>
              <w:bottom w:val="nil"/>
            </w:tcBorders>
            <w:vAlign w:val="center"/>
          </w:tcPr>
          <w:p w14:paraId="09F3EC5A" w14:textId="60D8EA7C" w:rsidR="00DB0403" w:rsidRPr="00BA653A" w:rsidRDefault="00DB0403" w:rsidP="00DB0403">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szCs w:val="14"/>
                <w:lang w:eastAsia="en-US"/>
              </w:rPr>
              <w:t>-</w:t>
            </w:r>
          </w:p>
        </w:tc>
        <w:tc>
          <w:tcPr>
            <w:tcW w:w="1860" w:type="dxa"/>
            <w:tcBorders>
              <w:top w:val="nil"/>
              <w:bottom w:val="nil"/>
            </w:tcBorders>
            <w:vAlign w:val="center"/>
          </w:tcPr>
          <w:p w14:paraId="6DBEFD41" w14:textId="41450438" w:rsidR="00DB0403" w:rsidRPr="00BA653A" w:rsidRDefault="00DB0403" w:rsidP="00DB040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B50EE">
              <w:rPr>
                <w:rFonts w:cs="Arial"/>
                <w:b/>
                <w:bCs/>
                <w:color w:val="auto"/>
                <w:szCs w:val="14"/>
                <w:lang w:eastAsia="en-US"/>
              </w:rPr>
              <w:t>(26</w:t>
            </w:r>
            <w:r>
              <w:rPr>
                <w:rFonts w:cs="Arial"/>
                <w:b/>
                <w:bCs/>
                <w:color w:val="auto"/>
                <w:szCs w:val="14"/>
                <w:lang w:eastAsia="en-US"/>
              </w:rPr>
              <w:t>,</w:t>
            </w:r>
            <w:r w:rsidRPr="008B50EE">
              <w:rPr>
                <w:rFonts w:cs="Arial"/>
                <w:b/>
                <w:bCs/>
                <w:color w:val="auto"/>
                <w:szCs w:val="14"/>
                <w:lang w:eastAsia="en-US"/>
              </w:rPr>
              <w:t>400)</w:t>
            </w:r>
          </w:p>
        </w:tc>
        <w:tc>
          <w:tcPr>
            <w:tcW w:w="1853" w:type="dxa"/>
            <w:tcBorders>
              <w:top w:val="nil"/>
              <w:bottom w:val="nil"/>
            </w:tcBorders>
            <w:vAlign w:val="center"/>
          </w:tcPr>
          <w:p w14:paraId="5306882B" w14:textId="40E9733E" w:rsidR="00DB0403" w:rsidRPr="00BA653A" w:rsidRDefault="00DB0403" w:rsidP="00DB0403">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8B50EE">
              <w:rPr>
                <w:rFonts w:cs="Arial"/>
                <w:b/>
                <w:bCs/>
                <w:color w:val="auto"/>
                <w:szCs w:val="14"/>
                <w:lang w:eastAsia="en-US"/>
              </w:rPr>
              <w:t>-</w:t>
            </w:r>
          </w:p>
        </w:tc>
      </w:tr>
      <w:tr w:rsidR="00DB0403" w:rsidRPr="001D6BE8" w14:paraId="16495CCA" w14:textId="77777777" w:rsidTr="00A2204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AFD7406" w14:textId="77777777" w:rsidR="00DB0403" w:rsidRPr="002A6B1F" w:rsidRDefault="00DB0403" w:rsidP="00DB0403">
            <w:pPr>
              <w:pStyle w:val="08-Tabelageral"/>
              <w:ind w:left="113"/>
              <w:jc w:val="left"/>
              <w:rPr>
                <w:rFonts w:cs="Arial"/>
                <w:b w:val="0"/>
                <w:snapToGrid w:val="0"/>
              </w:rPr>
            </w:pPr>
            <w:r>
              <w:rPr>
                <w:rFonts w:cs="Arial"/>
                <w:b w:val="0"/>
              </w:rPr>
              <w:t xml:space="preserve">BB Corretora: </w:t>
            </w:r>
            <w:r w:rsidRPr="00290A41">
              <w:rPr>
                <w:rFonts w:cs="Arial"/>
                <w:b w:val="0"/>
              </w:rPr>
              <w:t>donation against Covid-19</w:t>
            </w:r>
          </w:p>
        </w:tc>
        <w:tc>
          <w:tcPr>
            <w:tcW w:w="1860" w:type="dxa"/>
            <w:tcBorders>
              <w:top w:val="nil"/>
              <w:bottom w:val="nil"/>
            </w:tcBorders>
            <w:vAlign w:val="center"/>
          </w:tcPr>
          <w:p w14:paraId="7858D435" w14:textId="57997883" w:rsidR="00DB0403" w:rsidRPr="0066080B" w:rsidRDefault="00DB0403" w:rsidP="00DB040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B50EE">
              <w:rPr>
                <w:rFonts w:cs="Arial"/>
                <w:lang w:eastAsia="en-US"/>
              </w:rPr>
              <w:t>-</w:t>
            </w:r>
          </w:p>
        </w:tc>
        <w:tc>
          <w:tcPr>
            <w:tcW w:w="1860" w:type="dxa"/>
            <w:tcBorders>
              <w:top w:val="nil"/>
              <w:bottom w:val="nil"/>
            </w:tcBorders>
            <w:vAlign w:val="center"/>
          </w:tcPr>
          <w:p w14:paraId="02D1E0C8" w14:textId="499C15CE" w:rsidR="00DB0403" w:rsidRPr="002A6B1F" w:rsidRDefault="00DB0403" w:rsidP="00DB040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50EE">
              <w:rPr>
                <w:rFonts w:cs="Arial"/>
                <w:lang w:eastAsia="en-US"/>
              </w:rPr>
              <w:t>(26</w:t>
            </w:r>
            <w:r>
              <w:rPr>
                <w:rFonts w:cs="Arial"/>
                <w:lang w:eastAsia="en-US"/>
              </w:rPr>
              <w:t>,</w:t>
            </w:r>
            <w:r w:rsidRPr="008B50EE">
              <w:rPr>
                <w:rFonts w:cs="Arial"/>
                <w:lang w:eastAsia="en-US"/>
              </w:rPr>
              <w:t>400)</w:t>
            </w:r>
          </w:p>
        </w:tc>
        <w:tc>
          <w:tcPr>
            <w:tcW w:w="1853" w:type="dxa"/>
            <w:tcBorders>
              <w:top w:val="nil"/>
              <w:bottom w:val="nil"/>
            </w:tcBorders>
            <w:vAlign w:val="center"/>
          </w:tcPr>
          <w:p w14:paraId="48A8FEF2" w14:textId="30B58981" w:rsidR="00DB0403" w:rsidRPr="00605543" w:rsidRDefault="00DB0403" w:rsidP="00DB040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B50EE">
              <w:rPr>
                <w:rFonts w:cs="Arial"/>
                <w:color w:val="auto"/>
                <w:szCs w:val="14"/>
                <w:lang w:eastAsia="en-US"/>
              </w:rPr>
              <w:t>-</w:t>
            </w:r>
          </w:p>
        </w:tc>
      </w:tr>
      <w:tr w:rsidR="00DB0403" w:rsidRPr="001D6BE8" w14:paraId="587902BD" w14:textId="77777777" w:rsidTr="00A22043">
        <w:trPr>
          <w:cnfStyle w:val="000000100000" w:firstRow="0" w:lastRow="0" w:firstColumn="0" w:lastColumn="0" w:oddVBand="0" w:evenVBand="0" w:oddHBand="1" w:evenHBand="0" w:firstRowFirstColumn="0" w:firstRowLastColumn="0" w:lastRowFirstColumn="0" w:lastRowLastColumn="0"/>
          <w:trHeight w:hRule="exact" w:val="357"/>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177977D1" w14:textId="77777777" w:rsidR="00DB0403" w:rsidRPr="00675F21" w:rsidRDefault="00DB0403" w:rsidP="00DB0403">
            <w:pPr>
              <w:pStyle w:val="08-Tabelageral"/>
              <w:jc w:val="left"/>
              <w:rPr>
                <w:rFonts w:cs="Arial"/>
                <w:snapToGrid w:val="0"/>
              </w:rPr>
            </w:pPr>
            <w:r>
              <w:rPr>
                <w:rFonts w:cs="Arial"/>
              </w:rPr>
              <w:t xml:space="preserve">Net income </w:t>
            </w:r>
          </w:p>
        </w:tc>
        <w:tc>
          <w:tcPr>
            <w:tcW w:w="1860" w:type="dxa"/>
            <w:tcBorders>
              <w:top w:val="nil"/>
              <w:bottom w:val="nil"/>
            </w:tcBorders>
            <w:vAlign w:val="center"/>
          </w:tcPr>
          <w:p w14:paraId="29F65CE0" w14:textId="4FF4AB42" w:rsidR="00DB0403" w:rsidRPr="0066080B" w:rsidRDefault="00DB0403" w:rsidP="00DB040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B50EE">
              <w:rPr>
                <w:rFonts w:cs="Arial"/>
                <w:b/>
                <w:bCs/>
                <w:szCs w:val="14"/>
                <w:lang w:eastAsia="en-US"/>
              </w:rPr>
              <w:t>3</w:t>
            </w:r>
            <w:r>
              <w:rPr>
                <w:rFonts w:cs="Arial"/>
                <w:b/>
                <w:bCs/>
                <w:szCs w:val="14"/>
                <w:lang w:eastAsia="en-US"/>
              </w:rPr>
              <w:t>,933,217</w:t>
            </w:r>
          </w:p>
        </w:tc>
        <w:tc>
          <w:tcPr>
            <w:tcW w:w="1860" w:type="dxa"/>
            <w:tcBorders>
              <w:top w:val="nil"/>
              <w:bottom w:val="nil"/>
            </w:tcBorders>
            <w:vAlign w:val="center"/>
          </w:tcPr>
          <w:p w14:paraId="6B55CFF2" w14:textId="4C45BFC6" w:rsidR="00DB0403" w:rsidRPr="002A6B1F" w:rsidRDefault="00DB0403" w:rsidP="00DB040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50EE">
              <w:rPr>
                <w:rFonts w:cs="Arial"/>
                <w:b/>
                <w:bCs/>
                <w:szCs w:val="14"/>
                <w:lang w:eastAsia="en-US"/>
              </w:rPr>
              <w:t>3</w:t>
            </w:r>
            <w:r>
              <w:rPr>
                <w:rFonts w:cs="Arial"/>
                <w:b/>
                <w:bCs/>
                <w:szCs w:val="14"/>
                <w:lang w:eastAsia="en-US"/>
              </w:rPr>
              <w:t>,</w:t>
            </w:r>
            <w:r w:rsidRPr="008B50EE">
              <w:rPr>
                <w:rFonts w:cs="Arial"/>
                <w:b/>
                <w:bCs/>
                <w:szCs w:val="14"/>
                <w:lang w:eastAsia="en-US"/>
              </w:rPr>
              <w:t>850</w:t>
            </w:r>
            <w:r>
              <w:rPr>
                <w:rFonts w:cs="Arial"/>
                <w:b/>
                <w:bCs/>
                <w:szCs w:val="14"/>
                <w:lang w:eastAsia="en-US"/>
              </w:rPr>
              <w:t>,</w:t>
            </w:r>
            <w:r w:rsidRPr="008B50EE">
              <w:rPr>
                <w:rFonts w:cs="Arial"/>
                <w:b/>
                <w:bCs/>
                <w:szCs w:val="14"/>
                <w:lang w:eastAsia="en-US"/>
              </w:rPr>
              <w:t>771</w:t>
            </w:r>
          </w:p>
        </w:tc>
        <w:tc>
          <w:tcPr>
            <w:tcW w:w="1853" w:type="dxa"/>
            <w:tcBorders>
              <w:top w:val="nil"/>
              <w:bottom w:val="nil"/>
            </w:tcBorders>
            <w:vAlign w:val="center"/>
          </w:tcPr>
          <w:p w14:paraId="56175732" w14:textId="029EAA9F" w:rsidR="00DB0403" w:rsidRPr="00675F21" w:rsidRDefault="00DB0403" w:rsidP="00DB0403">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Pr>
                <w:rFonts w:cs="Arial"/>
                <w:b/>
                <w:bCs/>
                <w:szCs w:val="14"/>
                <w:lang w:eastAsia="en-US"/>
              </w:rPr>
              <w:t>2.1</w:t>
            </w:r>
          </w:p>
        </w:tc>
      </w:tr>
    </w:tbl>
    <w:p w14:paraId="0B09F993" w14:textId="18B84636" w:rsidR="003E4B6A" w:rsidRDefault="003E4B6A" w:rsidP="00A22043">
      <w:pPr>
        <w:pStyle w:val="01-Textonormal"/>
        <w:rPr>
          <w:rFonts w:cs="Arial"/>
        </w:rPr>
      </w:pPr>
    </w:p>
    <w:p w14:paraId="706A35DE" w14:textId="75691EAC" w:rsidR="003E4B6A" w:rsidRDefault="003E4B6A" w:rsidP="00A22043">
      <w:pPr>
        <w:pStyle w:val="01-Textonormal"/>
        <w:rPr>
          <w:rFonts w:cs="Arial"/>
        </w:rPr>
      </w:pPr>
      <w:r>
        <w:rPr>
          <w:rFonts w:cs="Arial"/>
        </w:rPr>
        <w:t xml:space="preserve">Setting apart the extraordinary event </w:t>
      </w:r>
      <w:r w:rsidR="00071F35">
        <w:rPr>
          <w:rFonts w:cs="Arial"/>
        </w:rPr>
        <w:t>mentioned in the table 2</w:t>
      </w:r>
      <w:r>
        <w:rPr>
          <w:rFonts w:cs="Arial"/>
        </w:rPr>
        <w:t>, which affected the equity income line</w:t>
      </w:r>
      <w:r w:rsidR="00071F35">
        <w:rPr>
          <w:rFonts w:cs="Arial"/>
        </w:rPr>
        <w:t xml:space="preserve"> in 2020</w:t>
      </w:r>
      <w:r>
        <w:rPr>
          <w:rFonts w:cs="Arial"/>
        </w:rPr>
        <w:t>, the adjusted net income grew 1.4% in 2021. The R$56.0 million increase in the net income on a recurring basis is explained by:</w:t>
      </w:r>
    </w:p>
    <w:p w14:paraId="42B8FBAF" w14:textId="77777777" w:rsidR="003E4B6A" w:rsidRDefault="003E4B6A" w:rsidP="003E4B6A">
      <w:pPr>
        <w:pStyle w:val="10-Lista2"/>
        <w:rPr>
          <w:rFonts w:cs="Arial"/>
        </w:rPr>
      </w:pPr>
      <w:r w:rsidRPr="0081392E">
        <w:rPr>
          <w:rFonts w:cs="Arial"/>
          <w:b/>
          <w:bCs/>
        </w:rPr>
        <w:t>BB Corretora (+R$166</w:t>
      </w:r>
      <w:r>
        <w:rPr>
          <w:rFonts w:cs="Arial"/>
          <w:b/>
          <w:bCs/>
        </w:rPr>
        <w:t>.</w:t>
      </w:r>
      <w:r w:rsidRPr="0081392E">
        <w:rPr>
          <w:rFonts w:cs="Arial"/>
          <w:b/>
          <w:bCs/>
        </w:rPr>
        <w:t>5</w:t>
      </w:r>
      <w:r>
        <w:rPr>
          <w:rFonts w:cs="Arial"/>
          <w:b/>
          <w:bCs/>
        </w:rPr>
        <w:t xml:space="preserve"> million</w:t>
      </w:r>
      <w:r w:rsidRPr="0081392E">
        <w:rPr>
          <w:rFonts w:cs="Arial"/>
          <w:b/>
          <w:bCs/>
        </w:rPr>
        <w:t>):</w:t>
      </w:r>
      <w:r w:rsidRPr="0081392E">
        <w:rPr>
          <w:rFonts w:cs="Arial"/>
        </w:rPr>
        <w:t xml:space="preserve"> </w:t>
      </w:r>
      <w:r>
        <w:rPr>
          <w:rFonts w:cs="Arial"/>
        </w:rPr>
        <w:t>with higher brokerage revenues supported by the good commercial performance of the main business lines;</w:t>
      </w:r>
    </w:p>
    <w:p w14:paraId="4D9C5080" w14:textId="669A6A52" w:rsidR="003E4B6A" w:rsidRDefault="003E4B6A" w:rsidP="003E4B6A">
      <w:pPr>
        <w:pStyle w:val="10-Lista2"/>
      </w:pPr>
      <w:r>
        <w:rPr>
          <w:rFonts w:cs="Arial"/>
          <w:b/>
          <w:bCs/>
        </w:rPr>
        <w:t>Brasilprev (+R$70.2 million):</w:t>
      </w:r>
      <w:r>
        <w:rPr>
          <w:rFonts w:cs="Arial"/>
        </w:rPr>
        <w:t xml:space="preserve"> supported b</w:t>
      </w:r>
      <w:r w:rsidR="00071F35">
        <w:rPr>
          <w:rFonts w:cs="Arial"/>
        </w:rPr>
        <w:t>y</w:t>
      </w:r>
      <w:r>
        <w:rPr>
          <w:rFonts w:cs="Arial"/>
        </w:rPr>
        <w:t xml:space="preserve"> the consistent growth in operating result, partially offset by the negative market to market result of prefixed income securities</w:t>
      </w:r>
      <w:r>
        <w:t>.</w:t>
      </w:r>
    </w:p>
    <w:p w14:paraId="00C915DF" w14:textId="3C98A1AC" w:rsidR="003E4B6A" w:rsidRDefault="003E4B6A" w:rsidP="003E4B6A">
      <w:pPr>
        <w:pStyle w:val="01-Textonormal"/>
        <w:rPr>
          <w:rFonts w:cs="Arial"/>
        </w:rPr>
      </w:pPr>
      <w:r>
        <w:rPr>
          <w:rFonts w:cs="Arial"/>
        </w:rPr>
        <w:t>On the other hand, the equity income arising from Brasilcap dropped R$103.4 million, explained by the recognition of losses in prefixed income assets avai</w:t>
      </w:r>
      <w:r w:rsidR="00071F35">
        <w:rPr>
          <w:rFonts w:cs="Arial"/>
        </w:rPr>
        <w:t>l</w:t>
      </w:r>
      <w:r>
        <w:rPr>
          <w:rFonts w:cs="Arial"/>
        </w:rPr>
        <w:t xml:space="preserve">able for sale, while Brasilseg equity income was R$19.5 million lower, due to the worsening </w:t>
      </w:r>
      <w:r w:rsidR="00071F35">
        <w:rPr>
          <w:rFonts w:cs="Arial"/>
        </w:rPr>
        <w:t xml:space="preserve">in the </w:t>
      </w:r>
      <w:r>
        <w:rPr>
          <w:rFonts w:cs="Arial"/>
        </w:rPr>
        <w:t>loss ratio and the higher tax rate after the 5 p.p. temporary increase of CSLL in the 2H21.</w:t>
      </w:r>
    </w:p>
    <w:p w14:paraId="3D58B78C" w14:textId="2473B3E0" w:rsidR="003E4B6A" w:rsidRDefault="00855C3C" w:rsidP="003E4B6A">
      <w:pPr>
        <w:pStyle w:val="01-Textonormal"/>
        <w:rPr>
          <w:rFonts w:cs="Arial"/>
        </w:rPr>
      </w:pPr>
      <w:r>
        <w:rPr>
          <w:rFonts w:cs="Arial"/>
        </w:rPr>
        <w:lastRenderedPageBreak/>
        <w:t>The performance of each investee company will be better explained below.</w:t>
      </w:r>
    </w:p>
    <w:p w14:paraId="0F863DCC" w14:textId="467F12C2" w:rsidR="003E4B6A" w:rsidRDefault="003E4B6A" w:rsidP="003E4B6A">
      <w:pPr>
        <w:pStyle w:val="05-Textonormal"/>
        <w:rPr>
          <w:rFonts w:cs="Arial"/>
        </w:rPr>
      </w:pPr>
      <w:r>
        <w:rPr>
          <w:rFonts w:cs="Arial"/>
        </w:rPr>
        <w:t>The negative balance of other income and expenses line was reduced by 21.2% in 2021. The 42.9% decrease in tax expenses, concentrated in PIS and Cofins charged on financial income, which declined 57.0%, and the 11.0% increase of revenues</w:t>
      </w:r>
      <w:r w:rsidR="00855C3C">
        <w:rPr>
          <w:rFonts w:cs="Arial"/>
        </w:rPr>
        <w:t xml:space="preserve"> arising</w:t>
      </w:r>
      <w:r>
        <w:rPr>
          <w:rFonts w:cs="Arial"/>
        </w:rPr>
        <w:t xml:space="preserve"> from the ADR Level 1 program, due to </w:t>
      </w:r>
      <w:r w:rsidR="00855C3C">
        <w:rPr>
          <w:rFonts w:cs="Arial"/>
        </w:rPr>
        <w:t>a</w:t>
      </w:r>
      <w:r>
        <w:rPr>
          <w:rFonts w:cs="Arial"/>
        </w:rPr>
        <w:t xml:space="preserve"> higher volume traded</w:t>
      </w:r>
      <w:r w:rsidR="00071F35">
        <w:rPr>
          <w:rFonts w:cs="Arial"/>
        </w:rPr>
        <w:t>,</w:t>
      </w:r>
      <w:r>
        <w:rPr>
          <w:rFonts w:cs="Arial"/>
        </w:rPr>
        <w:t>, are the main reasons that explain the variation.</w:t>
      </w:r>
    </w:p>
    <w:p w14:paraId="79FA1085" w14:textId="77777777" w:rsidR="00855C3C" w:rsidRDefault="00855C3C" w:rsidP="003E4B6A">
      <w:pPr>
        <w:pStyle w:val="05-Textonormal"/>
        <w:rPr>
          <w:rFonts w:cs="Arial"/>
        </w:rPr>
      </w:pPr>
    </w:p>
    <w:p w14:paraId="74C64030" w14:textId="2B1E76A4" w:rsidR="00855C3C" w:rsidRPr="00874E75" w:rsidRDefault="00855C3C" w:rsidP="00855C3C">
      <w:pPr>
        <w:pStyle w:val="01-TtulodeNota"/>
        <w:rPr>
          <w:color w:val="1F4E79" w:themeColor="accent1" w:themeShade="80"/>
        </w:rPr>
      </w:pPr>
      <w:r>
        <w:rPr>
          <w:color w:val="1F4E79" w:themeColor="accent1" w:themeShade="80"/>
        </w:rPr>
        <w:t>Investments</w:t>
      </w:r>
    </w:p>
    <w:p w14:paraId="6625EDF9" w14:textId="0F5D2F1F" w:rsidR="00855C3C" w:rsidRDefault="00855C3C" w:rsidP="00855C3C">
      <w:pPr>
        <w:pStyle w:val="05-Textonormal"/>
        <w:rPr>
          <w:rFonts w:cs="Arial"/>
        </w:rPr>
      </w:pPr>
      <w:r>
        <w:rPr>
          <w:rFonts w:cs="Arial"/>
        </w:rPr>
        <w:t xml:space="preserve">Pursuant to the article 243 of Law 6,404/76, the following table presents the equity investments in BB Seguridade’s affiliates and subsidiaries, as well as the changes occured throughout the year. The changes are detailed in Explanatory Note 7.b) </w:t>
      </w:r>
      <w:r w:rsidR="00071F35">
        <w:rPr>
          <w:rFonts w:cs="Arial"/>
        </w:rPr>
        <w:t xml:space="preserve">attached </w:t>
      </w:r>
      <w:r>
        <w:rPr>
          <w:rFonts w:cs="Arial"/>
        </w:rPr>
        <w:t>to the Financial Statemets.</w:t>
      </w:r>
    </w:p>
    <w:p w14:paraId="3C4DA20C" w14:textId="68B7F418" w:rsidR="00855C3C" w:rsidRPr="00D52611" w:rsidRDefault="00855C3C" w:rsidP="00855C3C">
      <w:pPr>
        <w:pStyle w:val="01-TtulodeNota"/>
        <w:rPr>
          <w:b w:val="0"/>
          <w:sz w:val="14"/>
        </w:rPr>
      </w:pPr>
      <w:r w:rsidRPr="00D52611">
        <w:rPr>
          <w:rFonts w:cs="Arial"/>
          <w:b w:val="0"/>
          <w:sz w:val="14"/>
          <w:szCs w:val="14"/>
        </w:rPr>
        <w:t>Tab</w:t>
      </w:r>
      <w:r>
        <w:rPr>
          <w:rFonts w:cs="Arial"/>
          <w:b w:val="0"/>
          <w:sz w:val="14"/>
          <w:szCs w:val="14"/>
        </w:rPr>
        <w:t>le</w:t>
      </w:r>
      <w:r w:rsidRPr="00D52611">
        <w:rPr>
          <w:rFonts w:cs="Arial"/>
          <w:b w:val="0"/>
          <w:sz w:val="14"/>
          <w:szCs w:val="14"/>
        </w:rPr>
        <w:t xml:space="preserve"> </w:t>
      </w:r>
      <w:r w:rsidRPr="00D52611">
        <w:rPr>
          <w:rFonts w:cs="Arial"/>
          <w:b w:val="0"/>
          <w:sz w:val="14"/>
          <w:szCs w:val="14"/>
        </w:rPr>
        <w:fldChar w:fldCharType="begin"/>
      </w:r>
      <w:r w:rsidRPr="00D52611">
        <w:rPr>
          <w:rFonts w:cs="Arial"/>
          <w:b w:val="0"/>
          <w:sz w:val="14"/>
          <w:szCs w:val="14"/>
        </w:rPr>
        <w:instrText xml:space="preserve"> SEQ Tabela \* ARABIC </w:instrText>
      </w:r>
      <w:r w:rsidRPr="00D52611">
        <w:rPr>
          <w:rFonts w:cs="Arial"/>
          <w:b w:val="0"/>
          <w:sz w:val="14"/>
          <w:szCs w:val="14"/>
        </w:rPr>
        <w:fldChar w:fldCharType="separate"/>
      </w:r>
      <w:r w:rsidRPr="00D52611">
        <w:rPr>
          <w:rFonts w:cs="Arial"/>
          <w:b w:val="0"/>
          <w:noProof/>
          <w:sz w:val="14"/>
          <w:szCs w:val="14"/>
        </w:rPr>
        <w:t>3</w:t>
      </w:r>
      <w:r w:rsidRPr="00D52611">
        <w:rPr>
          <w:rFonts w:cs="Arial"/>
          <w:b w:val="0"/>
          <w:noProof/>
          <w:sz w:val="14"/>
          <w:szCs w:val="14"/>
        </w:rPr>
        <w:fldChar w:fldCharType="end"/>
      </w:r>
      <w:r w:rsidRPr="00D52611">
        <w:rPr>
          <w:b w:val="0"/>
          <w:sz w:val="14"/>
        </w:rPr>
        <w:t xml:space="preserve"> – </w:t>
      </w:r>
      <w:r>
        <w:rPr>
          <w:b w:val="0"/>
          <w:sz w:val="14"/>
        </w:rPr>
        <w:t>Financial Performance | Shareholding positions</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855C3C" w:rsidRPr="00D52611" w14:paraId="1EBF2362" w14:textId="77777777" w:rsidTr="00855C3C">
        <w:trPr>
          <w:cnfStyle w:val="100000000000" w:firstRow="1" w:lastRow="0" w:firstColumn="0" w:lastColumn="0" w:oddVBand="0" w:evenVBand="0" w:oddHBand="0"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shd w:val="clear" w:color="auto" w:fill="D9E2F3" w:themeFill="accent5" w:themeFillTint="33"/>
            <w:vAlign w:val="center"/>
          </w:tcPr>
          <w:p w14:paraId="094E8DB0" w14:textId="5A672C5F" w:rsidR="00855C3C" w:rsidRPr="00D52611" w:rsidRDefault="00855C3C" w:rsidP="00211CC1">
            <w:pPr>
              <w:pStyle w:val="08-Tabelageral"/>
              <w:jc w:val="left"/>
              <w:rPr>
                <w:rFonts w:cs="Arial"/>
                <w:lang w:eastAsia="en-US"/>
              </w:rPr>
            </w:pPr>
            <w:r>
              <w:rPr>
                <w:rFonts w:cs="Arial"/>
              </w:rPr>
              <w:t>BRL Thousand</w:t>
            </w:r>
          </w:p>
        </w:tc>
        <w:tc>
          <w:tcPr>
            <w:tcW w:w="1407" w:type="dxa"/>
            <w:tcBorders>
              <w:top w:val="single" w:sz="2" w:space="0" w:color="8EAADB" w:themeColor="accent5" w:themeTint="99"/>
              <w:left w:val="nil"/>
              <w:bottom w:val="nil"/>
              <w:right w:val="nil"/>
            </w:tcBorders>
            <w:shd w:val="clear" w:color="auto" w:fill="D9E2F3" w:themeFill="accent5" w:themeFillTint="33"/>
            <w:vAlign w:val="center"/>
          </w:tcPr>
          <w:p w14:paraId="259E5EEC" w14:textId="77777777" w:rsidR="00855C3C" w:rsidRPr="00D52611" w:rsidRDefault="00855C3C" w:rsidP="00211CC1">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8EAADB" w:themeColor="accent5" w:themeTint="99"/>
              <w:left w:val="nil"/>
              <w:bottom w:val="nil"/>
              <w:right w:val="nil"/>
            </w:tcBorders>
            <w:shd w:val="clear" w:color="auto" w:fill="D9E2F3" w:themeFill="accent5" w:themeFillTint="33"/>
            <w:vAlign w:val="center"/>
            <w:hideMark/>
          </w:tcPr>
          <w:p w14:paraId="47AC503C" w14:textId="743FBD04" w:rsidR="00855C3C" w:rsidRPr="00D52611" w:rsidRDefault="00855C3C" w:rsidP="00211CC1">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r>
              <w:rPr>
                <w:rFonts w:cs="Arial"/>
                <w:lang w:eastAsia="en-US"/>
              </w:rPr>
              <w:t>Shareholding stake</w:t>
            </w:r>
            <w:r w:rsidRPr="00D52611">
              <w:rPr>
                <w:rFonts w:cs="Arial"/>
                <w:lang w:eastAsia="en-US"/>
              </w:rPr>
              <w:t xml:space="preserve"> (%)</w:t>
            </w:r>
          </w:p>
        </w:tc>
        <w:tc>
          <w:tcPr>
            <w:tcW w:w="2809"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388EF918" w14:textId="0EE8BF3A" w:rsidR="00855C3C" w:rsidRPr="00D52611" w:rsidRDefault="00855C3C" w:rsidP="00211CC1">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Investment Balance</w:t>
            </w:r>
          </w:p>
        </w:tc>
        <w:tc>
          <w:tcPr>
            <w:tcW w:w="1914" w:type="dxa"/>
            <w:tcBorders>
              <w:top w:val="single" w:sz="2" w:space="0" w:color="8EAADB" w:themeColor="accent5" w:themeTint="99"/>
              <w:left w:val="nil"/>
              <w:bottom w:val="nil"/>
              <w:right w:val="nil"/>
            </w:tcBorders>
            <w:shd w:val="clear" w:color="auto" w:fill="D9E2F3" w:themeFill="accent5" w:themeFillTint="33"/>
            <w:vAlign w:val="center"/>
            <w:hideMark/>
          </w:tcPr>
          <w:p w14:paraId="5FF6EBC1" w14:textId="61563611" w:rsidR="00855C3C" w:rsidRPr="00D52611" w:rsidRDefault="00855C3C" w:rsidP="00211CC1">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Equity Income</w:t>
            </w:r>
          </w:p>
        </w:tc>
      </w:tr>
      <w:tr w:rsidR="00855C3C" w:rsidRPr="00D52611" w14:paraId="41BC5209" w14:textId="77777777" w:rsidTr="00211CC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8EAADB" w:themeColor="accent5" w:themeTint="99"/>
              <w:right w:val="nil"/>
            </w:tcBorders>
            <w:vAlign w:val="center"/>
          </w:tcPr>
          <w:p w14:paraId="25BD1908" w14:textId="77777777" w:rsidR="00855C3C" w:rsidRPr="00D52611" w:rsidRDefault="00855C3C" w:rsidP="00211CC1">
            <w:pPr>
              <w:pStyle w:val="08-Tabelageral"/>
              <w:jc w:val="left"/>
              <w:rPr>
                <w:rFonts w:cs="Arial"/>
                <w:bCs w:val="0"/>
                <w:szCs w:val="14"/>
                <w:lang w:eastAsia="en-US"/>
              </w:rPr>
            </w:pPr>
          </w:p>
        </w:tc>
        <w:tc>
          <w:tcPr>
            <w:tcW w:w="1407" w:type="dxa"/>
            <w:tcBorders>
              <w:top w:val="nil"/>
              <w:left w:val="nil"/>
              <w:bottom w:val="single" w:sz="2" w:space="0" w:color="8EAADB" w:themeColor="accent5" w:themeTint="99"/>
              <w:right w:val="nil"/>
            </w:tcBorders>
            <w:vAlign w:val="center"/>
            <w:hideMark/>
          </w:tcPr>
          <w:p w14:paraId="627604BF" w14:textId="789FC13B" w:rsidR="00855C3C" w:rsidRPr="00D52611" w:rsidRDefault="00855C3C" w:rsidP="00211CC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Activity</w:t>
            </w:r>
          </w:p>
        </w:tc>
        <w:tc>
          <w:tcPr>
            <w:tcW w:w="1408" w:type="dxa"/>
            <w:tcBorders>
              <w:top w:val="nil"/>
              <w:left w:val="nil"/>
              <w:bottom w:val="single" w:sz="2" w:space="0" w:color="8EAADB" w:themeColor="accent5" w:themeTint="99"/>
              <w:right w:val="nil"/>
            </w:tcBorders>
            <w:vAlign w:val="center"/>
            <w:hideMark/>
          </w:tcPr>
          <w:p w14:paraId="64A1001B" w14:textId="75B01532" w:rsidR="00855C3C" w:rsidRPr="00D52611" w:rsidRDefault="00855C3C" w:rsidP="00211CC1">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Dec/21</w:t>
            </w:r>
          </w:p>
        </w:tc>
        <w:tc>
          <w:tcPr>
            <w:tcW w:w="1404" w:type="dxa"/>
            <w:tcBorders>
              <w:top w:val="nil"/>
              <w:left w:val="nil"/>
              <w:bottom w:val="single" w:sz="2" w:space="0" w:color="8EAADB" w:themeColor="accent5" w:themeTint="99"/>
              <w:right w:val="nil"/>
            </w:tcBorders>
            <w:vAlign w:val="center"/>
            <w:hideMark/>
          </w:tcPr>
          <w:p w14:paraId="0F8DFB28" w14:textId="5B9EDA2B" w:rsidR="00855C3C" w:rsidRPr="00D52611" w:rsidRDefault="00855C3C" w:rsidP="00211CC1">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Dec/21</w:t>
            </w:r>
          </w:p>
        </w:tc>
        <w:tc>
          <w:tcPr>
            <w:tcW w:w="1405" w:type="dxa"/>
            <w:tcBorders>
              <w:top w:val="nil"/>
              <w:left w:val="nil"/>
              <w:bottom w:val="single" w:sz="2" w:space="0" w:color="8EAADB" w:themeColor="accent5" w:themeTint="99"/>
              <w:right w:val="nil"/>
            </w:tcBorders>
            <w:vAlign w:val="center"/>
            <w:hideMark/>
          </w:tcPr>
          <w:p w14:paraId="54E8DDDC" w14:textId="3C40F3B7" w:rsidR="00855C3C" w:rsidRPr="00D52611" w:rsidRDefault="00855C3C" w:rsidP="00211CC1">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Dec/20</w:t>
            </w:r>
          </w:p>
        </w:tc>
        <w:tc>
          <w:tcPr>
            <w:tcW w:w="1914" w:type="dxa"/>
            <w:tcBorders>
              <w:top w:val="nil"/>
              <w:left w:val="nil"/>
              <w:bottom w:val="single" w:sz="2" w:space="0" w:color="8EAADB" w:themeColor="accent5" w:themeTint="99"/>
              <w:right w:val="nil"/>
            </w:tcBorders>
            <w:vAlign w:val="center"/>
            <w:hideMark/>
          </w:tcPr>
          <w:p w14:paraId="049420D6" w14:textId="24448377"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FY2021</w:t>
            </w:r>
          </w:p>
        </w:tc>
      </w:tr>
      <w:tr w:rsidR="00855C3C" w:rsidRPr="00D52611" w14:paraId="6C978DEC" w14:textId="77777777" w:rsidTr="00211CC1">
        <w:trPr>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vAlign w:val="center"/>
            <w:hideMark/>
          </w:tcPr>
          <w:p w14:paraId="70A4081F" w14:textId="46D14DFB" w:rsidR="00855C3C" w:rsidRPr="00D52611" w:rsidRDefault="00855C3C" w:rsidP="00211CC1">
            <w:pPr>
              <w:pStyle w:val="08-Tabelageral"/>
              <w:jc w:val="left"/>
              <w:rPr>
                <w:rFonts w:cs="Arial"/>
                <w:snapToGrid w:val="0"/>
                <w:lang w:eastAsia="en-US"/>
              </w:rPr>
            </w:pPr>
            <w:r>
              <w:rPr>
                <w:rFonts w:cs="Arial"/>
                <w:lang w:eastAsia="en-US"/>
              </w:rPr>
              <w:t>Shareholding positions</w:t>
            </w:r>
          </w:p>
        </w:tc>
        <w:tc>
          <w:tcPr>
            <w:tcW w:w="1407" w:type="dxa"/>
            <w:tcBorders>
              <w:top w:val="single" w:sz="2" w:space="0" w:color="8EAADB" w:themeColor="accent5" w:themeTint="99"/>
              <w:left w:val="nil"/>
              <w:bottom w:val="nil"/>
              <w:right w:val="nil"/>
            </w:tcBorders>
            <w:vAlign w:val="center"/>
          </w:tcPr>
          <w:p w14:paraId="5FD879D5" w14:textId="77777777" w:rsidR="00855C3C" w:rsidRPr="00D52611" w:rsidRDefault="00855C3C" w:rsidP="00211CC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8" w:type="dxa"/>
            <w:tcBorders>
              <w:top w:val="single" w:sz="2" w:space="0" w:color="8EAADB" w:themeColor="accent5" w:themeTint="99"/>
              <w:left w:val="nil"/>
              <w:bottom w:val="nil"/>
              <w:right w:val="nil"/>
            </w:tcBorders>
            <w:vAlign w:val="center"/>
          </w:tcPr>
          <w:p w14:paraId="0EC6C1DD" w14:textId="77777777"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4" w:type="dxa"/>
            <w:tcBorders>
              <w:top w:val="single" w:sz="2" w:space="0" w:color="8EAADB" w:themeColor="accent5" w:themeTint="99"/>
              <w:left w:val="nil"/>
              <w:bottom w:val="nil"/>
              <w:right w:val="nil"/>
            </w:tcBorders>
            <w:vAlign w:val="center"/>
          </w:tcPr>
          <w:p w14:paraId="7A07FAD2" w14:textId="77777777"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c>
          <w:tcPr>
            <w:tcW w:w="1405" w:type="dxa"/>
            <w:tcBorders>
              <w:top w:val="single" w:sz="2" w:space="0" w:color="8EAADB" w:themeColor="accent5" w:themeTint="99"/>
              <w:left w:val="nil"/>
              <w:bottom w:val="nil"/>
              <w:right w:val="nil"/>
            </w:tcBorders>
            <w:vAlign w:val="center"/>
          </w:tcPr>
          <w:p w14:paraId="1F2E4BB1" w14:textId="77777777"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1914" w:type="dxa"/>
            <w:tcBorders>
              <w:top w:val="single" w:sz="2" w:space="0" w:color="8EAADB" w:themeColor="accent5" w:themeTint="99"/>
              <w:left w:val="nil"/>
              <w:bottom w:val="nil"/>
              <w:right w:val="nil"/>
            </w:tcBorders>
            <w:vAlign w:val="center"/>
          </w:tcPr>
          <w:p w14:paraId="4E1A9373" w14:textId="77777777"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r>
      <w:tr w:rsidR="00855C3C" w:rsidRPr="00D52611" w14:paraId="0A72BDC9" w14:textId="77777777" w:rsidTr="00211CC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0D2C8D33" w14:textId="77777777" w:rsidR="00855C3C" w:rsidRPr="00D52611" w:rsidRDefault="00855C3C" w:rsidP="00211CC1">
            <w:pPr>
              <w:pStyle w:val="08-Tabelageral"/>
              <w:jc w:val="left"/>
              <w:rPr>
                <w:rFonts w:cs="Arial"/>
                <w:snapToGrid w:val="0"/>
                <w:lang w:eastAsia="en-US"/>
              </w:rPr>
            </w:pPr>
            <w:r w:rsidRPr="00D52611">
              <w:rPr>
                <w:rFonts w:cs="Arial"/>
                <w:lang w:eastAsia="en-US"/>
              </w:rPr>
              <w:t>BB Seguros</w:t>
            </w:r>
          </w:p>
        </w:tc>
        <w:tc>
          <w:tcPr>
            <w:tcW w:w="1407" w:type="dxa"/>
            <w:tcBorders>
              <w:top w:val="nil"/>
              <w:left w:val="nil"/>
              <w:bottom w:val="nil"/>
              <w:right w:val="nil"/>
            </w:tcBorders>
            <w:vAlign w:val="center"/>
            <w:hideMark/>
          </w:tcPr>
          <w:p w14:paraId="013197C0" w14:textId="77777777" w:rsidR="00855C3C" w:rsidRPr="00D52611" w:rsidRDefault="00855C3C" w:rsidP="00211CC1">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Holding</w:t>
            </w:r>
          </w:p>
        </w:tc>
        <w:tc>
          <w:tcPr>
            <w:tcW w:w="1408" w:type="dxa"/>
            <w:tcBorders>
              <w:top w:val="nil"/>
              <w:left w:val="nil"/>
              <w:bottom w:val="nil"/>
              <w:right w:val="nil"/>
            </w:tcBorders>
            <w:vAlign w:val="center"/>
            <w:hideMark/>
          </w:tcPr>
          <w:p w14:paraId="66975965" w14:textId="0DA2E333"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100</w:t>
            </w:r>
            <w:r>
              <w:rPr>
                <w:rFonts w:cs="Arial"/>
                <w:b/>
                <w:lang w:eastAsia="en-US"/>
              </w:rPr>
              <w:t>.</w:t>
            </w:r>
            <w:r w:rsidRPr="00D52611">
              <w:rPr>
                <w:rFonts w:cs="Arial"/>
                <w:b/>
                <w:lang w:eastAsia="en-US"/>
              </w:rPr>
              <w:t>00%</w:t>
            </w:r>
          </w:p>
        </w:tc>
        <w:tc>
          <w:tcPr>
            <w:tcW w:w="1404" w:type="dxa"/>
            <w:tcBorders>
              <w:top w:val="nil"/>
              <w:left w:val="nil"/>
              <w:bottom w:val="nil"/>
              <w:right w:val="nil"/>
            </w:tcBorders>
            <w:vAlign w:val="center"/>
            <w:hideMark/>
          </w:tcPr>
          <w:p w14:paraId="574D5DD2" w14:textId="2EF27B31"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r w:rsidRPr="00D52611">
              <w:rPr>
                <w:rFonts w:cs="Arial"/>
                <w:b/>
                <w:color w:val="auto"/>
                <w:lang w:eastAsia="en-US"/>
              </w:rPr>
              <w:t>7</w:t>
            </w:r>
            <w:r>
              <w:rPr>
                <w:rFonts w:cs="Arial"/>
                <w:b/>
                <w:color w:val="auto"/>
                <w:lang w:eastAsia="en-US"/>
              </w:rPr>
              <w:t>,</w:t>
            </w:r>
            <w:r w:rsidRPr="00D52611">
              <w:rPr>
                <w:rFonts w:cs="Arial"/>
                <w:b/>
                <w:color w:val="auto"/>
                <w:lang w:eastAsia="en-US"/>
              </w:rPr>
              <w:t>074</w:t>
            </w:r>
            <w:r>
              <w:rPr>
                <w:rFonts w:cs="Arial"/>
                <w:b/>
                <w:color w:val="auto"/>
                <w:lang w:eastAsia="en-US"/>
              </w:rPr>
              <w:t>,</w:t>
            </w:r>
            <w:r w:rsidRPr="00D52611">
              <w:rPr>
                <w:rFonts w:cs="Arial"/>
                <w:b/>
                <w:color w:val="auto"/>
                <w:lang w:eastAsia="en-US"/>
              </w:rPr>
              <w:t>640</w:t>
            </w:r>
          </w:p>
        </w:tc>
        <w:tc>
          <w:tcPr>
            <w:tcW w:w="1405" w:type="dxa"/>
            <w:tcBorders>
              <w:top w:val="nil"/>
              <w:left w:val="nil"/>
              <w:bottom w:val="nil"/>
              <w:right w:val="nil"/>
            </w:tcBorders>
            <w:vAlign w:val="center"/>
            <w:hideMark/>
          </w:tcPr>
          <w:p w14:paraId="4E151655" w14:textId="1F0858B9"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color w:val="auto"/>
                <w:lang w:eastAsia="en-US"/>
              </w:rPr>
              <w:t>5</w:t>
            </w:r>
            <w:r>
              <w:rPr>
                <w:rFonts w:cs="Arial"/>
                <w:b/>
                <w:color w:val="auto"/>
                <w:lang w:eastAsia="en-US"/>
              </w:rPr>
              <w:t>,</w:t>
            </w:r>
            <w:r w:rsidRPr="00D52611">
              <w:rPr>
                <w:rFonts w:cs="Arial"/>
                <w:b/>
                <w:color w:val="auto"/>
                <w:lang w:eastAsia="en-US"/>
              </w:rPr>
              <w:t>924</w:t>
            </w:r>
            <w:r>
              <w:rPr>
                <w:rFonts w:cs="Arial"/>
                <w:b/>
                <w:color w:val="auto"/>
                <w:lang w:eastAsia="en-US"/>
              </w:rPr>
              <w:t>,</w:t>
            </w:r>
            <w:r w:rsidRPr="00D52611">
              <w:rPr>
                <w:rFonts w:cs="Arial"/>
                <w:b/>
                <w:color w:val="auto"/>
                <w:lang w:eastAsia="en-US"/>
              </w:rPr>
              <w:t>821</w:t>
            </w:r>
          </w:p>
        </w:tc>
        <w:tc>
          <w:tcPr>
            <w:tcW w:w="1914" w:type="dxa"/>
            <w:tcBorders>
              <w:top w:val="nil"/>
              <w:left w:val="nil"/>
              <w:bottom w:val="nil"/>
              <w:right w:val="nil"/>
            </w:tcBorders>
            <w:vAlign w:val="center"/>
            <w:hideMark/>
          </w:tcPr>
          <w:p w14:paraId="1A069AF1" w14:textId="795AF32A" w:rsidR="00855C3C" w:rsidRPr="00D52611" w:rsidRDefault="00855C3C" w:rsidP="00211CC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lang w:eastAsia="pt-BR"/>
              </w:rPr>
            </w:pPr>
            <w:r>
              <w:rPr>
                <w:rFonts w:cs="Arial"/>
                <w:b/>
                <w:bCs/>
                <w:color w:val="auto"/>
                <w:sz w:val="14"/>
                <w:szCs w:val="14"/>
              </w:rPr>
              <w:t>1,761,554</w:t>
            </w:r>
          </w:p>
        </w:tc>
      </w:tr>
      <w:tr w:rsidR="00855C3C" w:rsidRPr="00D52611" w14:paraId="4260E4BB" w14:textId="77777777" w:rsidTr="00211CC1">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6EE77E44" w14:textId="77777777" w:rsidR="00855C3C" w:rsidRPr="00D52611" w:rsidRDefault="00855C3C" w:rsidP="00211CC1">
            <w:pPr>
              <w:pStyle w:val="08-Tabelageral"/>
              <w:ind w:left="113"/>
              <w:jc w:val="left"/>
              <w:rPr>
                <w:rFonts w:cs="Arial"/>
                <w:b w:val="0"/>
                <w:snapToGrid w:val="0"/>
                <w:lang w:eastAsia="en-US"/>
              </w:rPr>
            </w:pPr>
            <w:r w:rsidRPr="00D52611">
              <w:rPr>
                <w:rFonts w:cs="Arial"/>
                <w:b w:val="0"/>
                <w:lang w:eastAsia="en-US"/>
              </w:rPr>
              <w:t>BB MAPFRE</w:t>
            </w:r>
          </w:p>
        </w:tc>
        <w:tc>
          <w:tcPr>
            <w:tcW w:w="1407" w:type="dxa"/>
            <w:tcBorders>
              <w:top w:val="nil"/>
              <w:left w:val="nil"/>
              <w:bottom w:val="nil"/>
              <w:right w:val="nil"/>
            </w:tcBorders>
            <w:vAlign w:val="center"/>
            <w:hideMark/>
          </w:tcPr>
          <w:p w14:paraId="41E3E406" w14:textId="4A455AE1" w:rsidR="00855C3C" w:rsidRPr="00D52611" w:rsidRDefault="00855C3C" w:rsidP="00211CC1">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r>
              <w:rPr>
                <w:rFonts w:cs="Arial"/>
                <w:lang w:eastAsia="en-US"/>
              </w:rPr>
              <w:t>Insurance</w:t>
            </w:r>
          </w:p>
        </w:tc>
        <w:tc>
          <w:tcPr>
            <w:tcW w:w="1408" w:type="dxa"/>
            <w:tcBorders>
              <w:top w:val="nil"/>
              <w:left w:val="nil"/>
              <w:bottom w:val="nil"/>
              <w:right w:val="nil"/>
            </w:tcBorders>
            <w:vAlign w:val="center"/>
            <w:hideMark/>
          </w:tcPr>
          <w:p w14:paraId="5EAF949E" w14:textId="0C710DD9"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74</w:t>
            </w:r>
            <w:r>
              <w:rPr>
                <w:rFonts w:cs="Arial"/>
                <w:lang w:eastAsia="en-US"/>
              </w:rPr>
              <w:t>.</w:t>
            </w:r>
            <w:r w:rsidRPr="00D52611">
              <w:rPr>
                <w:rFonts w:cs="Arial"/>
                <w:lang w:eastAsia="en-US"/>
              </w:rPr>
              <w:t>99%</w:t>
            </w:r>
          </w:p>
        </w:tc>
        <w:tc>
          <w:tcPr>
            <w:tcW w:w="1404" w:type="dxa"/>
            <w:tcBorders>
              <w:top w:val="nil"/>
              <w:left w:val="nil"/>
              <w:bottom w:val="nil"/>
              <w:right w:val="nil"/>
            </w:tcBorders>
            <w:vAlign w:val="center"/>
            <w:hideMark/>
          </w:tcPr>
          <w:p w14:paraId="10E55475" w14:textId="3F550401"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szCs w:val="14"/>
                <w:lang w:eastAsia="en-US"/>
              </w:rPr>
              <w:t>2</w:t>
            </w:r>
            <w:r>
              <w:rPr>
                <w:rFonts w:cs="Arial"/>
                <w:szCs w:val="14"/>
                <w:lang w:eastAsia="en-US"/>
              </w:rPr>
              <w:t>,</w:t>
            </w:r>
            <w:r w:rsidRPr="00D52611">
              <w:rPr>
                <w:rFonts w:cs="Arial"/>
                <w:szCs w:val="14"/>
                <w:lang w:eastAsia="en-US"/>
              </w:rPr>
              <w:t>337</w:t>
            </w:r>
            <w:r>
              <w:rPr>
                <w:rFonts w:cs="Arial"/>
                <w:szCs w:val="14"/>
                <w:lang w:eastAsia="en-US"/>
              </w:rPr>
              <w:t>,</w:t>
            </w:r>
            <w:r w:rsidRPr="00D52611">
              <w:rPr>
                <w:rFonts w:cs="Arial"/>
                <w:szCs w:val="14"/>
                <w:lang w:eastAsia="en-US"/>
              </w:rPr>
              <w:t>086</w:t>
            </w:r>
          </w:p>
        </w:tc>
        <w:tc>
          <w:tcPr>
            <w:tcW w:w="1405" w:type="dxa"/>
            <w:tcBorders>
              <w:top w:val="nil"/>
              <w:left w:val="nil"/>
              <w:bottom w:val="nil"/>
              <w:right w:val="nil"/>
            </w:tcBorders>
            <w:vAlign w:val="center"/>
            <w:hideMark/>
          </w:tcPr>
          <w:p w14:paraId="48E5C4ED" w14:textId="60817191"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szCs w:val="14"/>
                <w:lang w:eastAsia="en-US"/>
              </w:rPr>
              <w:t>2</w:t>
            </w:r>
            <w:r>
              <w:rPr>
                <w:rFonts w:cs="Arial"/>
                <w:szCs w:val="14"/>
                <w:lang w:eastAsia="en-US"/>
              </w:rPr>
              <w:t>,</w:t>
            </w:r>
            <w:r w:rsidRPr="00D52611">
              <w:rPr>
                <w:rFonts w:cs="Arial"/>
                <w:szCs w:val="14"/>
                <w:lang w:eastAsia="en-US"/>
              </w:rPr>
              <w:t>245</w:t>
            </w:r>
            <w:r>
              <w:rPr>
                <w:rFonts w:cs="Arial"/>
                <w:szCs w:val="14"/>
                <w:lang w:eastAsia="en-US"/>
              </w:rPr>
              <w:t>,</w:t>
            </w:r>
            <w:r w:rsidRPr="00D52611">
              <w:rPr>
                <w:rFonts w:cs="Arial"/>
                <w:szCs w:val="14"/>
                <w:lang w:eastAsia="en-US"/>
              </w:rPr>
              <w:t>714</w:t>
            </w:r>
          </w:p>
        </w:tc>
        <w:tc>
          <w:tcPr>
            <w:tcW w:w="1914" w:type="dxa"/>
            <w:tcBorders>
              <w:top w:val="nil"/>
              <w:left w:val="nil"/>
              <w:bottom w:val="nil"/>
              <w:right w:val="nil"/>
            </w:tcBorders>
            <w:vAlign w:val="center"/>
            <w:hideMark/>
          </w:tcPr>
          <w:p w14:paraId="31C08952" w14:textId="486C8C2A" w:rsidR="00855C3C" w:rsidRPr="00D52611" w:rsidRDefault="00855C3C" w:rsidP="00211CC1">
            <w:pPr>
              <w:jc w:val="right"/>
              <w:cnfStyle w:val="000000000000" w:firstRow="0" w:lastRow="0" w:firstColumn="0" w:lastColumn="0" w:oddVBand="0" w:evenVBand="0" w:oddHBand="0" w:evenHBand="0" w:firstRowFirstColumn="0" w:firstRowLastColumn="0" w:lastRowFirstColumn="0" w:lastRowLastColumn="0"/>
              <w:rPr>
                <w:rFonts w:cs="Arial"/>
                <w:sz w:val="14"/>
                <w:szCs w:val="14"/>
                <w:lang w:eastAsia="pt-BR"/>
              </w:rPr>
            </w:pPr>
            <w:r>
              <w:rPr>
                <w:rFonts w:cs="Arial"/>
                <w:sz w:val="14"/>
                <w:szCs w:val="14"/>
              </w:rPr>
              <w:t>1,067,020</w:t>
            </w:r>
          </w:p>
        </w:tc>
      </w:tr>
      <w:tr w:rsidR="00855C3C" w:rsidRPr="00D52611" w14:paraId="7C471B5F" w14:textId="77777777" w:rsidTr="00211CC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1A33C0E3" w14:textId="77777777" w:rsidR="00855C3C" w:rsidRPr="00D52611" w:rsidRDefault="00855C3C" w:rsidP="00211CC1">
            <w:pPr>
              <w:pStyle w:val="08-Tabelageral"/>
              <w:ind w:left="113"/>
              <w:jc w:val="left"/>
              <w:rPr>
                <w:rFonts w:cs="Arial"/>
                <w:b w:val="0"/>
                <w:snapToGrid w:val="0"/>
                <w:lang w:eastAsia="en-US"/>
              </w:rPr>
            </w:pPr>
            <w:r w:rsidRPr="00D52611">
              <w:rPr>
                <w:rFonts w:cs="Arial"/>
                <w:b w:val="0"/>
                <w:lang w:eastAsia="en-US"/>
              </w:rPr>
              <w:t>Brasilprev</w:t>
            </w:r>
          </w:p>
        </w:tc>
        <w:tc>
          <w:tcPr>
            <w:tcW w:w="1407" w:type="dxa"/>
            <w:tcBorders>
              <w:top w:val="nil"/>
              <w:left w:val="nil"/>
              <w:bottom w:val="nil"/>
              <w:right w:val="nil"/>
            </w:tcBorders>
            <w:vAlign w:val="center"/>
            <w:hideMark/>
          </w:tcPr>
          <w:p w14:paraId="4E7B8DF8" w14:textId="42FDEDD0" w:rsidR="00855C3C" w:rsidRPr="00D52611" w:rsidRDefault="00855C3C" w:rsidP="00211CC1">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P</w:t>
            </w:r>
            <w:r>
              <w:rPr>
                <w:rFonts w:cs="Arial"/>
                <w:lang w:eastAsia="en-US"/>
              </w:rPr>
              <w:t>ension Plans</w:t>
            </w:r>
          </w:p>
        </w:tc>
        <w:tc>
          <w:tcPr>
            <w:tcW w:w="1408" w:type="dxa"/>
            <w:tcBorders>
              <w:top w:val="nil"/>
              <w:left w:val="nil"/>
              <w:bottom w:val="nil"/>
              <w:right w:val="nil"/>
            </w:tcBorders>
            <w:vAlign w:val="center"/>
            <w:hideMark/>
          </w:tcPr>
          <w:p w14:paraId="75024433" w14:textId="199FBDA3"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w:t>
            </w:r>
            <w:r>
              <w:rPr>
                <w:rFonts w:cs="Arial"/>
                <w:lang w:eastAsia="en-US"/>
              </w:rPr>
              <w:t>.</w:t>
            </w:r>
            <w:r w:rsidRPr="00D52611">
              <w:rPr>
                <w:rFonts w:cs="Arial"/>
                <w:lang w:eastAsia="en-US"/>
              </w:rPr>
              <w:t>99%</w:t>
            </w:r>
          </w:p>
        </w:tc>
        <w:tc>
          <w:tcPr>
            <w:tcW w:w="1404" w:type="dxa"/>
            <w:tcBorders>
              <w:top w:val="nil"/>
              <w:left w:val="nil"/>
              <w:bottom w:val="nil"/>
              <w:right w:val="nil"/>
            </w:tcBorders>
            <w:vAlign w:val="center"/>
            <w:hideMark/>
          </w:tcPr>
          <w:p w14:paraId="72FF41F3" w14:textId="23CDE71F"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4</w:t>
            </w:r>
            <w:r>
              <w:rPr>
                <w:color w:val="auto"/>
                <w:lang w:eastAsia="en-US"/>
              </w:rPr>
              <w:t>,</w:t>
            </w:r>
            <w:r w:rsidRPr="00D52611">
              <w:rPr>
                <w:color w:val="auto"/>
                <w:lang w:eastAsia="en-US"/>
              </w:rPr>
              <w:t>354</w:t>
            </w:r>
            <w:r>
              <w:rPr>
                <w:color w:val="auto"/>
                <w:lang w:eastAsia="en-US"/>
              </w:rPr>
              <w:t>,</w:t>
            </w:r>
            <w:r w:rsidRPr="00D52611">
              <w:rPr>
                <w:color w:val="auto"/>
                <w:lang w:eastAsia="en-US"/>
              </w:rPr>
              <w:t>377</w:t>
            </w:r>
          </w:p>
        </w:tc>
        <w:tc>
          <w:tcPr>
            <w:tcW w:w="1405" w:type="dxa"/>
            <w:tcBorders>
              <w:top w:val="nil"/>
              <w:left w:val="nil"/>
              <w:bottom w:val="nil"/>
              <w:right w:val="nil"/>
            </w:tcBorders>
            <w:vAlign w:val="center"/>
            <w:hideMark/>
          </w:tcPr>
          <w:p w14:paraId="4591F6FF" w14:textId="6ADA772D"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3</w:t>
            </w:r>
            <w:r>
              <w:rPr>
                <w:color w:val="auto"/>
                <w:lang w:eastAsia="en-US"/>
              </w:rPr>
              <w:t>,</w:t>
            </w:r>
            <w:r w:rsidRPr="00D52611">
              <w:rPr>
                <w:color w:val="auto"/>
                <w:lang w:eastAsia="en-US"/>
              </w:rPr>
              <w:t>338</w:t>
            </w:r>
            <w:r>
              <w:rPr>
                <w:color w:val="auto"/>
                <w:lang w:eastAsia="en-US"/>
              </w:rPr>
              <w:t>,</w:t>
            </w:r>
            <w:r w:rsidRPr="00D52611">
              <w:rPr>
                <w:color w:val="auto"/>
                <w:lang w:eastAsia="en-US"/>
              </w:rPr>
              <w:t>239</w:t>
            </w:r>
          </w:p>
        </w:tc>
        <w:tc>
          <w:tcPr>
            <w:tcW w:w="1914" w:type="dxa"/>
            <w:tcBorders>
              <w:top w:val="nil"/>
              <w:left w:val="nil"/>
              <w:bottom w:val="nil"/>
              <w:right w:val="nil"/>
            </w:tcBorders>
            <w:vAlign w:val="center"/>
            <w:hideMark/>
          </w:tcPr>
          <w:p w14:paraId="0BBD67E3" w14:textId="54B9CC70" w:rsidR="00855C3C" w:rsidRPr="00D52611" w:rsidRDefault="00855C3C" w:rsidP="00211CC1">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Pr>
                <w:rFonts w:cs="Arial"/>
                <w:color w:val="auto"/>
                <w:sz w:val="14"/>
                <w:szCs w:val="14"/>
              </w:rPr>
              <w:t>756,544</w:t>
            </w:r>
          </w:p>
        </w:tc>
      </w:tr>
      <w:tr w:rsidR="00855C3C" w:rsidRPr="00D52611" w14:paraId="3C4B3397" w14:textId="77777777" w:rsidTr="00211CC1">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4EF1F649" w14:textId="77777777" w:rsidR="00855C3C" w:rsidRPr="00D52611" w:rsidRDefault="00855C3C" w:rsidP="00211CC1">
            <w:pPr>
              <w:pStyle w:val="08-Tabelageral"/>
              <w:ind w:left="113"/>
              <w:jc w:val="left"/>
              <w:rPr>
                <w:rFonts w:cs="Arial"/>
                <w:b w:val="0"/>
                <w:snapToGrid w:val="0"/>
                <w:vertAlign w:val="superscript"/>
                <w:lang w:eastAsia="en-US"/>
              </w:rPr>
            </w:pPr>
            <w:r w:rsidRPr="00D52611">
              <w:rPr>
                <w:rFonts w:cs="Arial"/>
                <w:b w:val="0"/>
                <w:lang w:eastAsia="en-US"/>
              </w:rPr>
              <w:t>Brasilcap</w:t>
            </w:r>
          </w:p>
        </w:tc>
        <w:tc>
          <w:tcPr>
            <w:tcW w:w="1407" w:type="dxa"/>
            <w:tcBorders>
              <w:top w:val="nil"/>
              <w:left w:val="nil"/>
              <w:bottom w:val="nil"/>
              <w:right w:val="nil"/>
            </w:tcBorders>
            <w:vAlign w:val="center"/>
            <w:hideMark/>
          </w:tcPr>
          <w:p w14:paraId="33822237" w14:textId="76A9AA3C" w:rsidR="00855C3C" w:rsidRPr="00D52611" w:rsidRDefault="00855C3C" w:rsidP="00211CC1">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r>
              <w:rPr>
                <w:rFonts w:cs="Arial"/>
                <w:lang w:eastAsia="en-US"/>
              </w:rPr>
              <w:t>Premium Bonds</w:t>
            </w:r>
          </w:p>
        </w:tc>
        <w:tc>
          <w:tcPr>
            <w:tcW w:w="1408" w:type="dxa"/>
            <w:tcBorders>
              <w:top w:val="nil"/>
              <w:left w:val="nil"/>
              <w:bottom w:val="nil"/>
              <w:right w:val="nil"/>
            </w:tcBorders>
            <w:vAlign w:val="center"/>
            <w:hideMark/>
          </w:tcPr>
          <w:p w14:paraId="22676DB3" w14:textId="53BEA060"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66</w:t>
            </w:r>
            <w:r>
              <w:rPr>
                <w:rFonts w:cs="Arial"/>
                <w:lang w:eastAsia="en-US"/>
              </w:rPr>
              <w:t>.</w:t>
            </w:r>
            <w:r w:rsidRPr="00D52611">
              <w:rPr>
                <w:rFonts w:cs="Arial"/>
                <w:lang w:eastAsia="en-US"/>
              </w:rPr>
              <w:t>66%</w:t>
            </w:r>
          </w:p>
        </w:tc>
        <w:tc>
          <w:tcPr>
            <w:tcW w:w="1404" w:type="dxa"/>
            <w:tcBorders>
              <w:top w:val="nil"/>
              <w:left w:val="nil"/>
              <w:bottom w:val="nil"/>
              <w:right w:val="nil"/>
            </w:tcBorders>
            <w:vAlign w:val="center"/>
            <w:hideMark/>
          </w:tcPr>
          <w:p w14:paraId="74E83E12" w14:textId="5E220EBC"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lang w:eastAsia="en-US"/>
              </w:rPr>
              <w:t>427</w:t>
            </w:r>
            <w:r>
              <w:rPr>
                <w:lang w:eastAsia="en-US"/>
              </w:rPr>
              <w:t>,</w:t>
            </w:r>
            <w:r w:rsidRPr="00D52611">
              <w:rPr>
                <w:lang w:eastAsia="en-US"/>
              </w:rPr>
              <w:t>840</w:t>
            </w:r>
          </w:p>
        </w:tc>
        <w:tc>
          <w:tcPr>
            <w:tcW w:w="1405" w:type="dxa"/>
            <w:tcBorders>
              <w:top w:val="nil"/>
              <w:left w:val="nil"/>
              <w:bottom w:val="nil"/>
              <w:right w:val="nil"/>
            </w:tcBorders>
            <w:vAlign w:val="center"/>
            <w:hideMark/>
          </w:tcPr>
          <w:p w14:paraId="0CA234C6" w14:textId="102C6E2A"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lang w:eastAsia="en-US"/>
              </w:rPr>
              <w:t>470</w:t>
            </w:r>
            <w:r>
              <w:rPr>
                <w:lang w:eastAsia="en-US"/>
              </w:rPr>
              <w:t>,</w:t>
            </w:r>
            <w:r w:rsidRPr="00D52611">
              <w:rPr>
                <w:lang w:eastAsia="en-US"/>
              </w:rPr>
              <w:t>327</w:t>
            </w:r>
          </w:p>
        </w:tc>
        <w:tc>
          <w:tcPr>
            <w:tcW w:w="1914" w:type="dxa"/>
            <w:tcBorders>
              <w:top w:val="nil"/>
              <w:left w:val="nil"/>
              <w:bottom w:val="nil"/>
              <w:right w:val="nil"/>
            </w:tcBorders>
            <w:vAlign w:val="center"/>
            <w:hideMark/>
          </w:tcPr>
          <w:p w14:paraId="45CF49B3" w14:textId="55D89696" w:rsidR="00855C3C" w:rsidRPr="00D52611" w:rsidRDefault="00855C3C" w:rsidP="00211CC1">
            <w:pPr>
              <w:jc w:val="right"/>
              <w:cnfStyle w:val="000000000000" w:firstRow="0" w:lastRow="0" w:firstColumn="0" w:lastColumn="0" w:oddVBand="0" w:evenVBand="0" w:oddHBand="0" w:evenHBand="0" w:firstRowFirstColumn="0" w:firstRowLastColumn="0" w:lastRowFirstColumn="0" w:lastRowLastColumn="0"/>
              <w:rPr>
                <w:rFonts w:cs="Arial"/>
                <w:sz w:val="14"/>
                <w:szCs w:val="14"/>
                <w:lang w:eastAsia="pt-BR"/>
              </w:rPr>
            </w:pPr>
            <w:r>
              <w:rPr>
                <w:rFonts w:cs="Arial"/>
                <w:sz w:val="14"/>
                <w:szCs w:val="14"/>
              </w:rPr>
              <w:t>2,341</w:t>
            </w:r>
          </w:p>
        </w:tc>
      </w:tr>
      <w:tr w:rsidR="00855C3C" w:rsidRPr="00D52611" w14:paraId="3BE74FD9" w14:textId="77777777" w:rsidTr="00211CC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2C070059" w14:textId="77777777" w:rsidR="00855C3C" w:rsidRPr="00D52611" w:rsidRDefault="00855C3C" w:rsidP="00211CC1">
            <w:pPr>
              <w:pStyle w:val="08-Tabelageral"/>
              <w:ind w:left="113"/>
              <w:jc w:val="left"/>
              <w:rPr>
                <w:rFonts w:cs="Arial"/>
                <w:b w:val="0"/>
                <w:lang w:eastAsia="en-US"/>
              </w:rPr>
            </w:pPr>
            <w:r w:rsidRPr="00D52611">
              <w:rPr>
                <w:rFonts w:cs="Arial"/>
                <w:b w:val="0"/>
                <w:lang w:eastAsia="en-US"/>
              </w:rPr>
              <w:t>Brasildental</w:t>
            </w:r>
          </w:p>
        </w:tc>
        <w:tc>
          <w:tcPr>
            <w:tcW w:w="1407" w:type="dxa"/>
            <w:tcBorders>
              <w:top w:val="nil"/>
              <w:left w:val="nil"/>
              <w:bottom w:val="nil"/>
              <w:right w:val="nil"/>
            </w:tcBorders>
            <w:vAlign w:val="center"/>
            <w:hideMark/>
          </w:tcPr>
          <w:p w14:paraId="23A51DAA" w14:textId="61B4F942" w:rsidR="00855C3C" w:rsidRPr="00D52611" w:rsidRDefault="00855C3C" w:rsidP="00211CC1">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Pr>
                <w:rFonts w:cs="Arial"/>
                <w:lang w:eastAsia="en-US"/>
              </w:rPr>
              <w:t>Dental Care</w:t>
            </w:r>
          </w:p>
        </w:tc>
        <w:tc>
          <w:tcPr>
            <w:tcW w:w="1408" w:type="dxa"/>
            <w:tcBorders>
              <w:top w:val="nil"/>
              <w:left w:val="nil"/>
              <w:bottom w:val="nil"/>
              <w:right w:val="nil"/>
            </w:tcBorders>
            <w:vAlign w:val="center"/>
            <w:hideMark/>
          </w:tcPr>
          <w:p w14:paraId="106FD99A" w14:textId="7046751D"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w:t>
            </w:r>
            <w:r>
              <w:rPr>
                <w:rFonts w:cs="Arial"/>
                <w:lang w:eastAsia="en-US"/>
              </w:rPr>
              <w:t>.</w:t>
            </w:r>
            <w:r w:rsidRPr="00D52611">
              <w:rPr>
                <w:rFonts w:cs="Arial"/>
                <w:lang w:eastAsia="en-US"/>
              </w:rPr>
              <w:t>99%</w:t>
            </w:r>
          </w:p>
        </w:tc>
        <w:tc>
          <w:tcPr>
            <w:tcW w:w="1404" w:type="dxa"/>
            <w:tcBorders>
              <w:top w:val="nil"/>
              <w:left w:val="nil"/>
              <w:bottom w:val="nil"/>
              <w:right w:val="nil"/>
            </w:tcBorders>
            <w:vAlign w:val="center"/>
            <w:hideMark/>
          </w:tcPr>
          <w:p w14:paraId="2DFBB06E" w14:textId="77A996E4"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16</w:t>
            </w:r>
            <w:r>
              <w:rPr>
                <w:color w:val="auto"/>
                <w:lang w:eastAsia="en-US"/>
              </w:rPr>
              <w:t>,</w:t>
            </w:r>
            <w:r w:rsidRPr="00D52611">
              <w:rPr>
                <w:color w:val="auto"/>
                <w:lang w:eastAsia="en-US"/>
              </w:rPr>
              <w:t>088</w:t>
            </w:r>
          </w:p>
        </w:tc>
        <w:tc>
          <w:tcPr>
            <w:tcW w:w="1405" w:type="dxa"/>
            <w:tcBorders>
              <w:top w:val="nil"/>
              <w:left w:val="nil"/>
              <w:bottom w:val="nil"/>
              <w:right w:val="nil"/>
            </w:tcBorders>
            <w:vAlign w:val="center"/>
            <w:hideMark/>
          </w:tcPr>
          <w:p w14:paraId="2BAC2A61" w14:textId="0B86201B"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15</w:t>
            </w:r>
            <w:r>
              <w:rPr>
                <w:color w:val="auto"/>
                <w:lang w:eastAsia="en-US"/>
              </w:rPr>
              <w:t>,</w:t>
            </w:r>
            <w:r w:rsidRPr="00D52611">
              <w:rPr>
                <w:color w:val="auto"/>
                <w:lang w:eastAsia="en-US"/>
              </w:rPr>
              <w:t>582</w:t>
            </w:r>
          </w:p>
        </w:tc>
        <w:tc>
          <w:tcPr>
            <w:tcW w:w="1914" w:type="dxa"/>
            <w:tcBorders>
              <w:top w:val="nil"/>
              <w:left w:val="nil"/>
              <w:bottom w:val="nil"/>
              <w:right w:val="nil"/>
            </w:tcBorders>
            <w:vAlign w:val="center"/>
            <w:hideMark/>
          </w:tcPr>
          <w:p w14:paraId="06E28A7B" w14:textId="5E176975" w:rsidR="00855C3C" w:rsidRPr="00D52611" w:rsidRDefault="00855C3C" w:rsidP="00211CC1">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Pr>
                <w:rFonts w:cs="Arial"/>
                <w:color w:val="auto"/>
                <w:sz w:val="14"/>
                <w:szCs w:val="14"/>
                <w:lang w:eastAsia="pt-BR"/>
              </w:rPr>
              <w:t>17,083</w:t>
            </w:r>
          </w:p>
        </w:tc>
      </w:tr>
      <w:tr w:rsidR="00855C3C" w:rsidRPr="00D52611" w14:paraId="04FECBC7" w14:textId="77777777" w:rsidTr="00211CC1">
        <w:trPr>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33EF1665" w14:textId="77777777" w:rsidR="00855C3C" w:rsidRPr="00D52611" w:rsidRDefault="00855C3C" w:rsidP="00211CC1">
            <w:pPr>
              <w:pStyle w:val="08-Tabelageral"/>
              <w:tabs>
                <w:tab w:val="left" w:pos="1141"/>
              </w:tabs>
              <w:jc w:val="left"/>
              <w:rPr>
                <w:rFonts w:cs="Arial"/>
                <w:snapToGrid w:val="0"/>
                <w:lang w:eastAsia="en-US"/>
              </w:rPr>
            </w:pPr>
            <w:r w:rsidRPr="00D52611">
              <w:rPr>
                <w:rFonts w:cs="Arial"/>
                <w:lang w:eastAsia="en-US"/>
              </w:rPr>
              <w:t>BB Corretora</w:t>
            </w:r>
          </w:p>
        </w:tc>
        <w:tc>
          <w:tcPr>
            <w:tcW w:w="1407" w:type="dxa"/>
            <w:tcBorders>
              <w:top w:val="nil"/>
              <w:left w:val="nil"/>
              <w:bottom w:val="nil"/>
              <w:right w:val="nil"/>
            </w:tcBorders>
            <w:vAlign w:val="center"/>
            <w:hideMark/>
          </w:tcPr>
          <w:p w14:paraId="763ADD01" w14:textId="128A58C0" w:rsidR="00855C3C" w:rsidRPr="00D52611" w:rsidRDefault="00855C3C" w:rsidP="00211CC1">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lang w:eastAsia="en-US"/>
              </w:rPr>
            </w:pPr>
            <w:r>
              <w:rPr>
                <w:rFonts w:cs="Arial"/>
                <w:b/>
                <w:bCs/>
                <w:lang w:eastAsia="en-US"/>
              </w:rPr>
              <w:t>Broker</w:t>
            </w:r>
          </w:p>
        </w:tc>
        <w:tc>
          <w:tcPr>
            <w:tcW w:w="1408" w:type="dxa"/>
            <w:tcBorders>
              <w:top w:val="nil"/>
              <w:left w:val="nil"/>
              <w:bottom w:val="nil"/>
              <w:right w:val="nil"/>
            </w:tcBorders>
            <w:vAlign w:val="center"/>
            <w:hideMark/>
          </w:tcPr>
          <w:p w14:paraId="4B3D7808" w14:textId="7AA6C955"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100</w:t>
            </w:r>
            <w:r>
              <w:rPr>
                <w:rFonts w:cs="Arial"/>
                <w:b/>
                <w:bCs/>
                <w:lang w:eastAsia="en-US"/>
              </w:rPr>
              <w:t>.</w:t>
            </w:r>
            <w:r w:rsidRPr="00D52611">
              <w:rPr>
                <w:rFonts w:cs="Arial"/>
                <w:b/>
                <w:bCs/>
                <w:lang w:eastAsia="en-US"/>
              </w:rPr>
              <w:t>00%</w:t>
            </w:r>
          </w:p>
        </w:tc>
        <w:tc>
          <w:tcPr>
            <w:tcW w:w="1404" w:type="dxa"/>
            <w:tcBorders>
              <w:top w:val="nil"/>
              <w:left w:val="nil"/>
              <w:bottom w:val="nil"/>
              <w:right w:val="nil"/>
            </w:tcBorders>
            <w:vAlign w:val="center"/>
            <w:hideMark/>
          </w:tcPr>
          <w:p w14:paraId="1032B0BD" w14:textId="29DF27D3"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6</w:t>
            </w:r>
            <w:r>
              <w:rPr>
                <w:rFonts w:cs="Arial"/>
                <w:b/>
                <w:bCs/>
                <w:lang w:eastAsia="en-US"/>
              </w:rPr>
              <w:t>,</w:t>
            </w:r>
            <w:r w:rsidRPr="00D52611">
              <w:rPr>
                <w:rFonts w:cs="Arial"/>
                <w:b/>
                <w:bCs/>
                <w:lang w:eastAsia="en-US"/>
              </w:rPr>
              <w:t>009</w:t>
            </w:r>
          </w:p>
        </w:tc>
        <w:tc>
          <w:tcPr>
            <w:tcW w:w="1405" w:type="dxa"/>
            <w:tcBorders>
              <w:top w:val="nil"/>
              <w:left w:val="nil"/>
              <w:bottom w:val="nil"/>
              <w:right w:val="nil"/>
            </w:tcBorders>
            <w:vAlign w:val="center"/>
            <w:hideMark/>
          </w:tcPr>
          <w:p w14:paraId="03B2F05F" w14:textId="4CBBEE95" w:rsidR="00855C3C" w:rsidRPr="00D52611" w:rsidRDefault="00855C3C" w:rsidP="00211CC1">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46</w:t>
            </w:r>
            <w:r>
              <w:rPr>
                <w:rFonts w:cs="Arial"/>
                <w:b/>
                <w:bCs/>
                <w:lang w:eastAsia="en-US"/>
              </w:rPr>
              <w:t>,</w:t>
            </w:r>
            <w:r w:rsidRPr="00D52611">
              <w:rPr>
                <w:rFonts w:cs="Arial"/>
                <w:b/>
                <w:bCs/>
                <w:lang w:eastAsia="en-US"/>
              </w:rPr>
              <w:t>908</w:t>
            </w:r>
          </w:p>
        </w:tc>
        <w:tc>
          <w:tcPr>
            <w:tcW w:w="1914" w:type="dxa"/>
            <w:tcBorders>
              <w:top w:val="nil"/>
              <w:left w:val="nil"/>
              <w:bottom w:val="nil"/>
              <w:right w:val="nil"/>
            </w:tcBorders>
            <w:vAlign w:val="center"/>
            <w:hideMark/>
          </w:tcPr>
          <w:p w14:paraId="02BC1859" w14:textId="34F31C0E" w:rsidR="00855C3C" w:rsidRPr="00D52611" w:rsidRDefault="00855C3C" w:rsidP="00211CC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lang w:eastAsia="pt-BR"/>
              </w:rPr>
            </w:pPr>
            <w:r>
              <w:rPr>
                <w:rFonts w:cs="Arial"/>
                <w:b/>
                <w:bCs/>
                <w:sz w:val="14"/>
                <w:szCs w:val="14"/>
              </w:rPr>
              <w:t>2,162,039</w:t>
            </w:r>
          </w:p>
        </w:tc>
      </w:tr>
      <w:tr w:rsidR="00855C3C" w:rsidRPr="00FA31E9" w14:paraId="7562EE62" w14:textId="77777777" w:rsidTr="00211CC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9CC2E5" w:themeColor="accent1" w:themeTint="99"/>
              <w:right w:val="nil"/>
            </w:tcBorders>
            <w:hideMark/>
          </w:tcPr>
          <w:p w14:paraId="3DDC42AC" w14:textId="77777777" w:rsidR="00855C3C" w:rsidRPr="00D52611" w:rsidRDefault="00855C3C" w:rsidP="00211CC1">
            <w:pPr>
              <w:pStyle w:val="08-Tabelageral"/>
              <w:ind w:left="113"/>
              <w:jc w:val="left"/>
              <w:rPr>
                <w:rFonts w:cs="Arial"/>
                <w:b w:val="0"/>
                <w:lang w:eastAsia="en-US"/>
              </w:rPr>
            </w:pPr>
            <w:r w:rsidRPr="00D52611">
              <w:rPr>
                <w:rFonts w:cs="Arial"/>
                <w:b w:val="0"/>
                <w:lang w:eastAsia="en-US"/>
              </w:rPr>
              <w:t>Ciclic</w:t>
            </w:r>
          </w:p>
        </w:tc>
        <w:tc>
          <w:tcPr>
            <w:tcW w:w="1407" w:type="dxa"/>
            <w:tcBorders>
              <w:top w:val="nil"/>
              <w:left w:val="nil"/>
              <w:bottom w:val="single" w:sz="2" w:space="0" w:color="9CC2E5" w:themeColor="accent1" w:themeTint="99"/>
              <w:right w:val="nil"/>
            </w:tcBorders>
            <w:vAlign w:val="center"/>
            <w:hideMark/>
          </w:tcPr>
          <w:p w14:paraId="45F6A5DA" w14:textId="56857BB2" w:rsidR="00855C3C" w:rsidRPr="00D52611" w:rsidRDefault="00855C3C" w:rsidP="00211CC1">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Pr>
                <w:rFonts w:cs="Arial"/>
                <w:lang w:eastAsia="en-US"/>
              </w:rPr>
              <w:t>Broker</w:t>
            </w:r>
          </w:p>
        </w:tc>
        <w:tc>
          <w:tcPr>
            <w:tcW w:w="1408" w:type="dxa"/>
            <w:tcBorders>
              <w:top w:val="nil"/>
              <w:left w:val="nil"/>
              <w:bottom w:val="single" w:sz="2" w:space="0" w:color="9CC2E5" w:themeColor="accent1" w:themeTint="99"/>
              <w:right w:val="nil"/>
            </w:tcBorders>
            <w:vAlign w:val="center"/>
            <w:hideMark/>
          </w:tcPr>
          <w:p w14:paraId="224583E6" w14:textId="16DB6C85"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w:t>
            </w:r>
            <w:r>
              <w:rPr>
                <w:rFonts w:cs="Arial"/>
                <w:lang w:eastAsia="en-US"/>
              </w:rPr>
              <w:t>.</w:t>
            </w:r>
            <w:r w:rsidRPr="00D52611">
              <w:rPr>
                <w:rFonts w:cs="Arial"/>
                <w:lang w:eastAsia="en-US"/>
              </w:rPr>
              <w:t>99%</w:t>
            </w:r>
          </w:p>
        </w:tc>
        <w:tc>
          <w:tcPr>
            <w:tcW w:w="1404" w:type="dxa"/>
            <w:tcBorders>
              <w:top w:val="nil"/>
              <w:left w:val="nil"/>
              <w:bottom w:val="single" w:sz="2" w:space="0" w:color="9CC2E5" w:themeColor="accent1" w:themeTint="99"/>
              <w:right w:val="nil"/>
            </w:tcBorders>
            <w:vAlign w:val="center"/>
            <w:hideMark/>
          </w:tcPr>
          <w:p w14:paraId="5FE1D104" w14:textId="54B5B1FC"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w:t>
            </w:r>
            <w:r>
              <w:rPr>
                <w:color w:val="auto"/>
                <w:lang w:eastAsia="en-US"/>
              </w:rPr>
              <w:t>,</w:t>
            </w:r>
            <w:r w:rsidRPr="00D52611">
              <w:rPr>
                <w:color w:val="auto"/>
                <w:lang w:eastAsia="en-US"/>
              </w:rPr>
              <w:t>850</w:t>
            </w:r>
          </w:p>
        </w:tc>
        <w:tc>
          <w:tcPr>
            <w:tcW w:w="1405" w:type="dxa"/>
            <w:tcBorders>
              <w:top w:val="nil"/>
              <w:left w:val="nil"/>
              <w:bottom w:val="single" w:sz="2" w:space="0" w:color="9CC2E5" w:themeColor="accent1" w:themeTint="99"/>
              <w:right w:val="nil"/>
            </w:tcBorders>
            <w:vAlign w:val="center"/>
            <w:hideMark/>
          </w:tcPr>
          <w:p w14:paraId="751C64B6" w14:textId="3538A89A" w:rsidR="00855C3C" w:rsidRPr="00D52611" w:rsidRDefault="00855C3C" w:rsidP="00211CC1">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14</w:t>
            </w:r>
            <w:r>
              <w:rPr>
                <w:color w:val="auto"/>
                <w:lang w:eastAsia="en-US"/>
              </w:rPr>
              <w:t>,</w:t>
            </w:r>
            <w:r w:rsidRPr="00D52611">
              <w:rPr>
                <w:color w:val="auto"/>
                <w:lang w:eastAsia="en-US"/>
              </w:rPr>
              <w:t>483</w:t>
            </w:r>
          </w:p>
        </w:tc>
        <w:tc>
          <w:tcPr>
            <w:tcW w:w="1914" w:type="dxa"/>
            <w:tcBorders>
              <w:top w:val="nil"/>
              <w:left w:val="nil"/>
              <w:bottom w:val="single" w:sz="2" w:space="0" w:color="9CC2E5" w:themeColor="accent1" w:themeTint="99"/>
              <w:right w:val="nil"/>
            </w:tcBorders>
            <w:vAlign w:val="center"/>
            <w:hideMark/>
          </w:tcPr>
          <w:p w14:paraId="5D508749" w14:textId="42A7A928" w:rsidR="00855C3C" w:rsidRPr="00D52611" w:rsidRDefault="00855C3C" w:rsidP="00211CC1">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sidRPr="00D52611">
              <w:rPr>
                <w:rFonts w:cs="Arial"/>
                <w:color w:val="auto"/>
                <w:sz w:val="14"/>
                <w:szCs w:val="14"/>
              </w:rPr>
              <w:t>(1</w:t>
            </w:r>
            <w:r>
              <w:rPr>
                <w:rFonts w:cs="Arial"/>
                <w:color w:val="auto"/>
                <w:sz w:val="14"/>
                <w:szCs w:val="14"/>
              </w:rPr>
              <w:t>2,633</w:t>
            </w:r>
            <w:r w:rsidRPr="00D52611">
              <w:rPr>
                <w:rFonts w:cs="Arial"/>
                <w:color w:val="auto"/>
                <w:sz w:val="14"/>
                <w:szCs w:val="14"/>
              </w:rPr>
              <w:t>)</w:t>
            </w:r>
          </w:p>
        </w:tc>
      </w:tr>
    </w:tbl>
    <w:p w14:paraId="6F6010E5" w14:textId="77777777" w:rsidR="00855C3C" w:rsidRPr="00FA31E9" w:rsidRDefault="00855C3C" w:rsidP="00855C3C">
      <w:pPr>
        <w:pStyle w:val="03-SubttulodeNota"/>
        <w:keepNext/>
        <w:spacing w:line="276" w:lineRule="auto"/>
        <w:rPr>
          <w:color w:val="1F4E79" w:themeColor="accent1" w:themeShade="80"/>
          <w:sz w:val="10"/>
          <w:szCs w:val="10"/>
          <w:highlight w:val="yellow"/>
        </w:rPr>
      </w:pPr>
    </w:p>
    <w:p w14:paraId="53752597" w14:textId="65F91CFA" w:rsidR="00855C3C" w:rsidRPr="00A26587" w:rsidRDefault="00855C3C" w:rsidP="00855C3C">
      <w:pPr>
        <w:pStyle w:val="03-SubttulodeNota"/>
        <w:keepNext/>
        <w:spacing w:line="276" w:lineRule="auto"/>
        <w:rPr>
          <w:color w:val="1F4E79" w:themeColor="accent1" w:themeShade="80"/>
        </w:rPr>
      </w:pPr>
      <w:r>
        <w:rPr>
          <w:color w:val="1F4E79" w:themeColor="accent1" w:themeShade="80"/>
        </w:rPr>
        <w:t>Equity income – Investees performances</w:t>
      </w:r>
      <w:r w:rsidRPr="00A26587">
        <w:rPr>
          <w:color w:val="1F4E79" w:themeColor="accent1" w:themeShade="80"/>
        </w:rPr>
        <w:tab/>
      </w:r>
    </w:p>
    <w:p w14:paraId="502FEA32" w14:textId="77777777" w:rsidR="00855C3C" w:rsidRPr="00A26587" w:rsidRDefault="00855C3C" w:rsidP="00855C3C">
      <w:pPr>
        <w:pStyle w:val="03-SubttulodeNota"/>
        <w:spacing w:line="276" w:lineRule="auto"/>
        <w:rPr>
          <w:color w:val="1F4E79" w:themeColor="accent1" w:themeShade="80"/>
        </w:rPr>
      </w:pPr>
      <w:r>
        <w:rPr>
          <w:color w:val="1F4E79" w:themeColor="accent1" w:themeShade="80"/>
        </w:rPr>
        <w:t>BB MAPFRE (</w:t>
      </w:r>
      <w:r w:rsidRPr="00A26587">
        <w:rPr>
          <w:color w:val="1F4E79" w:themeColor="accent1" w:themeShade="80"/>
        </w:rPr>
        <w:t>Brasilseg</w:t>
      </w:r>
      <w:r>
        <w:rPr>
          <w:color w:val="1F4E79" w:themeColor="accent1" w:themeShade="80"/>
        </w:rPr>
        <w:t>)</w:t>
      </w:r>
    </w:p>
    <w:p w14:paraId="19712CE2" w14:textId="1300E5BE" w:rsidR="00E00E6A" w:rsidRDefault="00E00E6A" w:rsidP="00E00E6A">
      <w:pPr>
        <w:jc w:val="both"/>
        <w:rPr>
          <w:rFonts w:eastAsia="Times New Roman" w:cs="Arial"/>
          <w:spacing w:val="-2"/>
          <w:szCs w:val="18"/>
          <w:lang w:eastAsia="pt-BR"/>
        </w:rPr>
      </w:pPr>
      <w:r>
        <w:rPr>
          <w:rFonts w:eastAsia="Times New Roman" w:cs="Arial"/>
          <w:spacing w:val="-2"/>
          <w:szCs w:val="18"/>
          <w:lang w:eastAsia="pt-BR"/>
        </w:rPr>
        <w:t>In 2021, the net income of the insurance business retracted 1.6%</w:t>
      </w:r>
      <w:r w:rsidR="00264CAA">
        <w:rPr>
          <w:rFonts w:eastAsia="Times New Roman" w:cs="Arial"/>
          <w:spacing w:val="-2"/>
          <w:szCs w:val="18"/>
          <w:lang w:eastAsia="pt-BR"/>
        </w:rPr>
        <w:t xml:space="preserve"> YoY</w:t>
      </w:r>
      <w:r>
        <w:rPr>
          <w:rFonts w:eastAsia="Times New Roman" w:cs="Arial"/>
          <w:spacing w:val="-2"/>
          <w:szCs w:val="18"/>
          <w:lang w:eastAsia="pt-BR"/>
        </w:rPr>
        <w:t>, mainly by the increase of the loss ratio (+8.5 p.p.) and by the higher effective tax rate led by the temporary increase of CSLL, which was partially offset by the 1.8% growth of net investment income. The higher CSLL reduced Brasilseg’s result in R$60.7 million. Setting apart this effect, the net income would have grown 2.5%.</w:t>
      </w:r>
    </w:p>
    <w:p w14:paraId="25D3A40F" w14:textId="501A0911" w:rsidR="00E00E6A" w:rsidRDefault="00E00E6A" w:rsidP="00E00E6A">
      <w:pPr>
        <w:autoSpaceDE w:val="0"/>
        <w:autoSpaceDN w:val="0"/>
        <w:adjustRightInd w:val="0"/>
        <w:spacing w:before="120" w:after="120"/>
        <w:jc w:val="both"/>
        <w:rPr>
          <w:rFonts w:eastAsia="Times New Roman" w:cs="Arial"/>
          <w:spacing w:val="-2"/>
          <w:szCs w:val="18"/>
          <w:lang w:eastAsia="pt-BR"/>
        </w:rPr>
      </w:pPr>
      <w:r>
        <w:rPr>
          <w:rFonts w:eastAsia="Times New Roman" w:cs="Arial"/>
          <w:spacing w:val="-2"/>
          <w:szCs w:val="18"/>
          <w:lang w:eastAsia="pt-BR"/>
        </w:rPr>
        <w:t>The deterioration of loss ratio was mainly due to the higher frequency of claims reported in produtcts with death coverage, reflecting the worsening of the pandemic in the 1H21, but with signs of normalization at the end of 2H21, driven by the advance</w:t>
      </w:r>
      <w:r w:rsidR="00264CAA">
        <w:rPr>
          <w:rFonts w:eastAsia="Times New Roman" w:cs="Arial"/>
          <w:spacing w:val="-2"/>
          <w:szCs w:val="18"/>
          <w:lang w:eastAsia="pt-BR"/>
        </w:rPr>
        <w:t>d</w:t>
      </w:r>
      <w:r>
        <w:rPr>
          <w:rFonts w:eastAsia="Times New Roman" w:cs="Arial"/>
          <w:spacing w:val="-2"/>
          <w:szCs w:val="18"/>
          <w:lang w:eastAsia="pt-BR"/>
        </w:rPr>
        <w:t xml:space="preserve"> immunization program. Based on managerial data provided by Brasilseg (dated as of 01/18/2022), claims </w:t>
      </w:r>
      <w:r w:rsidR="00264CAA">
        <w:rPr>
          <w:rFonts w:eastAsia="Times New Roman" w:cs="Arial"/>
          <w:spacing w:val="-2"/>
          <w:szCs w:val="18"/>
          <w:lang w:eastAsia="pt-BR"/>
        </w:rPr>
        <w:t>related to</w:t>
      </w:r>
      <w:r>
        <w:rPr>
          <w:rFonts w:eastAsia="Times New Roman" w:cs="Arial"/>
          <w:spacing w:val="-2"/>
          <w:szCs w:val="18"/>
          <w:lang w:eastAsia="pt-BR"/>
        </w:rPr>
        <w:t xml:space="preserve"> Covid-19 totaled R$864 million and was more than 3 times higher as compared to the R$231 million of 2020.</w:t>
      </w:r>
    </w:p>
    <w:p w14:paraId="23CDAEC5" w14:textId="4D00ED00" w:rsidR="00E00E6A" w:rsidRDefault="00E00E6A" w:rsidP="00E00E6A">
      <w:pPr>
        <w:autoSpaceDE w:val="0"/>
        <w:autoSpaceDN w:val="0"/>
        <w:adjustRightInd w:val="0"/>
        <w:spacing w:before="120" w:after="120"/>
        <w:jc w:val="both"/>
        <w:rPr>
          <w:rFonts w:eastAsia="Times New Roman" w:cs="Arial"/>
          <w:spacing w:val="-2"/>
          <w:szCs w:val="18"/>
          <w:lang w:eastAsia="pt-BR"/>
        </w:rPr>
      </w:pPr>
      <w:r>
        <w:rPr>
          <w:rFonts w:eastAsia="Times New Roman" w:cs="Arial"/>
          <w:spacing w:val="-2"/>
          <w:szCs w:val="18"/>
          <w:lang w:eastAsia="pt-BR"/>
        </w:rPr>
        <w:t>Premiums written was 16.2% higher, mainly driven by: rural insurance (+35.5%), due to the increase in agricultural inputs costs, with the consequent evolution of the credit to fund the cycle 2021/2022</w:t>
      </w:r>
      <w:r w:rsidR="00EC3A06">
        <w:rPr>
          <w:rFonts w:eastAsia="Times New Roman" w:cs="Arial"/>
          <w:spacing w:val="-2"/>
          <w:szCs w:val="18"/>
          <w:lang w:eastAsia="pt-BR"/>
        </w:rPr>
        <w:t>; term life insurance (+17.1%), supported by the growth in new sales and the increase in premiums</w:t>
      </w:r>
      <w:r w:rsidR="00264CAA">
        <w:rPr>
          <w:rFonts w:eastAsia="Times New Roman" w:cs="Arial"/>
          <w:spacing w:val="-2"/>
          <w:szCs w:val="18"/>
          <w:lang w:eastAsia="pt-BR"/>
        </w:rPr>
        <w:t xml:space="preserve"> renewal</w:t>
      </w:r>
      <w:r w:rsidR="00EC3A06">
        <w:rPr>
          <w:rFonts w:eastAsia="Times New Roman" w:cs="Arial"/>
          <w:spacing w:val="-2"/>
          <w:szCs w:val="18"/>
          <w:lang w:eastAsia="pt-BR"/>
        </w:rPr>
        <w:t>; and home insurance (+23.4%), led by the growth of both sales and average ticket after the launch of a new portfolio in the 1H21.</w:t>
      </w:r>
    </w:p>
    <w:p w14:paraId="7E8018E5" w14:textId="3790FAA2" w:rsidR="00EC3A06" w:rsidRDefault="00EC3A06" w:rsidP="00855C3C">
      <w:pPr>
        <w:autoSpaceDE w:val="0"/>
        <w:autoSpaceDN w:val="0"/>
        <w:adjustRightInd w:val="0"/>
        <w:spacing w:before="120" w:after="120"/>
        <w:jc w:val="both"/>
        <w:rPr>
          <w:rFonts w:eastAsia="Times New Roman" w:cs="Arial"/>
          <w:spacing w:val="-2"/>
          <w:szCs w:val="18"/>
          <w:lang w:eastAsia="pt-BR"/>
        </w:rPr>
      </w:pPr>
      <w:r>
        <w:rPr>
          <w:rFonts w:eastAsia="Times New Roman" w:cs="Arial"/>
          <w:spacing w:val="-2"/>
          <w:szCs w:val="18"/>
          <w:lang w:eastAsia="pt-BR"/>
        </w:rPr>
        <w:t xml:space="preserve">Among the operational ratios, commission ratio decreased 2.6 p.p. due to lower expenses with performance bonus in credit life, while the 2.2 p.p. improvement in the G&amp;A ratio is mainly explained by a lower volume of provisions for payments to the Rural Insurance Stability Fund. </w:t>
      </w:r>
    </w:p>
    <w:p w14:paraId="07CEA6AB" w14:textId="77777777" w:rsidR="00855C3C" w:rsidRPr="00A26587" w:rsidRDefault="00855C3C" w:rsidP="00855C3C">
      <w:pPr>
        <w:autoSpaceDE w:val="0"/>
        <w:autoSpaceDN w:val="0"/>
        <w:adjustRightInd w:val="0"/>
        <w:spacing w:before="120" w:after="120"/>
        <w:jc w:val="both"/>
        <w:rPr>
          <w:rFonts w:eastAsia="Times New Roman" w:cs="Arial"/>
          <w:spacing w:val="-2"/>
          <w:szCs w:val="18"/>
          <w:lang w:eastAsia="pt-BR"/>
        </w:rPr>
      </w:pPr>
    </w:p>
    <w:p w14:paraId="1DDCA98B" w14:textId="77777777" w:rsidR="00855C3C" w:rsidRPr="007D328C" w:rsidRDefault="00855C3C" w:rsidP="00855C3C">
      <w:pPr>
        <w:pStyle w:val="03-SubttulodeNota"/>
        <w:spacing w:line="276" w:lineRule="auto"/>
        <w:rPr>
          <w:color w:val="1F4E79" w:themeColor="accent1" w:themeShade="80"/>
        </w:rPr>
      </w:pPr>
      <w:r w:rsidRPr="007D328C">
        <w:rPr>
          <w:color w:val="1F4E79" w:themeColor="accent1" w:themeShade="80"/>
        </w:rPr>
        <w:t>Brasilprev</w:t>
      </w:r>
    </w:p>
    <w:p w14:paraId="3560EE8C" w14:textId="7C42FFD4" w:rsidR="00855C3C" w:rsidRDefault="00BF67DD" w:rsidP="00616D8F">
      <w:pPr>
        <w:jc w:val="both"/>
        <w:rPr>
          <w:rFonts w:eastAsia="Times New Roman" w:cs="Arial"/>
          <w:spacing w:val="-2"/>
          <w:szCs w:val="18"/>
          <w:lang w:eastAsia="pt-BR"/>
        </w:rPr>
      </w:pPr>
      <w:r>
        <w:rPr>
          <w:rFonts w:eastAsia="Times New Roman" w:cs="Arial"/>
          <w:spacing w:val="-2"/>
          <w:szCs w:val="18"/>
          <w:lang w:eastAsia="pt-BR"/>
        </w:rPr>
        <w:t xml:space="preserve">The net income of pension plans operation was 10.6% higher in 2021, boosted by the non-interest operating result improvement, which increased 11.4%. On the other hand, the net investment income </w:t>
      </w:r>
      <w:r w:rsidR="00616D8F">
        <w:rPr>
          <w:rFonts w:eastAsia="Times New Roman" w:cs="Arial"/>
          <w:spacing w:val="-2"/>
          <w:szCs w:val="18"/>
          <w:lang w:eastAsia="pt-BR"/>
        </w:rPr>
        <w:t>was negative in R$333.9 million in 2021, against a negative balance of R$278.6 million in 2020. The movement is largely justified by the steepening in the real yield curve, wich negatively impacted the mark to market results of prefixed income securities</w:t>
      </w:r>
      <w:r w:rsidR="00D01A59">
        <w:rPr>
          <w:rFonts w:eastAsia="Times New Roman" w:cs="Arial"/>
          <w:spacing w:val="-2"/>
          <w:szCs w:val="18"/>
          <w:lang w:eastAsia="pt-BR"/>
        </w:rPr>
        <w:t xml:space="preserve"> for trading</w:t>
      </w:r>
      <w:r w:rsidR="00616D8F">
        <w:rPr>
          <w:rFonts w:eastAsia="Times New Roman" w:cs="Arial"/>
          <w:spacing w:val="-2"/>
          <w:szCs w:val="18"/>
          <w:lang w:eastAsia="pt-BR"/>
        </w:rPr>
        <w:t>, while the inflation indexes mismatch in the accrual of earning assets (current IPCA and IGP-M) and bearing liabilities (IGP-M with a lag of one month) related to tradi</w:t>
      </w:r>
      <w:r w:rsidR="00D01A59">
        <w:rPr>
          <w:rFonts w:eastAsia="Times New Roman" w:cs="Arial"/>
          <w:spacing w:val="-2"/>
          <w:szCs w:val="18"/>
          <w:lang w:eastAsia="pt-BR"/>
        </w:rPr>
        <w:t>t</w:t>
      </w:r>
      <w:r w:rsidR="00616D8F">
        <w:rPr>
          <w:rFonts w:eastAsia="Times New Roman" w:cs="Arial"/>
          <w:spacing w:val="-2"/>
          <w:szCs w:val="18"/>
          <w:lang w:eastAsia="pt-BR"/>
        </w:rPr>
        <w:t xml:space="preserve">ional plans was lower when compared to 2020, due to the rise in the IPCA at a faster pace than the IGP-M in the second half of 2021. In the year, the temporary increase of CSLL reduced Brasilprev’s result in R$44.9 million. </w:t>
      </w:r>
    </w:p>
    <w:p w14:paraId="02DF971D" w14:textId="2E265357" w:rsidR="00CA0E05" w:rsidRPr="007D328C" w:rsidRDefault="00CA0E05" w:rsidP="00616D8F">
      <w:pPr>
        <w:jc w:val="both"/>
        <w:rPr>
          <w:rFonts w:eastAsia="Times New Roman" w:cs="Arial"/>
          <w:spacing w:val="-2"/>
          <w:szCs w:val="18"/>
          <w:lang w:eastAsia="pt-BR"/>
        </w:rPr>
      </w:pPr>
      <w:r>
        <w:rPr>
          <w:rFonts w:eastAsia="Times New Roman" w:cs="Arial"/>
          <w:spacing w:val="-2"/>
          <w:szCs w:val="18"/>
          <w:lang w:eastAsia="pt-BR"/>
        </w:rPr>
        <w:t>On the inflow side, the higher volume of redemptions, with the use of pension funds to pay monthly expenses, consequence of the economic impacts generated by the pandemic, and the real state purchases in large cities, in addition to the higher volume of redemptions paid to the second beneficiary due to the death of the holder by Covid-19, more than offset the 11.5% increase in contributions and led to a negative net inflow of R$783 million by the end of 2021.</w:t>
      </w:r>
    </w:p>
    <w:p w14:paraId="5958EF97" w14:textId="77777777" w:rsidR="00CA0E05" w:rsidRDefault="00CA0E05" w:rsidP="00855C3C">
      <w:pPr>
        <w:pStyle w:val="03-SubttulodeNota"/>
        <w:spacing w:line="276" w:lineRule="auto"/>
        <w:rPr>
          <w:rFonts w:cs="Arial"/>
          <w:b w:val="0"/>
          <w:sz w:val="18"/>
          <w:szCs w:val="18"/>
        </w:rPr>
      </w:pPr>
    </w:p>
    <w:p w14:paraId="5C9B49C1" w14:textId="2E59A3C5" w:rsidR="00CA0E05" w:rsidRDefault="00CA0E05" w:rsidP="00855C3C">
      <w:pPr>
        <w:pStyle w:val="03-SubttulodeNota"/>
        <w:spacing w:line="276" w:lineRule="auto"/>
        <w:rPr>
          <w:rFonts w:cs="Arial"/>
          <w:b w:val="0"/>
          <w:sz w:val="18"/>
          <w:szCs w:val="18"/>
        </w:rPr>
      </w:pPr>
      <w:r>
        <w:rPr>
          <w:rFonts w:cs="Arial"/>
          <w:b w:val="0"/>
          <w:sz w:val="18"/>
          <w:szCs w:val="18"/>
        </w:rPr>
        <w:lastRenderedPageBreak/>
        <w:t>The revenues with management fee were up 8.2%, with the average management fee improving 0.03 p.p., reflecting the expansion in the assets allocated to multimarket funds and the increase in the participation of theses funds in the mix of assets under management, from 11% to 32% by the end of 2021.</w:t>
      </w:r>
    </w:p>
    <w:p w14:paraId="5CB1F8B8" w14:textId="77777777" w:rsidR="00855C3C" w:rsidRPr="007D328C" w:rsidRDefault="00855C3C" w:rsidP="00855C3C">
      <w:pPr>
        <w:pStyle w:val="01-Textonormal"/>
      </w:pPr>
    </w:p>
    <w:p w14:paraId="329F9FBC" w14:textId="77777777" w:rsidR="00855C3C" w:rsidRPr="00761A6D" w:rsidRDefault="00855C3C" w:rsidP="00855C3C">
      <w:pPr>
        <w:pStyle w:val="03-SubttulodeNota"/>
        <w:spacing w:line="276" w:lineRule="auto"/>
        <w:rPr>
          <w:color w:val="1F4E79" w:themeColor="accent1" w:themeShade="80"/>
        </w:rPr>
      </w:pPr>
      <w:r w:rsidRPr="00761A6D">
        <w:rPr>
          <w:color w:val="1F4E79" w:themeColor="accent1" w:themeShade="80"/>
        </w:rPr>
        <w:t>Brasilcap</w:t>
      </w:r>
    </w:p>
    <w:p w14:paraId="2DB01BC5" w14:textId="6588613C" w:rsidR="009F0718" w:rsidRDefault="009F0718" w:rsidP="00855C3C">
      <w:pPr>
        <w:jc w:val="both"/>
        <w:rPr>
          <w:rFonts w:eastAsia="Times New Roman" w:cs="Arial"/>
          <w:spacing w:val="-2"/>
          <w:szCs w:val="18"/>
          <w:lang w:eastAsia="pt-BR"/>
        </w:rPr>
      </w:pPr>
      <w:r>
        <w:rPr>
          <w:rFonts w:eastAsia="Times New Roman" w:cs="Arial"/>
          <w:spacing w:val="-2"/>
          <w:szCs w:val="18"/>
          <w:lang w:eastAsia="pt-BR"/>
        </w:rPr>
        <w:t xml:space="preserve">The net income of premium bonds segment fell 97.8%, explained by </w:t>
      </w:r>
      <w:r>
        <w:rPr>
          <w:rFonts w:cs="Arial"/>
        </w:rPr>
        <w:t xml:space="preserve">the recognition of losses in prefixed income assets avaiable for sale, in a strategy of investment portfolio reconfiguration after the steepening in the yield curve, seeking to raise the level of regulatory solvency and the adequacy to the company’s risk appetite. On the other hand, the reduction of 1.1 p.p. in the G&amp;A and 1.4 p.p. in the commission ratio led to an increase of 97.8% of the operating result, and offset part of the financial loss. In 2021, the CSLL temporary increased reduced Brasilcap’s net income in R$8.9 million </w:t>
      </w:r>
    </w:p>
    <w:p w14:paraId="78B7D9DD" w14:textId="2E15A3C9" w:rsidR="009F0718" w:rsidRDefault="00F97C3B" w:rsidP="00855C3C">
      <w:pPr>
        <w:jc w:val="both"/>
        <w:rPr>
          <w:rFonts w:eastAsia="Times New Roman" w:cs="Arial"/>
          <w:spacing w:val="-2"/>
          <w:szCs w:val="18"/>
          <w:lang w:eastAsia="pt-BR"/>
        </w:rPr>
      </w:pPr>
      <w:r>
        <w:rPr>
          <w:rFonts w:eastAsia="Times New Roman" w:cs="Arial"/>
          <w:spacing w:val="-2"/>
          <w:szCs w:val="18"/>
          <w:lang w:eastAsia="pt-BR"/>
        </w:rPr>
        <w:t>Premium bonds collection retracted by 9.9%, mainly explained by the drop in sales of unique payment bonds, partially offset by a higher average ticket of these bonds and by the increase in sales of monthly payment bonds, products with a higher recurrence for the result.</w:t>
      </w:r>
    </w:p>
    <w:p w14:paraId="6BCC1070" w14:textId="77777777" w:rsidR="0016775B" w:rsidRDefault="0016775B" w:rsidP="0016775B">
      <w:pPr>
        <w:jc w:val="both"/>
        <w:rPr>
          <w:rFonts w:eastAsia="Times New Roman" w:cs="Arial"/>
          <w:spacing w:val="-2"/>
          <w:szCs w:val="18"/>
          <w:lang w:eastAsia="pt-BR"/>
        </w:rPr>
      </w:pPr>
      <w:r>
        <w:rPr>
          <w:rFonts w:eastAsia="Times New Roman" w:cs="Arial"/>
          <w:spacing w:val="-2"/>
          <w:szCs w:val="18"/>
          <w:lang w:eastAsia="pt-BR"/>
        </w:rPr>
        <w:t xml:space="preserve">The revenues with load fee contracted 15.9% as a result of the decrease in total collections and the 0.8 p.p. drop in average load fee. The reduction in average load fee is justified by the higher concentration of collections in the recurring installments of Monthly payment bonds, which have lower quotes compared to the first installments of monthly payment bonds and of unique payment bonds. </w:t>
      </w:r>
    </w:p>
    <w:p w14:paraId="5121BEC7" w14:textId="77777777" w:rsidR="00855C3C" w:rsidRPr="00FA31E9" w:rsidRDefault="00855C3C" w:rsidP="00855C3C">
      <w:pPr>
        <w:pStyle w:val="05-Textonormal"/>
        <w:rPr>
          <w:rFonts w:cs="Arial"/>
          <w:color w:val="FF0000"/>
          <w:highlight w:val="yellow"/>
        </w:rPr>
      </w:pPr>
    </w:p>
    <w:p w14:paraId="16A0A83F" w14:textId="77777777" w:rsidR="00855C3C" w:rsidRPr="003B6A34" w:rsidRDefault="00855C3C" w:rsidP="00855C3C">
      <w:pPr>
        <w:pStyle w:val="03-SubttulodeNota"/>
        <w:spacing w:line="276" w:lineRule="auto"/>
        <w:rPr>
          <w:color w:val="1F4E79" w:themeColor="accent1" w:themeShade="80"/>
        </w:rPr>
      </w:pPr>
      <w:r w:rsidRPr="003B6A34">
        <w:rPr>
          <w:color w:val="1F4E79" w:themeColor="accent1" w:themeShade="80"/>
        </w:rPr>
        <w:t>Brasildental</w:t>
      </w:r>
    </w:p>
    <w:p w14:paraId="7CE092F0" w14:textId="77777777" w:rsidR="0016775B" w:rsidRDefault="0016775B" w:rsidP="0016775B">
      <w:pPr>
        <w:pStyle w:val="05-Textonormal"/>
        <w:rPr>
          <w:rFonts w:cs="Arial"/>
        </w:rPr>
      </w:pPr>
      <w:r>
        <w:rPr>
          <w:rFonts w:cs="Arial"/>
        </w:rPr>
        <w:t>In dental care segment, operated by Brasildental, the net income fell 3.5% in 2021. The performance is explained by the 2.2 p.p. increase in EBITDA margin, to 30.9%, mainly driven by the worsening of both, loss and G&amp;A ratios. In 2021, the gross operating revenues amounted to R$119.5 million, 2.9% up YoY, despite the 1.3% drop in the number of insured lives.</w:t>
      </w:r>
    </w:p>
    <w:p w14:paraId="7292EA00" w14:textId="77777777" w:rsidR="00855C3C" w:rsidRPr="00FA31E9" w:rsidRDefault="00855C3C" w:rsidP="00855C3C">
      <w:pPr>
        <w:pStyle w:val="05-Textonormal"/>
        <w:rPr>
          <w:rFonts w:cs="Arial"/>
          <w:highlight w:val="yellow"/>
        </w:rPr>
      </w:pPr>
    </w:p>
    <w:p w14:paraId="0927EB81" w14:textId="77777777" w:rsidR="00855C3C" w:rsidRPr="00552B23" w:rsidRDefault="00855C3C" w:rsidP="00855C3C">
      <w:pPr>
        <w:pStyle w:val="03-SubttulodeNota"/>
        <w:spacing w:line="276" w:lineRule="auto"/>
        <w:rPr>
          <w:color w:val="1F4E79" w:themeColor="accent1" w:themeShade="80"/>
        </w:rPr>
      </w:pPr>
      <w:r w:rsidRPr="00552B23">
        <w:rPr>
          <w:color w:val="1F4E79" w:themeColor="accent1" w:themeShade="80"/>
        </w:rPr>
        <w:t>BB Corretora</w:t>
      </w:r>
    </w:p>
    <w:p w14:paraId="537C2C1A" w14:textId="77777777" w:rsidR="0016775B" w:rsidRDefault="0016775B" w:rsidP="0016775B">
      <w:pPr>
        <w:pStyle w:val="01-Textonormal"/>
      </w:pPr>
      <w:r>
        <w:t>In 2021, BB Corretora’s net income on a recurring basis, which excludes the net impact of the R$40 million donation made in 2020, grew 8.3%, explained by the 7.9% increase in brokerage revenues and the 130.4% growth in the net investment income, the latter due to both the higher average Selic rate and the financial investments average balance expansion.</w:t>
      </w:r>
    </w:p>
    <w:p w14:paraId="5DB4D55C" w14:textId="77777777" w:rsidR="0016775B" w:rsidRDefault="0016775B" w:rsidP="0016775B">
      <w:pPr>
        <w:pStyle w:val="01-Textonormal"/>
      </w:pPr>
      <w:r>
        <w:t>The improvement in brokerage revenues was supported by revenues arising from insurance, by the good commercial performance in rural, term life and home insurances, and by a higher concentration of pension plans contributions in products with higher brokerage.</w:t>
      </w:r>
    </w:p>
    <w:p w14:paraId="654D2E59" w14:textId="77777777" w:rsidR="00855C3C" w:rsidRDefault="00855C3C" w:rsidP="00A22043">
      <w:pPr>
        <w:pStyle w:val="01-Textonormal"/>
        <w:rPr>
          <w:rFonts w:cs="Arial"/>
        </w:rPr>
      </w:pPr>
    </w:p>
    <w:p w14:paraId="3A48A55A"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t>SHARES PERFORMANCE AND MARKET RELATIONSHIP</w:t>
      </w:r>
    </w:p>
    <w:p w14:paraId="0FFC43A4" w14:textId="71EE8F9A" w:rsidR="00C81A16" w:rsidRPr="00723526" w:rsidRDefault="004343CB" w:rsidP="00C81A16">
      <w:pPr>
        <w:pStyle w:val="05-Textonormal"/>
        <w:rPr>
          <w:rFonts w:cs="Arial"/>
        </w:rPr>
      </w:pPr>
      <w:r w:rsidRPr="00723526">
        <w:rPr>
          <w:rFonts w:cs="Arial"/>
          <w:lang w:val="en-US"/>
        </w:rPr>
        <w:t xml:space="preserve">BB Seguridade shares, traded on B3 – Brasil, Bolsa, Balcão (“B3”) under the ticker BBSE3, closed the year quoted at R$20.75. Based on the year-end quotation, the market </w:t>
      </w:r>
      <w:r w:rsidR="00F275BD">
        <w:rPr>
          <w:rFonts w:cs="Arial"/>
          <w:lang w:val="en-US"/>
        </w:rPr>
        <w:t>cap</w:t>
      </w:r>
      <w:r w:rsidRPr="00723526">
        <w:rPr>
          <w:rFonts w:cs="Arial"/>
          <w:lang w:val="en-US"/>
        </w:rPr>
        <w:t xml:space="preserve"> of BB Seguridade reached R$41.5 billion, positioning the Company as the 20th largest company listed on the Brazilian stock exchange according to the market </w:t>
      </w:r>
      <w:r w:rsidR="00F275BD">
        <w:rPr>
          <w:rFonts w:cs="Arial"/>
          <w:lang w:val="en-US"/>
        </w:rPr>
        <w:t>cap</w:t>
      </w:r>
      <w:r w:rsidRPr="00723526">
        <w:rPr>
          <w:rFonts w:cs="Arial"/>
          <w:lang w:val="en-US"/>
        </w:rPr>
        <w:t xml:space="preserve">. </w:t>
      </w:r>
    </w:p>
    <w:p w14:paraId="5BBBAB2A" w14:textId="77777777" w:rsidR="00C81A16" w:rsidRPr="00723526" w:rsidRDefault="004343CB" w:rsidP="00C81A16">
      <w:pPr>
        <w:pStyle w:val="05-Textonormal"/>
        <w:rPr>
          <w:rFonts w:cs="Arial"/>
        </w:rPr>
      </w:pPr>
      <w:r w:rsidRPr="00723526">
        <w:rPr>
          <w:rFonts w:cs="Arial"/>
          <w:lang w:val="en-US"/>
        </w:rPr>
        <w:t>In 2021, the average daily financial trading volume of the Company's shares was R$125.9 million.</w:t>
      </w:r>
    </w:p>
    <w:p w14:paraId="49A25A20" w14:textId="77777777" w:rsidR="00C81A16" w:rsidRPr="00DC3779" w:rsidRDefault="004343CB" w:rsidP="00C81A16">
      <w:pPr>
        <w:pStyle w:val="05-Textonormal"/>
        <w:rPr>
          <w:rFonts w:cs="Arial"/>
        </w:rPr>
      </w:pPr>
      <w:r w:rsidRPr="00DC3779">
        <w:rPr>
          <w:rFonts w:cs="Arial"/>
          <w:lang w:val="en-US"/>
        </w:rPr>
        <w:t xml:space="preserve">BB Seguridade's shares ended the year integrating the theoretical portfolios of Ibovespa, IBrX 100, IBrA, BM&amp;FBOVESPA Financial </w:t>
      </w:r>
      <w:r w:rsidRPr="00DC3779">
        <w:rPr>
          <w:rStyle w:val="nfase"/>
          <w:rFonts w:eastAsia="Calibri" w:cs="Arial"/>
          <w:bCs/>
          <w:lang w:val="en-US"/>
        </w:rPr>
        <w:t>Index (IFNC), Differentiated Corporate Governance Stock Index (IGC),</w:t>
      </w:r>
      <w:r w:rsidRPr="00DC3779">
        <w:rPr>
          <w:rFonts w:cs="Arial"/>
          <w:lang w:val="en-US"/>
        </w:rPr>
        <w:t xml:space="preserve"> Trade Corporate Governance Index (IGCT), Stock Index with Corporate Governance – Novo Mercado (IGC-NM), Differentiated Tag Along Stock Index (ITAG), BM&amp;FBovespa Dividends Index (IDIV), MidLarge Cap Index (MLCX), BM&amp;FBovespa Value Index (IVBX), MSCI Brazil Index, Bloomberg Gender-Equality and FTSE4Good Index.</w:t>
      </w:r>
    </w:p>
    <w:p w14:paraId="74685EBB" w14:textId="609647C7" w:rsidR="00C81A16" w:rsidRDefault="004343CB" w:rsidP="00C81A16">
      <w:pPr>
        <w:pStyle w:val="05-Textonormal"/>
        <w:rPr>
          <w:rFonts w:cs="Arial"/>
          <w:lang w:val="en-US"/>
        </w:rPr>
      </w:pPr>
      <w:r w:rsidRPr="00DC3779">
        <w:rPr>
          <w:rFonts w:cs="Arial"/>
          <w:lang w:val="en-US"/>
        </w:rPr>
        <w:t xml:space="preserve">Since March 2014, BB Seguridade has maintained a Level I </w:t>
      </w:r>
      <w:r w:rsidRPr="00DC3779">
        <w:rPr>
          <w:rFonts w:cs="Arial"/>
          <w:i/>
          <w:lang w:val="en-US"/>
        </w:rPr>
        <w:t>American Depositary Receipts</w:t>
      </w:r>
      <w:r w:rsidRPr="00DC3779">
        <w:rPr>
          <w:rFonts w:cs="Arial"/>
          <w:lang w:val="en-US"/>
        </w:rPr>
        <w:t xml:space="preserve"> (“ADR”) Program. Currently, ADRs are issued by Citibank, backed by the Company's common shares (ON), at a ratio of 1 ADR: 1 ON, and traded on the North American </w:t>
      </w:r>
      <w:r w:rsidRPr="00DC3779">
        <w:rPr>
          <w:rFonts w:cs="Arial"/>
          <w:i/>
          <w:lang w:val="en-US"/>
        </w:rPr>
        <w:t xml:space="preserve">Over-The-Counter </w:t>
      </w:r>
      <w:r w:rsidRPr="00DC3779">
        <w:rPr>
          <w:rFonts w:cs="Arial"/>
          <w:lang w:val="en-US"/>
        </w:rPr>
        <w:t>market At the end of the year, the program had more than 18.5 million ADRs issued, priced at US$3.73 per depositary receipt.</w:t>
      </w:r>
    </w:p>
    <w:p w14:paraId="004C83CD" w14:textId="0B251FE7" w:rsidR="009D41A2" w:rsidRDefault="009D41A2">
      <w:pPr>
        <w:rPr>
          <w:rFonts w:eastAsia="Times New Roman" w:cs="Arial"/>
          <w:spacing w:val="-2"/>
          <w:szCs w:val="18"/>
          <w:lang w:val="en-US" w:eastAsia="pt-BR"/>
        </w:rPr>
      </w:pPr>
      <w:r>
        <w:rPr>
          <w:rFonts w:cs="Arial"/>
          <w:lang w:val="en-US"/>
        </w:rPr>
        <w:br w:type="page"/>
      </w:r>
    </w:p>
    <w:p w14:paraId="6307155B" w14:textId="77777777" w:rsidR="00C81A16" w:rsidRPr="00860655" w:rsidRDefault="004343CB" w:rsidP="00C81A16">
      <w:pPr>
        <w:pStyle w:val="05-Textonormal"/>
        <w:rPr>
          <w:rFonts w:cs="Arial"/>
        </w:rPr>
      </w:pPr>
      <w:r w:rsidRPr="00860655">
        <w:rPr>
          <w:rFonts w:cs="Arial"/>
          <w:lang w:val="en-US"/>
        </w:rPr>
        <w:lastRenderedPageBreak/>
        <w:t>Below, we present the main indicators for the performance of BB Seguridade's shares in the last two years:</w:t>
      </w:r>
    </w:p>
    <w:p w14:paraId="21CB33C7" w14:textId="77777777" w:rsidR="00C81A16" w:rsidRPr="00860655" w:rsidRDefault="004343CB" w:rsidP="00C81A16">
      <w:pPr>
        <w:pStyle w:val="01-TtulodeNota"/>
        <w:rPr>
          <w:b w:val="0"/>
          <w:sz w:val="14"/>
        </w:rPr>
      </w:pPr>
      <w:r w:rsidRPr="00860655">
        <w:rPr>
          <w:rFonts w:cs="Arial"/>
          <w:b w:val="0"/>
          <w:sz w:val="14"/>
          <w:szCs w:val="14"/>
          <w:lang w:val="en-US"/>
        </w:rPr>
        <w:t>Table</w:t>
      </w:r>
      <w:r w:rsidRPr="00860655">
        <w:rPr>
          <w:rFonts w:cs="Arial"/>
          <w:b w:val="0"/>
          <w:sz w:val="14"/>
          <w:szCs w:val="14"/>
        </w:rPr>
        <w:fldChar w:fldCharType="begin"/>
      </w:r>
      <w:r w:rsidRPr="00860655">
        <w:rPr>
          <w:rFonts w:cs="Arial"/>
          <w:b w:val="0"/>
          <w:sz w:val="14"/>
          <w:szCs w:val="14"/>
          <w:lang w:val="en-US"/>
        </w:rPr>
        <w:instrText xml:space="preserve"> SEQ Tabela \* ARABIC </w:instrText>
      </w:r>
      <w:r w:rsidRPr="00860655">
        <w:rPr>
          <w:rFonts w:cs="Arial"/>
          <w:b w:val="0"/>
          <w:sz w:val="14"/>
          <w:szCs w:val="14"/>
        </w:rPr>
        <w:fldChar w:fldCharType="separate"/>
      </w:r>
      <w:r w:rsidRPr="00860655">
        <w:rPr>
          <w:rFonts w:cs="Arial"/>
          <w:b w:val="0"/>
          <w:sz w:val="14"/>
          <w:szCs w:val="14"/>
          <w:lang w:val="en-US"/>
        </w:rPr>
        <w:t>1</w:t>
      </w:r>
      <w:r w:rsidRPr="00860655">
        <w:rPr>
          <w:rFonts w:cs="Arial"/>
          <w:b w:val="0"/>
          <w:noProof/>
          <w:sz w:val="14"/>
          <w:szCs w:val="14"/>
        </w:rPr>
        <w:fldChar w:fldCharType="end"/>
      </w:r>
      <w:r w:rsidRPr="00860655">
        <w:rPr>
          <w:rFonts w:cs="Arial"/>
          <w:b w:val="0"/>
          <w:sz w:val="14"/>
          <w:szCs w:val="14"/>
          <w:lang w:val="en-US"/>
        </w:rPr>
        <w:t xml:space="preserve"> – Shares Performance</w:t>
      </w:r>
    </w:p>
    <w:tbl>
      <w:tblPr>
        <w:tblStyle w:val="TabeladeLista6Colorida-nfase5"/>
        <w:tblW w:w="9639" w:type="dxa"/>
        <w:tblLook w:val="04A0" w:firstRow="1" w:lastRow="0" w:firstColumn="1" w:lastColumn="0" w:noHBand="0" w:noVBand="1"/>
      </w:tblPr>
      <w:tblGrid>
        <w:gridCol w:w="3828"/>
        <w:gridCol w:w="281"/>
        <w:gridCol w:w="1644"/>
        <w:gridCol w:w="199"/>
        <w:gridCol w:w="1446"/>
        <w:gridCol w:w="397"/>
        <w:gridCol w:w="1844"/>
      </w:tblGrid>
      <w:tr w:rsidR="00592918" w14:paraId="351D00CF" w14:textId="77777777" w:rsidTr="00592918">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8EAADB" w:themeColor="accent5" w:themeTint="99"/>
              <w:right w:val="nil"/>
            </w:tcBorders>
            <w:vAlign w:val="center"/>
          </w:tcPr>
          <w:p w14:paraId="0B8E2C78" w14:textId="77777777" w:rsidR="00C81A16" w:rsidRPr="00860655" w:rsidRDefault="00C81A16">
            <w:pPr>
              <w:pStyle w:val="08-Tabelageral"/>
              <w:jc w:val="left"/>
              <w:rPr>
                <w:rFonts w:cs="Arial"/>
                <w:szCs w:val="14"/>
                <w:lang w:eastAsia="en-US"/>
              </w:rPr>
            </w:pPr>
          </w:p>
        </w:tc>
        <w:tc>
          <w:tcPr>
            <w:tcW w:w="281" w:type="dxa"/>
            <w:tcBorders>
              <w:top w:val="nil"/>
              <w:left w:val="nil"/>
              <w:bottom w:val="single" w:sz="2" w:space="0" w:color="8EAADB" w:themeColor="accent5" w:themeTint="99"/>
              <w:right w:val="nil"/>
            </w:tcBorders>
            <w:vAlign w:val="center"/>
          </w:tcPr>
          <w:p w14:paraId="684C9C88"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644" w:type="dxa"/>
            <w:tcBorders>
              <w:top w:val="nil"/>
              <w:left w:val="nil"/>
              <w:bottom w:val="single" w:sz="2" w:space="0" w:color="8EAADB" w:themeColor="accent5" w:themeTint="99"/>
              <w:right w:val="nil"/>
            </w:tcBorders>
            <w:vAlign w:val="center"/>
          </w:tcPr>
          <w:p w14:paraId="5E1DFC4C"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645" w:type="dxa"/>
            <w:gridSpan w:val="2"/>
            <w:tcBorders>
              <w:top w:val="nil"/>
              <w:left w:val="nil"/>
              <w:bottom w:val="single" w:sz="2" w:space="0" w:color="8EAADB" w:themeColor="accent5" w:themeTint="99"/>
              <w:right w:val="nil"/>
            </w:tcBorders>
            <w:vAlign w:val="center"/>
          </w:tcPr>
          <w:p w14:paraId="3F64E938"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2241" w:type="dxa"/>
            <w:gridSpan w:val="2"/>
            <w:tcBorders>
              <w:top w:val="nil"/>
              <w:left w:val="nil"/>
              <w:bottom w:val="single" w:sz="2" w:space="0" w:color="8EAADB" w:themeColor="accent5" w:themeTint="99"/>
              <w:right w:val="nil"/>
            </w:tcBorders>
            <w:vAlign w:val="center"/>
          </w:tcPr>
          <w:p w14:paraId="1D53DB9E" w14:textId="77777777" w:rsidR="00C81A16" w:rsidRPr="00860655" w:rsidRDefault="00C81A16">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r>
      <w:tr w:rsidR="00592918" w14:paraId="263E1808" w14:textId="77777777" w:rsidTr="00592918">
        <w:trPr>
          <w:cnfStyle w:val="000000100000" w:firstRow="0" w:lastRow="0" w:firstColumn="0" w:lastColumn="0" w:oddVBand="0" w:evenVBand="0" w:oddHBand="1" w:evenHBand="0"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left w:val="nil"/>
              <w:bottom w:val="nil"/>
              <w:right w:val="nil"/>
            </w:tcBorders>
            <w:vAlign w:val="center"/>
          </w:tcPr>
          <w:p w14:paraId="34B4D8D2" w14:textId="77777777" w:rsidR="00DC3779" w:rsidRPr="00860655" w:rsidRDefault="00DC3779" w:rsidP="00DC3779">
            <w:pPr>
              <w:pStyle w:val="08-Tabelageral"/>
              <w:jc w:val="left"/>
              <w:rPr>
                <w:rFonts w:cs="Arial"/>
                <w:snapToGrid w:val="0"/>
                <w:lang w:eastAsia="en-US"/>
              </w:rPr>
            </w:pPr>
          </w:p>
        </w:tc>
        <w:tc>
          <w:tcPr>
            <w:tcW w:w="281" w:type="dxa"/>
            <w:tcBorders>
              <w:top w:val="single" w:sz="2" w:space="0" w:color="8EAADB" w:themeColor="accent5" w:themeTint="99"/>
              <w:left w:val="nil"/>
              <w:bottom w:val="nil"/>
              <w:right w:val="nil"/>
            </w:tcBorders>
            <w:vAlign w:val="center"/>
          </w:tcPr>
          <w:p w14:paraId="18EEBF0B" w14:textId="77777777" w:rsidR="00DC3779" w:rsidRPr="00860655" w:rsidRDefault="00DC3779" w:rsidP="00DC3779">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1843" w:type="dxa"/>
            <w:gridSpan w:val="2"/>
            <w:tcBorders>
              <w:top w:val="single" w:sz="2" w:space="0" w:color="8EAADB" w:themeColor="accent5" w:themeTint="99"/>
              <w:left w:val="nil"/>
              <w:bottom w:val="nil"/>
              <w:right w:val="nil"/>
            </w:tcBorders>
            <w:vAlign w:val="center"/>
            <w:hideMark/>
          </w:tcPr>
          <w:p w14:paraId="1A23B8CE" w14:textId="77777777" w:rsidR="00DC3779" w:rsidRPr="00860655" w:rsidRDefault="004343CB"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val="en-US" w:eastAsia="en-US"/>
              </w:rPr>
              <w:t>Unit</w:t>
            </w:r>
          </w:p>
        </w:tc>
        <w:tc>
          <w:tcPr>
            <w:tcW w:w="1843" w:type="dxa"/>
            <w:gridSpan w:val="2"/>
            <w:tcBorders>
              <w:top w:val="single" w:sz="2" w:space="0" w:color="8EAADB" w:themeColor="accent5" w:themeTint="99"/>
              <w:left w:val="nil"/>
              <w:bottom w:val="nil"/>
              <w:right w:val="nil"/>
            </w:tcBorders>
            <w:vAlign w:val="center"/>
            <w:hideMark/>
          </w:tcPr>
          <w:p w14:paraId="677565F7" w14:textId="77777777" w:rsidR="00DC3779" w:rsidRPr="00BC0EBE" w:rsidRDefault="004343CB"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lang w:eastAsia="en-US"/>
              </w:rPr>
            </w:pPr>
            <w:r w:rsidRPr="005655A9">
              <w:rPr>
                <w:rFonts w:cs="Arial"/>
                <w:b/>
                <w:color w:val="auto"/>
                <w:szCs w:val="14"/>
                <w:lang w:val="en-US" w:eastAsia="en-US"/>
              </w:rPr>
              <w:t>Fiscal Year/2021</w:t>
            </w:r>
          </w:p>
        </w:tc>
        <w:tc>
          <w:tcPr>
            <w:tcW w:w="1844" w:type="dxa"/>
            <w:tcBorders>
              <w:top w:val="single" w:sz="2" w:space="0" w:color="8EAADB" w:themeColor="accent5" w:themeTint="99"/>
              <w:left w:val="nil"/>
              <w:bottom w:val="nil"/>
              <w:right w:val="nil"/>
            </w:tcBorders>
            <w:vAlign w:val="center"/>
            <w:hideMark/>
          </w:tcPr>
          <w:p w14:paraId="1DD5983D" w14:textId="77777777" w:rsidR="00DC3779" w:rsidRPr="00860655" w:rsidRDefault="004343CB"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val="en-US" w:eastAsia="en-US"/>
              </w:rPr>
              <w:t>Fiscal Year/2020</w:t>
            </w:r>
          </w:p>
        </w:tc>
      </w:tr>
      <w:tr w:rsidR="00F275BD" w14:paraId="315A1077"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372CA367" w14:textId="77777777" w:rsidR="00F275BD" w:rsidRPr="00860655" w:rsidRDefault="00F275BD" w:rsidP="00F275BD">
            <w:pPr>
              <w:pStyle w:val="08-Tabelageral"/>
              <w:jc w:val="left"/>
              <w:rPr>
                <w:rFonts w:cs="Arial"/>
                <w:snapToGrid w:val="0"/>
                <w:lang w:eastAsia="en-US"/>
              </w:rPr>
            </w:pPr>
            <w:r w:rsidRPr="00860655">
              <w:rPr>
                <w:rFonts w:cs="Arial"/>
                <w:b w:val="0"/>
                <w:lang w:val="en-US" w:eastAsia="en-US"/>
              </w:rPr>
              <w:t>Adjusted earnings per share</w:t>
            </w:r>
          </w:p>
        </w:tc>
        <w:tc>
          <w:tcPr>
            <w:tcW w:w="281" w:type="dxa"/>
            <w:tcBorders>
              <w:top w:val="nil"/>
              <w:left w:val="nil"/>
              <w:bottom w:val="nil"/>
              <w:right w:val="nil"/>
            </w:tcBorders>
            <w:vAlign w:val="center"/>
          </w:tcPr>
          <w:p w14:paraId="46857E9C" w14:textId="77777777" w:rsidR="00F275BD" w:rsidRPr="00860655"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0A56F87F" w14:textId="77777777" w:rsidR="00F275BD" w:rsidRPr="00860655"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val="en-US" w:eastAsia="en-US"/>
              </w:rPr>
              <w:t>R$</w:t>
            </w:r>
          </w:p>
        </w:tc>
        <w:tc>
          <w:tcPr>
            <w:tcW w:w="1843" w:type="dxa"/>
            <w:gridSpan w:val="2"/>
            <w:tcBorders>
              <w:top w:val="nil"/>
              <w:left w:val="nil"/>
              <w:bottom w:val="nil"/>
              <w:right w:val="nil"/>
            </w:tcBorders>
            <w:hideMark/>
          </w:tcPr>
          <w:p w14:paraId="4587E119" w14:textId="22278094" w:rsidR="00F275BD" w:rsidRPr="00BC0EBE" w:rsidRDefault="00F275BD" w:rsidP="00F275BD">
            <w:pPr>
              <w:pStyle w:val="08-Tabelageral"/>
              <w:ind w:left="708"/>
              <w:cnfStyle w:val="000000000000" w:firstRow="0" w:lastRow="0" w:firstColumn="0" w:lastColumn="0" w:oddVBand="0" w:evenVBand="0" w:oddHBand="0" w:evenHBand="0" w:firstRowFirstColumn="0" w:firstRowLastColumn="0" w:lastRowFirstColumn="0" w:lastRowLastColumn="0"/>
              <w:rPr>
                <w:rFonts w:cs="Arial"/>
                <w:color w:val="FF0000"/>
                <w:highlight w:val="yellow"/>
                <w:lang w:eastAsia="en-US"/>
              </w:rPr>
            </w:pPr>
            <w:r w:rsidRPr="00E845E0">
              <w:t>1</w:t>
            </w:r>
            <w:r>
              <w:t>.</w:t>
            </w:r>
            <w:r w:rsidRPr="00E845E0">
              <w:t>97</w:t>
            </w:r>
          </w:p>
        </w:tc>
        <w:tc>
          <w:tcPr>
            <w:tcW w:w="1844" w:type="dxa"/>
            <w:tcBorders>
              <w:top w:val="nil"/>
              <w:left w:val="nil"/>
              <w:bottom w:val="nil"/>
              <w:right w:val="nil"/>
            </w:tcBorders>
            <w:hideMark/>
          </w:tcPr>
          <w:p w14:paraId="08D3686F" w14:textId="77777777" w:rsidR="00F275BD" w:rsidRPr="00860655"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val="en-US" w:eastAsia="en-US"/>
              </w:rPr>
              <w:t>1.94</w:t>
            </w:r>
          </w:p>
        </w:tc>
      </w:tr>
      <w:tr w:rsidR="00F275BD" w14:paraId="78E9E5C5"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67366A2A" w14:textId="77777777" w:rsidR="00F275BD" w:rsidRPr="00860655" w:rsidRDefault="00F275BD" w:rsidP="00F275BD">
            <w:pPr>
              <w:pStyle w:val="08-Tabelageral"/>
              <w:jc w:val="left"/>
              <w:rPr>
                <w:rFonts w:cs="Arial"/>
                <w:snapToGrid w:val="0"/>
                <w:lang w:eastAsia="en-US"/>
              </w:rPr>
            </w:pPr>
            <w:r w:rsidRPr="00860655">
              <w:rPr>
                <w:rFonts w:cs="Arial"/>
                <w:b w:val="0"/>
                <w:lang w:val="en-US" w:eastAsia="en-US"/>
              </w:rPr>
              <w:t>Equity value per share</w:t>
            </w:r>
          </w:p>
        </w:tc>
        <w:tc>
          <w:tcPr>
            <w:tcW w:w="281" w:type="dxa"/>
            <w:tcBorders>
              <w:top w:val="nil"/>
              <w:left w:val="nil"/>
              <w:bottom w:val="nil"/>
              <w:right w:val="nil"/>
            </w:tcBorders>
            <w:vAlign w:val="center"/>
          </w:tcPr>
          <w:p w14:paraId="2D93AB4B" w14:textId="77777777" w:rsidR="00F275BD" w:rsidRPr="00860655"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151F3484" w14:textId="77777777" w:rsidR="00F275BD" w:rsidRPr="00860655"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val="en-US" w:eastAsia="en-US"/>
              </w:rPr>
              <w:t>R$</w:t>
            </w:r>
          </w:p>
        </w:tc>
        <w:tc>
          <w:tcPr>
            <w:tcW w:w="1843" w:type="dxa"/>
            <w:gridSpan w:val="2"/>
            <w:tcBorders>
              <w:top w:val="nil"/>
              <w:left w:val="nil"/>
              <w:bottom w:val="nil"/>
              <w:right w:val="nil"/>
            </w:tcBorders>
            <w:hideMark/>
          </w:tcPr>
          <w:p w14:paraId="692E5E61" w14:textId="22574EE8" w:rsidR="00F275BD" w:rsidRPr="00BC0EBE"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lang w:eastAsia="en-US"/>
              </w:rPr>
            </w:pPr>
            <w:r w:rsidRPr="00E845E0">
              <w:t>3</w:t>
            </w:r>
            <w:r>
              <w:t>.</w:t>
            </w:r>
            <w:r w:rsidRPr="00E845E0">
              <w:t>64</w:t>
            </w:r>
          </w:p>
        </w:tc>
        <w:tc>
          <w:tcPr>
            <w:tcW w:w="1844" w:type="dxa"/>
            <w:tcBorders>
              <w:top w:val="nil"/>
              <w:left w:val="nil"/>
              <w:bottom w:val="nil"/>
              <w:right w:val="nil"/>
            </w:tcBorders>
            <w:hideMark/>
          </w:tcPr>
          <w:p w14:paraId="32E79272" w14:textId="77777777" w:rsidR="00F275BD" w:rsidRPr="00860655"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val="en-US" w:eastAsia="en-US"/>
              </w:rPr>
              <w:t>3.19</w:t>
            </w:r>
          </w:p>
        </w:tc>
      </w:tr>
      <w:tr w:rsidR="00F275BD" w14:paraId="6C24B62C"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4020A5E9" w14:textId="6A078A6A" w:rsidR="00F275BD" w:rsidRPr="00DC3779" w:rsidRDefault="00F275BD" w:rsidP="00F275BD">
            <w:pPr>
              <w:pStyle w:val="08-Tabelageral"/>
              <w:jc w:val="left"/>
              <w:rPr>
                <w:rFonts w:cs="Arial"/>
                <w:snapToGrid w:val="0"/>
                <w:lang w:eastAsia="en-US"/>
              </w:rPr>
            </w:pPr>
            <w:r w:rsidRPr="00DC3779">
              <w:rPr>
                <w:rFonts w:cs="Arial"/>
                <w:b w:val="0"/>
                <w:lang w:val="en-US" w:eastAsia="en-US"/>
              </w:rPr>
              <w:t xml:space="preserve">Closing </w:t>
            </w:r>
            <w:r>
              <w:rPr>
                <w:rFonts w:cs="Arial"/>
                <w:b w:val="0"/>
                <w:lang w:val="en-US" w:eastAsia="en-US"/>
              </w:rPr>
              <w:t>price per share</w:t>
            </w:r>
          </w:p>
        </w:tc>
        <w:tc>
          <w:tcPr>
            <w:tcW w:w="281" w:type="dxa"/>
            <w:tcBorders>
              <w:top w:val="nil"/>
              <w:left w:val="nil"/>
              <w:bottom w:val="nil"/>
              <w:right w:val="nil"/>
            </w:tcBorders>
            <w:vAlign w:val="center"/>
          </w:tcPr>
          <w:p w14:paraId="3F89B27D"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20912CE5"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val="en-US" w:eastAsia="en-US"/>
              </w:rPr>
              <w:t>R$</w:t>
            </w:r>
          </w:p>
        </w:tc>
        <w:tc>
          <w:tcPr>
            <w:tcW w:w="1843" w:type="dxa"/>
            <w:gridSpan w:val="2"/>
            <w:tcBorders>
              <w:top w:val="nil"/>
              <w:left w:val="nil"/>
              <w:bottom w:val="nil"/>
              <w:right w:val="nil"/>
            </w:tcBorders>
            <w:hideMark/>
          </w:tcPr>
          <w:p w14:paraId="7C740B9A" w14:textId="2928041E" w:rsidR="00F275BD" w:rsidRPr="00BC0EBE"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lang w:eastAsia="en-US"/>
              </w:rPr>
            </w:pPr>
            <w:r w:rsidRPr="00E845E0">
              <w:t>20</w:t>
            </w:r>
            <w:r>
              <w:t>.</w:t>
            </w:r>
            <w:r w:rsidRPr="00E845E0">
              <w:t>75</w:t>
            </w:r>
          </w:p>
        </w:tc>
        <w:tc>
          <w:tcPr>
            <w:tcW w:w="1844" w:type="dxa"/>
            <w:tcBorders>
              <w:top w:val="nil"/>
              <w:left w:val="nil"/>
              <w:bottom w:val="nil"/>
              <w:right w:val="nil"/>
            </w:tcBorders>
            <w:hideMark/>
          </w:tcPr>
          <w:p w14:paraId="0AEE1EEA"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val="en-US" w:eastAsia="en-US"/>
              </w:rPr>
              <w:t>29.63</w:t>
            </w:r>
          </w:p>
        </w:tc>
      </w:tr>
      <w:tr w:rsidR="00F275BD" w14:paraId="7642150E"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576D948B" w14:textId="2EEDB721" w:rsidR="00F275BD" w:rsidRPr="00DC3779" w:rsidRDefault="00F275BD" w:rsidP="00F275BD">
            <w:pPr>
              <w:pStyle w:val="08-Tabelageral"/>
              <w:jc w:val="left"/>
              <w:rPr>
                <w:rFonts w:cs="Arial"/>
                <w:snapToGrid w:val="0"/>
                <w:lang w:eastAsia="en-US"/>
              </w:rPr>
            </w:pPr>
            <w:r w:rsidRPr="00DC3779">
              <w:rPr>
                <w:rFonts w:cs="Arial"/>
                <w:b w:val="0"/>
                <w:lang w:val="en-US" w:eastAsia="en-US"/>
              </w:rPr>
              <w:t xml:space="preserve">Market </w:t>
            </w:r>
            <w:r>
              <w:rPr>
                <w:rFonts w:cs="Arial"/>
                <w:b w:val="0"/>
                <w:lang w:val="en-US" w:eastAsia="en-US"/>
              </w:rPr>
              <w:t>cap</w:t>
            </w:r>
          </w:p>
        </w:tc>
        <w:tc>
          <w:tcPr>
            <w:tcW w:w="281" w:type="dxa"/>
            <w:tcBorders>
              <w:top w:val="nil"/>
              <w:left w:val="nil"/>
              <w:bottom w:val="nil"/>
              <w:right w:val="nil"/>
            </w:tcBorders>
            <w:vAlign w:val="center"/>
          </w:tcPr>
          <w:p w14:paraId="21E87B54" w14:textId="77777777" w:rsidR="00F275BD" w:rsidRPr="00DC3779"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6ED00F64" w14:textId="77777777" w:rsidR="00F275BD" w:rsidRPr="00DC3779"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val="en-US" w:eastAsia="en-US"/>
              </w:rPr>
              <w:t>R$ billion</w:t>
            </w:r>
          </w:p>
        </w:tc>
        <w:tc>
          <w:tcPr>
            <w:tcW w:w="1843" w:type="dxa"/>
            <w:gridSpan w:val="2"/>
            <w:tcBorders>
              <w:top w:val="nil"/>
              <w:left w:val="nil"/>
              <w:bottom w:val="nil"/>
              <w:right w:val="nil"/>
            </w:tcBorders>
            <w:hideMark/>
          </w:tcPr>
          <w:p w14:paraId="3EEB7347" w14:textId="58AEF9CF" w:rsidR="00F275BD" w:rsidRPr="00BC0EBE"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lang w:eastAsia="en-US"/>
              </w:rPr>
            </w:pPr>
            <w:r w:rsidRPr="00E845E0">
              <w:t>41</w:t>
            </w:r>
            <w:r>
              <w:t>.</w:t>
            </w:r>
            <w:r w:rsidRPr="00E845E0">
              <w:t>50</w:t>
            </w:r>
          </w:p>
        </w:tc>
        <w:tc>
          <w:tcPr>
            <w:tcW w:w="1844" w:type="dxa"/>
            <w:tcBorders>
              <w:top w:val="nil"/>
              <w:left w:val="nil"/>
              <w:bottom w:val="nil"/>
              <w:right w:val="nil"/>
            </w:tcBorders>
            <w:hideMark/>
          </w:tcPr>
          <w:p w14:paraId="69B23FAF" w14:textId="77777777" w:rsidR="00F275BD" w:rsidRPr="00DC3779"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val="en-US" w:eastAsia="en-US"/>
              </w:rPr>
              <w:t>59.26</w:t>
            </w:r>
          </w:p>
        </w:tc>
      </w:tr>
      <w:tr w:rsidR="00F275BD" w14:paraId="54E0E2EB"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602EBD49" w14:textId="77777777" w:rsidR="00F275BD" w:rsidRPr="00DC3779" w:rsidRDefault="00F275BD" w:rsidP="00F275BD">
            <w:pPr>
              <w:pStyle w:val="08-Tabelageral"/>
              <w:jc w:val="left"/>
              <w:rPr>
                <w:rFonts w:cs="Arial"/>
                <w:snapToGrid w:val="0"/>
                <w:lang w:eastAsia="en-US"/>
              </w:rPr>
            </w:pPr>
            <w:r w:rsidRPr="00DC3779">
              <w:rPr>
                <w:rFonts w:cs="Arial"/>
                <w:b w:val="0"/>
                <w:lang w:val="en-US" w:eastAsia="en-US"/>
              </w:rPr>
              <w:t>Number of trades performed¹</w:t>
            </w:r>
          </w:p>
        </w:tc>
        <w:tc>
          <w:tcPr>
            <w:tcW w:w="281" w:type="dxa"/>
            <w:tcBorders>
              <w:top w:val="nil"/>
              <w:left w:val="nil"/>
              <w:bottom w:val="nil"/>
              <w:right w:val="nil"/>
            </w:tcBorders>
            <w:vAlign w:val="center"/>
          </w:tcPr>
          <w:p w14:paraId="7C207574"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0446DE7A"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val="en-US" w:eastAsia="en-US"/>
              </w:rPr>
              <w:t>-</w:t>
            </w:r>
          </w:p>
        </w:tc>
        <w:tc>
          <w:tcPr>
            <w:tcW w:w="1843" w:type="dxa"/>
            <w:gridSpan w:val="2"/>
            <w:tcBorders>
              <w:top w:val="nil"/>
              <w:left w:val="nil"/>
              <w:bottom w:val="nil"/>
              <w:right w:val="nil"/>
            </w:tcBorders>
            <w:hideMark/>
          </w:tcPr>
          <w:p w14:paraId="2DD1A133" w14:textId="5FCF1F9C" w:rsidR="00F275BD" w:rsidRPr="00BC0EBE"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lang w:eastAsia="en-US"/>
              </w:rPr>
            </w:pPr>
            <w:r w:rsidRPr="00E845E0">
              <w:t>5</w:t>
            </w:r>
            <w:r>
              <w:t>,</w:t>
            </w:r>
            <w:r w:rsidRPr="00E845E0">
              <w:t>061</w:t>
            </w:r>
            <w:r>
              <w:t>,</w:t>
            </w:r>
            <w:r w:rsidRPr="00E845E0">
              <w:t>575</w:t>
            </w:r>
          </w:p>
        </w:tc>
        <w:tc>
          <w:tcPr>
            <w:tcW w:w="1844" w:type="dxa"/>
            <w:tcBorders>
              <w:top w:val="nil"/>
              <w:left w:val="nil"/>
              <w:bottom w:val="nil"/>
              <w:right w:val="nil"/>
            </w:tcBorders>
            <w:hideMark/>
          </w:tcPr>
          <w:p w14:paraId="5E21E1D0"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val="en-US" w:eastAsia="en-US"/>
              </w:rPr>
              <w:t>5,249,372</w:t>
            </w:r>
          </w:p>
        </w:tc>
      </w:tr>
      <w:tr w:rsidR="00F275BD" w14:paraId="2CF74B1F"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526E42F6" w14:textId="61427AAB" w:rsidR="00F275BD" w:rsidRPr="00DC3779" w:rsidRDefault="00F275BD" w:rsidP="00F275BD">
            <w:pPr>
              <w:pStyle w:val="08-Tabelageral"/>
              <w:jc w:val="left"/>
              <w:rPr>
                <w:rFonts w:cs="Arial"/>
                <w:snapToGrid w:val="0"/>
                <w:vertAlign w:val="superscript"/>
                <w:lang w:eastAsia="en-US"/>
              </w:rPr>
            </w:pPr>
            <w:r w:rsidRPr="00DC3779">
              <w:rPr>
                <w:rFonts w:cs="Arial"/>
                <w:b w:val="0"/>
                <w:lang w:val="en-US" w:eastAsia="en-US"/>
              </w:rPr>
              <w:t>Average daily traded</w:t>
            </w:r>
            <w:r>
              <w:rPr>
                <w:rFonts w:cs="Arial"/>
                <w:b w:val="0"/>
                <w:lang w:val="en-US" w:eastAsia="en-US"/>
              </w:rPr>
              <w:t xml:space="preserve"> </w:t>
            </w:r>
            <w:r w:rsidRPr="00DC3779">
              <w:rPr>
                <w:rFonts w:cs="Arial"/>
                <w:b w:val="0"/>
                <w:lang w:val="en-US" w:eastAsia="en-US"/>
              </w:rPr>
              <w:t>volume¹</w:t>
            </w:r>
          </w:p>
        </w:tc>
        <w:tc>
          <w:tcPr>
            <w:tcW w:w="281" w:type="dxa"/>
            <w:tcBorders>
              <w:top w:val="nil"/>
              <w:left w:val="nil"/>
              <w:bottom w:val="nil"/>
              <w:right w:val="nil"/>
            </w:tcBorders>
            <w:vAlign w:val="center"/>
          </w:tcPr>
          <w:p w14:paraId="6B0BBF4A" w14:textId="77777777" w:rsidR="00F275BD" w:rsidRPr="00DC3779"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3CB6779D" w14:textId="77777777" w:rsidR="00F275BD" w:rsidRPr="00DC3779"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val="en-US" w:eastAsia="en-US"/>
              </w:rPr>
              <w:t>R$ million</w:t>
            </w:r>
          </w:p>
        </w:tc>
        <w:tc>
          <w:tcPr>
            <w:tcW w:w="1843" w:type="dxa"/>
            <w:gridSpan w:val="2"/>
            <w:tcBorders>
              <w:top w:val="nil"/>
              <w:left w:val="nil"/>
              <w:bottom w:val="nil"/>
              <w:right w:val="nil"/>
            </w:tcBorders>
            <w:hideMark/>
          </w:tcPr>
          <w:p w14:paraId="3F179415" w14:textId="1F253CB5" w:rsidR="00F275BD" w:rsidRPr="00BC0EBE"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lang w:eastAsia="en-US"/>
              </w:rPr>
            </w:pPr>
            <w:r w:rsidRPr="00E845E0">
              <w:t>125</w:t>
            </w:r>
            <w:r>
              <w:t>.</w:t>
            </w:r>
            <w:r w:rsidRPr="00E845E0">
              <w:t>9</w:t>
            </w:r>
          </w:p>
        </w:tc>
        <w:tc>
          <w:tcPr>
            <w:tcW w:w="1844" w:type="dxa"/>
            <w:tcBorders>
              <w:top w:val="nil"/>
              <w:left w:val="nil"/>
              <w:bottom w:val="nil"/>
              <w:right w:val="nil"/>
            </w:tcBorders>
            <w:hideMark/>
          </w:tcPr>
          <w:p w14:paraId="0698BF80" w14:textId="77777777" w:rsidR="00F275BD" w:rsidRPr="00DC3779" w:rsidRDefault="00F275BD" w:rsidP="00F275BD">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val="en-US" w:eastAsia="en-US"/>
              </w:rPr>
              <w:t>135.19</w:t>
            </w:r>
          </w:p>
        </w:tc>
      </w:tr>
      <w:tr w:rsidR="00F275BD" w14:paraId="728B7153" w14:textId="77777777" w:rsidTr="00592918">
        <w:trPr>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9CC2E5" w:themeColor="accent1" w:themeTint="99"/>
              <w:right w:val="nil"/>
            </w:tcBorders>
            <w:hideMark/>
          </w:tcPr>
          <w:p w14:paraId="2609B1E4" w14:textId="77777777" w:rsidR="00F275BD" w:rsidRPr="00DC3779" w:rsidRDefault="00F275BD" w:rsidP="00F275BD">
            <w:pPr>
              <w:pStyle w:val="08-Tabelageral"/>
              <w:jc w:val="left"/>
              <w:rPr>
                <w:rFonts w:cs="Arial"/>
                <w:snapToGrid w:val="0"/>
                <w:lang w:eastAsia="en-US"/>
              </w:rPr>
            </w:pPr>
            <w:r w:rsidRPr="00DC3779">
              <w:rPr>
                <w:rFonts w:cs="Arial"/>
                <w:b w:val="0"/>
                <w:lang w:val="en-US" w:eastAsia="en-US"/>
              </w:rPr>
              <w:t>Share in B3's average daily volume</w:t>
            </w:r>
          </w:p>
        </w:tc>
        <w:tc>
          <w:tcPr>
            <w:tcW w:w="281" w:type="dxa"/>
            <w:tcBorders>
              <w:top w:val="nil"/>
              <w:left w:val="nil"/>
              <w:bottom w:val="single" w:sz="2" w:space="0" w:color="9CC2E5" w:themeColor="accent1" w:themeTint="99"/>
              <w:right w:val="nil"/>
            </w:tcBorders>
            <w:vAlign w:val="center"/>
          </w:tcPr>
          <w:p w14:paraId="5CFA3232"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single" w:sz="2" w:space="0" w:color="9CC2E5" w:themeColor="accent1" w:themeTint="99"/>
              <w:right w:val="nil"/>
            </w:tcBorders>
            <w:hideMark/>
          </w:tcPr>
          <w:p w14:paraId="0564951D"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val="en-US" w:eastAsia="en-US"/>
              </w:rPr>
              <w:t>%</w:t>
            </w:r>
          </w:p>
        </w:tc>
        <w:tc>
          <w:tcPr>
            <w:tcW w:w="1843" w:type="dxa"/>
            <w:gridSpan w:val="2"/>
            <w:tcBorders>
              <w:top w:val="nil"/>
              <w:left w:val="nil"/>
              <w:bottom w:val="single" w:sz="2" w:space="0" w:color="9CC2E5" w:themeColor="accent1" w:themeTint="99"/>
              <w:right w:val="nil"/>
            </w:tcBorders>
            <w:hideMark/>
          </w:tcPr>
          <w:p w14:paraId="7EB9310E" w14:textId="1BDF78A3" w:rsidR="00F275BD" w:rsidRPr="00BC0EBE"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lang w:eastAsia="en-US"/>
              </w:rPr>
            </w:pPr>
            <w:r w:rsidRPr="00E845E0">
              <w:t>0</w:t>
            </w:r>
            <w:r>
              <w:t>.</w:t>
            </w:r>
            <w:r w:rsidRPr="00E845E0">
              <w:t>44</w:t>
            </w:r>
          </w:p>
        </w:tc>
        <w:tc>
          <w:tcPr>
            <w:tcW w:w="1844" w:type="dxa"/>
            <w:tcBorders>
              <w:top w:val="nil"/>
              <w:left w:val="nil"/>
              <w:bottom w:val="single" w:sz="2" w:space="0" w:color="9CC2E5" w:themeColor="accent1" w:themeTint="99"/>
              <w:right w:val="nil"/>
            </w:tcBorders>
            <w:hideMark/>
          </w:tcPr>
          <w:p w14:paraId="219BD6C8" w14:textId="77777777" w:rsidR="00F275BD" w:rsidRPr="00DC3779" w:rsidRDefault="00F275BD" w:rsidP="00F275BD">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val="en-US" w:eastAsia="en-US"/>
              </w:rPr>
              <w:t>0.52</w:t>
            </w:r>
          </w:p>
        </w:tc>
      </w:tr>
    </w:tbl>
    <w:p w14:paraId="6A875F9B" w14:textId="77777777" w:rsidR="00C81A16" w:rsidRPr="00DC3779" w:rsidRDefault="004343CB" w:rsidP="00C81A16">
      <w:pPr>
        <w:pStyle w:val="07-Legenda"/>
        <w:rPr>
          <w:rFonts w:cs="Arial"/>
        </w:rPr>
      </w:pPr>
      <w:r w:rsidRPr="00DC3779">
        <w:rPr>
          <w:rFonts w:cs="Arial"/>
          <w:lang w:val="en-US"/>
        </w:rPr>
        <w:t>(1) Refers to the Standard Batch</w:t>
      </w:r>
    </w:p>
    <w:p w14:paraId="666BB138" w14:textId="77777777" w:rsidR="00C81A16" w:rsidRPr="00FA31E9" w:rsidRDefault="00C81A16" w:rsidP="00C81A16">
      <w:pPr>
        <w:spacing w:after="0" w:line="240" w:lineRule="auto"/>
        <w:rPr>
          <w:rFonts w:eastAsia="Times New Roman" w:cs="Arial"/>
          <w:b/>
          <w:spacing w:val="-2"/>
          <w:sz w:val="20"/>
          <w:szCs w:val="20"/>
          <w:highlight w:val="yellow"/>
          <w:lang w:eastAsia="pt-BR"/>
        </w:rPr>
      </w:pPr>
    </w:p>
    <w:p w14:paraId="4C7AB178" w14:textId="77777777" w:rsidR="00C81A16" w:rsidRPr="00860655" w:rsidRDefault="004343CB" w:rsidP="00C81A16">
      <w:pPr>
        <w:pStyle w:val="03-SubttulodeNota"/>
        <w:spacing w:line="276" w:lineRule="auto"/>
        <w:rPr>
          <w:color w:val="1F4E79" w:themeColor="accent1" w:themeShade="80"/>
        </w:rPr>
      </w:pPr>
      <w:r w:rsidRPr="00860655">
        <w:rPr>
          <w:color w:val="1F4E79" w:themeColor="accent1" w:themeShade="80"/>
          <w:lang w:val="en-US"/>
        </w:rPr>
        <w:t>Shareholders' Compensation</w:t>
      </w:r>
    </w:p>
    <w:p w14:paraId="19F739AA" w14:textId="056C6BF8" w:rsidR="00C81A16" w:rsidRPr="00140617" w:rsidRDefault="004343CB" w:rsidP="00C81A16">
      <w:pPr>
        <w:pStyle w:val="01-Textonormal"/>
        <w:rPr>
          <w:rFonts w:cs="Arial"/>
        </w:rPr>
      </w:pPr>
      <w:r w:rsidRPr="00860655">
        <w:rPr>
          <w:rFonts w:cs="Arial"/>
          <w:lang w:val="en-US"/>
        </w:rPr>
        <w:t xml:space="preserve">BB Seguridade allocated </w:t>
      </w:r>
      <w:r w:rsidR="005655A9">
        <w:rPr>
          <w:rFonts w:cs="Arial"/>
          <w:lang w:val="en-US"/>
        </w:rPr>
        <w:t>roughly 73%</w:t>
      </w:r>
      <w:r w:rsidRPr="00860655">
        <w:rPr>
          <w:rFonts w:cs="Arial"/>
          <w:lang w:val="en-US"/>
        </w:rPr>
        <w:t xml:space="preserve"> of the net</w:t>
      </w:r>
      <w:r w:rsidR="005655A9">
        <w:rPr>
          <w:rFonts w:cs="Arial"/>
          <w:lang w:val="en-US"/>
        </w:rPr>
        <w:t xml:space="preserve"> income</w:t>
      </w:r>
      <w:r w:rsidRPr="00860655">
        <w:rPr>
          <w:rFonts w:cs="Arial"/>
          <w:lang w:val="en-US"/>
        </w:rPr>
        <w:t xml:space="preserve"> </w:t>
      </w:r>
      <w:r w:rsidR="005655A9">
        <w:rPr>
          <w:rFonts w:cs="Arial"/>
          <w:lang w:val="en-US"/>
        </w:rPr>
        <w:t xml:space="preserve">of 2021 </w:t>
      </w:r>
      <w:r w:rsidRPr="00860655">
        <w:rPr>
          <w:rFonts w:cs="Arial"/>
          <w:lang w:val="en-US"/>
        </w:rPr>
        <w:t xml:space="preserve">to </w:t>
      </w:r>
      <w:r w:rsidR="005655A9">
        <w:rPr>
          <w:rFonts w:cs="Arial"/>
          <w:lang w:val="en-US"/>
        </w:rPr>
        <w:t xml:space="preserve">pay dividends to </w:t>
      </w:r>
      <w:r w:rsidRPr="00860655">
        <w:rPr>
          <w:rFonts w:cs="Arial"/>
          <w:lang w:val="en-US"/>
        </w:rPr>
        <w:t>shareholders, totaling R$</w:t>
      </w:r>
      <w:r w:rsidR="005655A9">
        <w:rPr>
          <w:rFonts w:cs="Arial"/>
          <w:lang w:val="en-US"/>
        </w:rPr>
        <w:t>2</w:t>
      </w:r>
      <w:r w:rsidRPr="00860655">
        <w:rPr>
          <w:rFonts w:cs="Arial"/>
          <w:lang w:val="en-US"/>
        </w:rPr>
        <w:t>.</w:t>
      </w:r>
      <w:r w:rsidR="005655A9">
        <w:rPr>
          <w:rFonts w:cs="Arial"/>
          <w:lang w:val="en-US"/>
        </w:rPr>
        <w:t>9</w:t>
      </w:r>
      <w:r w:rsidRPr="00860655">
        <w:rPr>
          <w:rFonts w:cs="Arial"/>
          <w:lang w:val="en-US"/>
        </w:rPr>
        <w:t xml:space="preserve"> billion, equivalent to R$</w:t>
      </w:r>
      <w:r w:rsidR="005655A9">
        <w:rPr>
          <w:rFonts w:cs="Arial"/>
          <w:lang w:val="en-US"/>
        </w:rPr>
        <w:t>1</w:t>
      </w:r>
      <w:r w:rsidRPr="00860655">
        <w:rPr>
          <w:rFonts w:cs="Arial"/>
          <w:lang w:val="en-US"/>
        </w:rPr>
        <w:t>.</w:t>
      </w:r>
      <w:r w:rsidR="005655A9">
        <w:rPr>
          <w:rFonts w:cs="Arial"/>
          <w:lang w:val="en-US"/>
        </w:rPr>
        <w:t>44</w:t>
      </w:r>
      <w:r w:rsidRPr="00860655">
        <w:rPr>
          <w:rFonts w:cs="Arial"/>
          <w:lang w:val="en-US"/>
        </w:rPr>
        <w:t xml:space="preserve"> per share. In 2020, the dividend referring to the net profit for the fiscal year was R$1.35 per share. </w:t>
      </w:r>
    </w:p>
    <w:p w14:paraId="3C6BE5E8" w14:textId="77777777" w:rsidR="00C81A16" w:rsidRPr="00FA31E9" w:rsidRDefault="00C81A16" w:rsidP="00C81A16">
      <w:pPr>
        <w:pStyle w:val="01-Textonormal"/>
        <w:rPr>
          <w:rFonts w:cs="Arial"/>
          <w:color w:val="FF0000"/>
          <w:highlight w:val="yellow"/>
        </w:rPr>
      </w:pPr>
    </w:p>
    <w:p w14:paraId="125FC323" w14:textId="77777777" w:rsidR="00C81A16" w:rsidRPr="00B85BEE" w:rsidRDefault="004343CB" w:rsidP="00C81A16">
      <w:pPr>
        <w:pStyle w:val="03-SubttulodeNota"/>
        <w:spacing w:line="276" w:lineRule="auto"/>
        <w:rPr>
          <w:color w:val="1F4E79" w:themeColor="accent1" w:themeShade="80"/>
        </w:rPr>
      </w:pPr>
      <w:r w:rsidRPr="00B85BEE">
        <w:rPr>
          <w:color w:val="1F4E79" w:themeColor="accent1" w:themeShade="80"/>
          <w:lang w:val="en-US"/>
        </w:rPr>
        <w:t>Shares Buyback</w:t>
      </w:r>
    </w:p>
    <w:p w14:paraId="7ECDBE9F" w14:textId="4DDC4E99" w:rsidR="00C81A16" w:rsidRPr="00B85BEE" w:rsidRDefault="004343CB" w:rsidP="00C81A16">
      <w:pPr>
        <w:pStyle w:val="05-Textonormal"/>
        <w:rPr>
          <w:rFonts w:cs="Arial"/>
        </w:rPr>
      </w:pPr>
      <w:r w:rsidRPr="00B85BEE">
        <w:rPr>
          <w:rFonts w:cs="Arial"/>
          <w:lang w:val="en-US"/>
        </w:rPr>
        <w:t>Throughout 2021, there was no open</w:t>
      </w:r>
      <w:r w:rsidR="005655A9">
        <w:rPr>
          <w:rFonts w:cs="Arial"/>
          <w:lang w:val="en-US"/>
        </w:rPr>
        <w:t>ed</w:t>
      </w:r>
      <w:r w:rsidRPr="00B85BEE">
        <w:rPr>
          <w:rFonts w:cs="Arial"/>
          <w:lang w:val="en-US"/>
        </w:rPr>
        <w:t xml:space="preserve"> shares buyback program. As approved by the Extraordinary General Meeting (“AGE”), held on 10.30.2019, treasury shares</w:t>
      </w:r>
      <w:bookmarkStart w:id="0" w:name="_Hlk62115926"/>
      <w:r w:rsidRPr="00B85BEE">
        <w:rPr>
          <w:rFonts w:cs="Arial"/>
          <w:lang w:val="en-US"/>
        </w:rPr>
        <w:t xml:space="preserve"> relating to buybacks carried out in previous years</w:t>
      </w:r>
      <w:bookmarkEnd w:id="0"/>
      <w:r w:rsidRPr="00B85BEE">
        <w:rPr>
          <w:rFonts w:cs="Arial"/>
          <w:lang w:val="en-US"/>
        </w:rPr>
        <w:t xml:space="preserve"> can be used specifically in the employee </w:t>
      </w:r>
      <w:r w:rsidR="00F36BC3">
        <w:rPr>
          <w:rFonts w:cs="Arial"/>
          <w:lang w:val="en-US"/>
        </w:rPr>
        <w:t>remuneration</w:t>
      </w:r>
      <w:r w:rsidRPr="00B85BEE">
        <w:rPr>
          <w:rFonts w:cs="Arial"/>
          <w:lang w:val="en-US"/>
        </w:rPr>
        <w:t xml:space="preserve"> and</w:t>
      </w:r>
      <w:r w:rsidR="00F36BC3">
        <w:rPr>
          <w:rFonts w:cs="Arial"/>
          <w:lang w:val="en-US"/>
        </w:rPr>
        <w:t xml:space="preserve"> in</w:t>
      </w:r>
      <w:r w:rsidRPr="00B85BEE">
        <w:rPr>
          <w:rFonts w:cs="Arial"/>
          <w:lang w:val="en-US"/>
        </w:rPr>
        <w:t xml:space="preserve"> variable</w:t>
      </w:r>
      <w:r w:rsidR="00F36BC3">
        <w:rPr>
          <w:rFonts w:cs="Arial"/>
          <w:lang w:val="en-US"/>
        </w:rPr>
        <w:t xml:space="preserve"> compensation of</w:t>
      </w:r>
      <w:r w:rsidRPr="00B85BEE">
        <w:rPr>
          <w:rFonts w:cs="Arial"/>
          <w:lang w:val="en-US"/>
        </w:rPr>
        <w:t xml:space="preserve"> </w:t>
      </w:r>
      <w:r w:rsidR="00F36BC3">
        <w:rPr>
          <w:rFonts w:cs="Arial"/>
          <w:lang w:val="en-US"/>
        </w:rPr>
        <w:t xml:space="preserve">executive </w:t>
      </w:r>
      <w:r w:rsidRPr="00B85BEE">
        <w:rPr>
          <w:rFonts w:cs="Arial"/>
          <w:lang w:val="en-US"/>
        </w:rPr>
        <w:t xml:space="preserve">officers, up to </w:t>
      </w:r>
      <w:r w:rsidR="00F36BC3">
        <w:rPr>
          <w:rFonts w:cs="Arial"/>
          <w:lang w:val="en-US"/>
        </w:rPr>
        <w:t>the</w:t>
      </w:r>
      <w:r w:rsidRPr="00B85BEE">
        <w:rPr>
          <w:rFonts w:cs="Arial"/>
          <w:lang w:val="en-US"/>
        </w:rPr>
        <w:t xml:space="preserve"> limit of 3,359,550 shares, being the Board of Directors responsible for establishing how to best implement the </w:t>
      </w:r>
      <w:r w:rsidR="00F36BC3">
        <w:rPr>
          <w:rFonts w:cs="Arial"/>
          <w:lang w:val="en-US"/>
        </w:rPr>
        <w:t xml:space="preserve">use </w:t>
      </w:r>
      <w:r w:rsidRPr="00B85BEE">
        <w:rPr>
          <w:rFonts w:cs="Arial"/>
          <w:lang w:val="en-US"/>
        </w:rPr>
        <w:t xml:space="preserve">of these shares. </w:t>
      </w:r>
    </w:p>
    <w:p w14:paraId="3616E0B5" w14:textId="5E2A3242" w:rsidR="00C81A16" w:rsidRDefault="004343CB" w:rsidP="00C81A16">
      <w:pPr>
        <w:pStyle w:val="05-Textonormal"/>
        <w:rPr>
          <w:rFonts w:cs="Arial"/>
        </w:rPr>
      </w:pPr>
      <w:r w:rsidRPr="00B85BEE">
        <w:rPr>
          <w:rFonts w:cs="Arial"/>
          <w:lang w:val="en-US"/>
        </w:rPr>
        <w:t>In 202</w:t>
      </w:r>
      <w:r w:rsidR="00F36BC3">
        <w:rPr>
          <w:rFonts w:cs="Arial"/>
          <w:lang w:val="en-US"/>
        </w:rPr>
        <w:t>1</w:t>
      </w:r>
      <w:r w:rsidRPr="00B85BEE">
        <w:rPr>
          <w:rFonts w:cs="Arial"/>
          <w:lang w:val="en-US"/>
        </w:rPr>
        <w:t xml:space="preserve">, 38,263 shares were transferred </w:t>
      </w:r>
      <w:r w:rsidR="00F36BC3">
        <w:rPr>
          <w:rFonts w:cs="Arial"/>
          <w:lang w:val="en-US"/>
        </w:rPr>
        <w:t xml:space="preserve">according to the </w:t>
      </w:r>
      <w:r w:rsidRPr="00B85BEE">
        <w:rPr>
          <w:rFonts w:cs="Arial"/>
          <w:lang w:val="en-US"/>
        </w:rPr>
        <w:t xml:space="preserve">Result-Based Rewards Program (PPR), intended to recognize the individual performance of employees who exceeded their goals in 2020, and 22,460 shares were transferred </w:t>
      </w:r>
      <w:r w:rsidR="0097286C">
        <w:rPr>
          <w:rFonts w:cs="Arial"/>
          <w:lang w:val="en-US"/>
        </w:rPr>
        <w:t xml:space="preserve">within </w:t>
      </w:r>
      <w:r w:rsidRPr="00B85BEE">
        <w:rPr>
          <w:rFonts w:cs="Arial"/>
          <w:lang w:val="en-US"/>
        </w:rPr>
        <w:t xml:space="preserve">the Variable </w:t>
      </w:r>
      <w:r w:rsidR="00F36BC3">
        <w:rPr>
          <w:rFonts w:cs="Arial"/>
          <w:lang w:val="en-US"/>
        </w:rPr>
        <w:t xml:space="preserve">Compensation Program for Executive </w:t>
      </w:r>
      <w:r w:rsidRPr="00B85BEE">
        <w:rPr>
          <w:rFonts w:cs="Arial"/>
          <w:lang w:val="en-US"/>
        </w:rPr>
        <w:t>Officers.</w:t>
      </w:r>
    </w:p>
    <w:p w14:paraId="26B75ED7" w14:textId="77777777" w:rsidR="00C81A16" w:rsidRDefault="00C81A16" w:rsidP="00C81A16">
      <w:pPr>
        <w:pStyle w:val="05-Textonormal"/>
        <w:rPr>
          <w:rFonts w:cs="Arial"/>
        </w:rPr>
      </w:pPr>
    </w:p>
    <w:p w14:paraId="63BE24D6"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t>STRATEGY</w:t>
      </w:r>
    </w:p>
    <w:p w14:paraId="10981191" w14:textId="77777777" w:rsidR="0071689C" w:rsidRDefault="004343CB" w:rsidP="00F8715C">
      <w:pPr>
        <w:pStyle w:val="01-Textonormal"/>
      </w:pPr>
      <w:r>
        <w:rPr>
          <w:lang w:val="en-US"/>
        </w:rPr>
        <w:t xml:space="preserve">BB Seguridade's strategy seeks to ensure the company's perpetuity, balancing short, medium and long-term efforts and preparing itself to face different prospective scenarios. </w:t>
      </w:r>
    </w:p>
    <w:p w14:paraId="34E6A9C3" w14:textId="263336E7" w:rsidR="00F8715C" w:rsidRDefault="004343CB" w:rsidP="00F8715C">
      <w:pPr>
        <w:pStyle w:val="01-Textonormal"/>
      </w:pPr>
      <w:r>
        <w:rPr>
          <w:lang w:val="en-US"/>
        </w:rPr>
        <w:t>BB Seguridade's long-term strategy model consists of the following elements, which are reviewed on an annual basis or at any time as a result of facts that cause relevant changes in the scenarios,</w:t>
      </w:r>
      <w:r w:rsidR="0097286C">
        <w:rPr>
          <w:lang w:val="en-US"/>
        </w:rPr>
        <w:t xml:space="preserve"> </w:t>
      </w:r>
      <w:r>
        <w:rPr>
          <w:lang w:val="en-US"/>
        </w:rPr>
        <w:t>increas</w:t>
      </w:r>
      <w:r w:rsidR="0097286C">
        <w:rPr>
          <w:lang w:val="en-US"/>
        </w:rPr>
        <w:t xml:space="preserve">ing </w:t>
      </w:r>
      <w:r>
        <w:rPr>
          <w:lang w:val="en-US"/>
        </w:rPr>
        <w:t xml:space="preserve">the </w:t>
      </w:r>
      <w:r w:rsidR="0097286C">
        <w:rPr>
          <w:lang w:val="en-US"/>
        </w:rPr>
        <w:t xml:space="preserve">company’s capability </w:t>
      </w:r>
      <w:r>
        <w:rPr>
          <w:lang w:val="en-US"/>
        </w:rPr>
        <w:t xml:space="preserve">to anticipate and strategically </w:t>
      </w:r>
      <w:r w:rsidR="0097286C">
        <w:rPr>
          <w:lang w:val="en-US"/>
        </w:rPr>
        <w:t>adapt</w:t>
      </w:r>
      <w:r>
        <w:rPr>
          <w:lang w:val="en-US"/>
        </w:rPr>
        <w:t xml:space="preserve"> to the changes:</w:t>
      </w:r>
    </w:p>
    <w:p w14:paraId="100B7FA0" w14:textId="1D98C27E" w:rsidR="00F8715C" w:rsidRDefault="004343CB" w:rsidP="00F8715C">
      <w:pPr>
        <w:pStyle w:val="01-Textonormal"/>
        <w:numPr>
          <w:ilvl w:val="0"/>
          <w:numId w:val="10"/>
        </w:numPr>
      </w:pPr>
      <w:r>
        <w:rPr>
          <w:lang w:val="en-US"/>
        </w:rPr>
        <w:t>the prospective scenarios, which contemplate the archetypes indicating the vectors of greater uncertainty inherent to the market in which BB Seguridade operates and its business model</w:t>
      </w:r>
      <w:r w:rsidR="0097286C">
        <w:rPr>
          <w:lang w:val="en-US"/>
        </w:rPr>
        <w:t>;</w:t>
      </w:r>
    </w:p>
    <w:p w14:paraId="242BD22D" w14:textId="43FBE9C6" w:rsidR="00F8715C" w:rsidRDefault="004343CB" w:rsidP="00F8715C">
      <w:pPr>
        <w:pStyle w:val="01-Textonormal"/>
        <w:numPr>
          <w:ilvl w:val="0"/>
          <w:numId w:val="10"/>
        </w:numPr>
      </w:pPr>
      <w:r>
        <w:rPr>
          <w:lang w:val="en-US"/>
        </w:rPr>
        <w:t>the sign</w:t>
      </w:r>
      <w:r w:rsidR="0097286C">
        <w:rPr>
          <w:lang w:val="en-US"/>
        </w:rPr>
        <w:t>als</w:t>
      </w:r>
      <w:r>
        <w:rPr>
          <w:lang w:val="en-US"/>
        </w:rPr>
        <w:t xml:space="preserve"> detection and filtering model and emerging technology themes and applications for the </w:t>
      </w:r>
      <w:r w:rsidR="0097286C">
        <w:rPr>
          <w:lang w:val="en-US"/>
        </w:rPr>
        <w:t>insurance</w:t>
      </w:r>
      <w:r>
        <w:rPr>
          <w:lang w:val="en-US"/>
        </w:rPr>
        <w:t xml:space="preserve"> business;</w:t>
      </w:r>
    </w:p>
    <w:p w14:paraId="402AD2E7" w14:textId="77777777" w:rsidR="00F8715C" w:rsidRDefault="004343CB" w:rsidP="00F8715C">
      <w:pPr>
        <w:pStyle w:val="01-Textonormal"/>
        <w:numPr>
          <w:ilvl w:val="0"/>
          <w:numId w:val="10"/>
        </w:numPr>
      </w:pPr>
      <w:r>
        <w:rPr>
          <w:lang w:val="en-US"/>
        </w:rPr>
        <w:t>the SWOT matrix, which consolidates internal and external factors and describes the competitive environment in which the company operates;</w:t>
      </w:r>
    </w:p>
    <w:p w14:paraId="45E9B77E" w14:textId="77777777" w:rsidR="00F8715C" w:rsidRDefault="004343CB" w:rsidP="00F8715C">
      <w:pPr>
        <w:pStyle w:val="01-Textonormal"/>
        <w:numPr>
          <w:ilvl w:val="0"/>
          <w:numId w:val="10"/>
        </w:numPr>
      </w:pPr>
      <w:r>
        <w:rPr>
          <w:lang w:val="en-US"/>
        </w:rPr>
        <w:t>the strategic assessment, that is, the analysis of BB Seguridade's strategic positioning in view of its current strengths and weaknesses;</w:t>
      </w:r>
    </w:p>
    <w:p w14:paraId="323132DE" w14:textId="2BDBEE03" w:rsidR="00F8715C" w:rsidRDefault="004343CB" w:rsidP="00F8715C">
      <w:pPr>
        <w:pStyle w:val="01-Textonormal"/>
        <w:numPr>
          <w:ilvl w:val="0"/>
          <w:numId w:val="10"/>
        </w:numPr>
      </w:pPr>
      <w:r>
        <w:rPr>
          <w:lang w:val="en-US"/>
        </w:rPr>
        <w:t xml:space="preserve">the mission: “Protect </w:t>
      </w:r>
      <w:r w:rsidR="00B907E9">
        <w:rPr>
          <w:lang w:val="en-US"/>
        </w:rPr>
        <w:t>goods</w:t>
      </w:r>
      <w:r>
        <w:rPr>
          <w:lang w:val="en-US"/>
        </w:rPr>
        <w:t>, achievements and projects”;</w:t>
      </w:r>
    </w:p>
    <w:p w14:paraId="24793D2D" w14:textId="433CCE42" w:rsidR="00F8715C" w:rsidRDefault="004343CB" w:rsidP="00F8715C">
      <w:pPr>
        <w:pStyle w:val="01-Textonormal"/>
        <w:numPr>
          <w:ilvl w:val="0"/>
          <w:numId w:val="10"/>
        </w:numPr>
      </w:pPr>
      <w:r>
        <w:rPr>
          <w:lang w:val="en-US"/>
        </w:rPr>
        <w:t xml:space="preserve">the vision: “We transform people's lives through the best protection ecosystem. We are a </w:t>
      </w:r>
      <w:r w:rsidR="00B907E9">
        <w:rPr>
          <w:lang w:val="en-US"/>
        </w:rPr>
        <w:t>lean</w:t>
      </w:r>
      <w:r>
        <w:rPr>
          <w:lang w:val="en-US"/>
        </w:rPr>
        <w:t xml:space="preserve"> company that generates sustainable value”;</w:t>
      </w:r>
    </w:p>
    <w:p w14:paraId="5A2CA89C" w14:textId="77777777" w:rsidR="00F8715C" w:rsidRDefault="004343CB" w:rsidP="00F8715C">
      <w:pPr>
        <w:pStyle w:val="01-Textonormal"/>
        <w:numPr>
          <w:ilvl w:val="0"/>
          <w:numId w:val="10"/>
        </w:numPr>
      </w:pPr>
      <w:r>
        <w:rPr>
          <w:lang w:val="en-US"/>
        </w:rPr>
        <w:t>the values, set of behaviors and mental attitudes that guide our actions; and</w:t>
      </w:r>
    </w:p>
    <w:p w14:paraId="7E4D4A86" w14:textId="77777777" w:rsidR="00F8715C" w:rsidRDefault="004343CB" w:rsidP="00F8715C">
      <w:pPr>
        <w:pStyle w:val="01-Textonormal"/>
        <w:numPr>
          <w:ilvl w:val="0"/>
          <w:numId w:val="10"/>
        </w:numPr>
      </w:pPr>
      <w:r>
        <w:rPr>
          <w:lang w:val="en-US"/>
        </w:rPr>
        <w:t>the strategic goals, which promote the strategic alignment with Banco do Brasil and invested companies and define how and when the challenges will be overcome; optimize the understanding, focus and carrying out the strategy at BB Seguridade; and present metrics, indicators and key results, which measure the results achieved and the performance of BB Seguridade in relation to the objectives.</w:t>
      </w:r>
    </w:p>
    <w:p w14:paraId="7630FF6C" w14:textId="77777777" w:rsidR="00B71850" w:rsidRDefault="004343CB" w:rsidP="00F8715C">
      <w:pPr>
        <w:pStyle w:val="01-Textonormal"/>
      </w:pPr>
      <w:r>
        <w:rPr>
          <w:lang w:val="en-US"/>
        </w:rPr>
        <w:t>In 2021, after the review process carried out at the end of the previous year to cover the five-year period 2021-2025, the strategic goals that guided BB Seguridade's actions are presented below:</w:t>
      </w:r>
    </w:p>
    <w:p w14:paraId="50C3BF1B" w14:textId="356241CC" w:rsidR="00681655" w:rsidRDefault="004343CB" w:rsidP="00681655">
      <w:pPr>
        <w:pStyle w:val="01-Textonormal"/>
        <w:numPr>
          <w:ilvl w:val="0"/>
          <w:numId w:val="29"/>
        </w:numPr>
      </w:pPr>
      <w:r>
        <w:rPr>
          <w:lang w:val="en-US"/>
        </w:rPr>
        <w:lastRenderedPageBreak/>
        <w:t xml:space="preserve">to be </w:t>
      </w:r>
      <w:r w:rsidR="001C708C">
        <w:rPr>
          <w:lang w:val="en-US"/>
        </w:rPr>
        <w:t>lightweight</w:t>
      </w:r>
      <w:r>
        <w:rPr>
          <w:lang w:val="en-US"/>
        </w:rPr>
        <w:t xml:space="preserve"> and efficient, relying on a lean structure and simple processes, with high value creation;</w:t>
      </w:r>
    </w:p>
    <w:p w14:paraId="008745CE" w14:textId="77777777" w:rsidR="00681655" w:rsidRDefault="004343CB" w:rsidP="00681655">
      <w:pPr>
        <w:pStyle w:val="01-Textonormal"/>
        <w:numPr>
          <w:ilvl w:val="0"/>
          <w:numId w:val="29"/>
        </w:numPr>
      </w:pPr>
      <w:r>
        <w:rPr>
          <w:lang w:val="en-US"/>
        </w:rPr>
        <w:t>to transform customers into fans, generating an appeal towards its products, services, journeys and relationships;</w:t>
      </w:r>
    </w:p>
    <w:p w14:paraId="608D9EE4" w14:textId="74FADE12" w:rsidR="00681655" w:rsidRDefault="004343CB" w:rsidP="00681655">
      <w:pPr>
        <w:pStyle w:val="01-Textonormal"/>
        <w:numPr>
          <w:ilvl w:val="0"/>
          <w:numId w:val="29"/>
        </w:numPr>
      </w:pPr>
      <w:r>
        <w:rPr>
          <w:lang w:val="en-US"/>
        </w:rPr>
        <w:t xml:space="preserve">to </w:t>
      </w:r>
      <w:r w:rsidR="00D01A59">
        <w:rPr>
          <w:lang w:val="en-US"/>
        </w:rPr>
        <w:t xml:space="preserve">combine online and offline do sell more, </w:t>
      </w:r>
      <w:r>
        <w:rPr>
          <w:lang w:val="en-US"/>
        </w:rPr>
        <w:t>transforming BB Corretora into an efficient and independent sales machine;</w:t>
      </w:r>
    </w:p>
    <w:p w14:paraId="34156D5E" w14:textId="5540B4E5" w:rsidR="00681655" w:rsidRDefault="004343CB" w:rsidP="00681655">
      <w:pPr>
        <w:pStyle w:val="01-Textonormal"/>
        <w:numPr>
          <w:ilvl w:val="0"/>
          <w:numId w:val="29"/>
        </w:numPr>
      </w:pPr>
      <w:r>
        <w:rPr>
          <w:lang w:val="en-US"/>
        </w:rPr>
        <w:t xml:space="preserve">to connect and accelerate the digital operation, accelerating digital transformation as growth and experience </w:t>
      </w:r>
      <w:r w:rsidR="00D01A59">
        <w:rPr>
          <w:lang w:val="en-US"/>
        </w:rPr>
        <w:t>enablers</w:t>
      </w:r>
      <w:r>
        <w:rPr>
          <w:lang w:val="en-US"/>
        </w:rPr>
        <w:t xml:space="preserve">; and </w:t>
      </w:r>
    </w:p>
    <w:p w14:paraId="35117A9A" w14:textId="203FDF49" w:rsidR="00B71850" w:rsidRDefault="004343CB" w:rsidP="00591873">
      <w:pPr>
        <w:pStyle w:val="01-Textonormal"/>
        <w:numPr>
          <w:ilvl w:val="0"/>
          <w:numId w:val="29"/>
        </w:numPr>
      </w:pPr>
      <w:r>
        <w:rPr>
          <w:lang w:val="en-US"/>
        </w:rPr>
        <w:t xml:space="preserve">to experiment, without fear of getting it right, </w:t>
      </w:r>
      <w:r w:rsidR="00211FF6">
        <w:rPr>
          <w:lang w:val="en-US"/>
        </w:rPr>
        <w:t>making the future, the new and the uncertain allies of our strategy</w:t>
      </w:r>
      <w:r>
        <w:rPr>
          <w:lang w:val="en-US"/>
        </w:rPr>
        <w:t>.</w:t>
      </w:r>
    </w:p>
    <w:p w14:paraId="7A993C69" w14:textId="4A4DFEBF" w:rsidR="008E7417" w:rsidRDefault="004343CB" w:rsidP="008E7417">
      <w:pPr>
        <w:jc w:val="both"/>
      </w:pPr>
      <w:r>
        <w:rPr>
          <w:lang w:val="en-US"/>
        </w:rPr>
        <w:t xml:space="preserve">These objectives can be consolidated into three pillars that were the focus of the 2021 initiatives: technological modernization and digital transformation; channel diversification; and improvement of the experience of customers and </w:t>
      </w:r>
      <w:r w:rsidR="001C708C">
        <w:rPr>
          <w:lang w:val="en-US"/>
        </w:rPr>
        <w:t>sales force</w:t>
      </w:r>
      <w:r>
        <w:rPr>
          <w:lang w:val="en-US"/>
        </w:rPr>
        <w:t xml:space="preserve">. </w:t>
      </w:r>
    </w:p>
    <w:p w14:paraId="63AF7982" w14:textId="77777777" w:rsidR="00F5692C" w:rsidRDefault="00F5692C" w:rsidP="008E7417">
      <w:pPr>
        <w:jc w:val="both"/>
      </w:pPr>
    </w:p>
    <w:p w14:paraId="5DD569AF" w14:textId="77777777" w:rsidR="00F5692C" w:rsidRPr="00591873" w:rsidRDefault="004343CB" w:rsidP="00F5692C">
      <w:pPr>
        <w:pStyle w:val="03-SubttulodeNota"/>
        <w:rPr>
          <w:color w:val="1F4E79" w:themeColor="accent1" w:themeShade="80"/>
        </w:rPr>
      </w:pPr>
      <w:r w:rsidRPr="00591873">
        <w:rPr>
          <w:color w:val="1F4E79" w:themeColor="accent1" w:themeShade="80"/>
          <w:lang w:val="en-US"/>
        </w:rPr>
        <w:t>Technological Modernization and Digital Transformation</w:t>
      </w:r>
    </w:p>
    <w:p w14:paraId="5F444945" w14:textId="00F6C9F1" w:rsidR="00F5692C" w:rsidRDefault="004343CB" w:rsidP="00F5692C">
      <w:pPr>
        <w:pStyle w:val="01-Textonormal"/>
      </w:pPr>
      <w:r>
        <w:rPr>
          <w:lang w:val="en-US"/>
        </w:rPr>
        <w:t xml:space="preserve">BB Seguridade understands that the digital transformation process is one of the enabling pillars of the corporate strategy. The company's digital transformation model is based on the balanced application of the archetype of optimization of existing processes, with a focus on creating value, improving customer experience and expanding business generation, and on the impact transformation and innovation, which reflect on the positioning of the Company and its business model, always with customer experience, sustainable growth, efficiency gains, operating as a platform and increase in the </w:t>
      </w:r>
      <w:r w:rsidR="001C708C">
        <w:rPr>
          <w:lang w:val="en-US"/>
        </w:rPr>
        <w:t xml:space="preserve">operational </w:t>
      </w:r>
      <w:r>
        <w:rPr>
          <w:lang w:val="en-US"/>
        </w:rPr>
        <w:t>result as guiding principles of this journey.</w:t>
      </w:r>
    </w:p>
    <w:p w14:paraId="59BBCF15" w14:textId="77777777" w:rsidR="00F5692C" w:rsidRDefault="004343CB" w:rsidP="00F5692C">
      <w:pPr>
        <w:pStyle w:val="01-Textonormal"/>
      </w:pPr>
      <w:r>
        <w:rPr>
          <w:lang w:val="en-US"/>
        </w:rPr>
        <w:t>At BB Seguridade, the themes of innovation and digital transformation are part of the company's strategy and culture. All pillars of the corporate goals panel, linked to the strategic planning for the year 2021, had indicators related to digital transformation and innovation.</w:t>
      </w:r>
    </w:p>
    <w:p w14:paraId="15042B81" w14:textId="756CFDCE" w:rsidR="00F5692C" w:rsidRDefault="004343CB" w:rsidP="00F5692C">
      <w:pPr>
        <w:pStyle w:val="01-Textonormal"/>
      </w:pPr>
      <w:r>
        <w:rPr>
          <w:lang w:val="en-US"/>
        </w:rPr>
        <w:t xml:space="preserve">In 2021, the development of platform solutions and ecosystems was accelerated to consolidate the technological structure and integration of the conglomerate with new channels based on a service-oriented and cloud-based architecture, such as </w:t>
      </w:r>
      <w:r w:rsidR="00410482">
        <w:rPr>
          <w:lang w:val="en-US"/>
        </w:rPr>
        <w:t>home</w:t>
      </w:r>
      <w:r>
        <w:rPr>
          <w:lang w:val="en-US"/>
        </w:rPr>
        <w:t>, business, travel and cell phone</w:t>
      </w:r>
      <w:r w:rsidR="00410482">
        <w:rPr>
          <w:lang w:val="en-US"/>
        </w:rPr>
        <w:t xml:space="preserve"> insurances</w:t>
      </w:r>
      <w:r>
        <w:rPr>
          <w:lang w:val="en-US"/>
        </w:rPr>
        <w:t xml:space="preserve">, in addition to </w:t>
      </w:r>
      <w:r w:rsidR="00ED1B20">
        <w:rPr>
          <w:lang w:val="en-US"/>
        </w:rPr>
        <w:t>premium</w:t>
      </w:r>
      <w:r>
        <w:rPr>
          <w:lang w:val="en-US"/>
        </w:rPr>
        <w:t xml:space="preserve"> bonds. It is expected that by the end of 2022 all the main businesses of the BB Seguridade conglomerate will operate in this more flexible-type technological environment, which </w:t>
      </w:r>
      <w:r w:rsidR="00410482">
        <w:rPr>
          <w:lang w:val="en-US"/>
        </w:rPr>
        <w:t xml:space="preserve">enables </w:t>
      </w:r>
      <w:r>
        <w:rPr>
          <w:lang w:val="en-US"/>
        </w:rPr>
        <w:t>a more efficient portfolio management and less development time,</w:t>
      </w:r>
      <w:r w:rsidR="00410482">
        <w:rPr>
          <w:lang w:val="en-US"/>
        </w:rPr>
        <w:t xml:space="preserve"> </w:t>
      </w:r>
      <w:r>
        <w:rPr>
          <w:lang w:val="en-US"/>
        </w:rPr>
        <w:t xml:space="preserve">new and better experiences for the users and the distribution to new channels.  </w:t>
      </w:r>
    </w:p>
    <w:p w14:paraId="5C05A34B" w14:textId="53CFD2E9" w:rsidR="00F5692C" w:rsidRDefault="004343CB" w:rsidP="00F5692C">
      <w:pPr>
        <w:pStyle w:val="01-Textonormal"/>
      </w:pPr>
      <w:r>
        <w:rPr>
          <w:lang w:val="en-US"/>
        </w:rPr>
        <w:t xml:space="preserve">The service automation process, both in sales and after-sales, was also in focus in 2021, with the launch of the insurance center on Banco do Brasil's App and the new BB Seguros internet website (https://www4.bbseguros.com.br/), where a better user experience and new functionalities were implemented, such as consultation of policies and activation of assistance and services. Sales made through digital channels grew </w:t>
      </w:r>
      <w:r w:rsidR="0042183D">
        <w:rPr>
          <w:lang w:val="en-US"/>
        </w:rPr>
        <w:t>24</w:t>
      </w:r>
      <w:r>
        <w:rPr>
          <w:lang w:val="en-US"/>
        </w:rPr>
        <w:t>% compared to 2020 in terms of quantity, exceeding R$</w:t>
      </w:r>
      <w:r w:rsidR="0042183D">
        <w:rPr>
          <w:lang w:val="en-US"/>
        </w:rPr>
        <w:t>1.5</w:t>
      </w:r>
      <w:r>
        <w:rPr>
          <w:lang w:val="en-US"/>
        </w:rPr>
        <w:t xml:space="preserve"> billion in revenue. In the after-sales, more than 50% of assistance and claims were activated via digital channels and 800,000 calls were made via Bot on WhatsApp. We surpassed the mark of more than 5 million digital customers (65% of our base).</w:t>
      </w:r>
    </w:p>
    <w:p w14:paraId="5F564D42" w14:textId="7A4571A1" w:rsidR="00F5692C" w:rsidRDefault="004343CB" w:rsidP="00F5692C">
      <w:pPr>
        <w:pStyle w:val="01-Textonormal"/>
      </w:pPr>
      <w:r>
        <w:rPr>
          <w:lang w:val="en-US"/>
        </w:rPr>
        <w:t xml:space="preserve">More than 2 new features were delivered per month on Banco do Brasil's digital channels in an effort to implement digital journeys for all products in the BB Seguridade's portfolio at the Company's main </w:t>
      </w:r>
      <w:r w:rsidR="0042183D">
        <w:rPr>
          <w:lang w:val="en-US"/>
        </w:rPr>
        <w:t>distribution channel</w:t>
      </w:r>
      <w:r>
        <w:rPr>
          <w:lang w:val="en-US"/>
        </w:rPr>
        <w:t xml:space="preserve">, ensuring a good user experience to make it a business differentiator. </w:t>
      </w:r>
    </w:p>
    <w:p w14:paraId="0CDED517" w14:textId="7F873C6F" w:rsidR="00F5692C" w:rsidRDefault="004343CB" w:rsidP="00F5692C">
      <w:pPr>
        <w:pStyle w:val="01-Textonormal"/>
      </w:pPr>
      <w:r>
        <w:rPr>
          <w:lang w:val="en-US"/>
        </w:rPr>
        <w:t xml:space="preserve">The Beta Testers program for </w:t>
      </w:r>
      <w:r w:rsidR="0042183D">
        <w:rPr>
          <w:lang w:val="en-US"/>
        </w:rPr>
        <w:t>insurance</w:t>
      </w:r>
      <w:r>
        <w:rPr>
          <w:lang w:val="en-US"/>
        </w:rPr>
        <w:t xml:space="preserve"> products surpassed the mark of 4</w:t>
      </w:r>
      <w:r w:rsidR="0042183D">
        <w:rPr>
          <w:lang w:val="en-US"/>
        </w:rPr>
        <w:t>,000</w:t>
      </w:r>
      <w:r>
        <w:rPr>
          <w:lang w:val="en-US"/>
        </w:rPr>
        <w:t xml:space="preserve"> active customers who, with over 3</w:t>
      </w:r>
      <w:r w:rsidR="0042183D">
        <w:rPr>
          <w:lang w:val="en-US"/>
        </w:rPr>
        <w:t>,000</w:t>
      </w:r>
      <w:r>
        <w:rPr>
          <w:lang w:val="en-US"/>
        </w:rPr>
        <w:t xml:space="preserve"> assessments, contributed to the construction of 14 product journeys and test of 12 design hypotheses, saving over a thousand hours of field research. </w:t>
      </w:r>
    </w:p>
    <w:p w14:paraId="5BA18D59" w14:textId="1BA72B8F" w:rsidR="00F5692C" w:rsidRDefault="004343CB" w:rsidP="00F5692C">
      <w:pPr>
        <w:pStyle w:val="01-Textonormal"/>
      </w:pPr>
      <w:r>
        <w:rPr>
          <w:lang w:val="en-US"/>
        </w:rPr>
        <w:t>The data strategy is based on the pillars of engineering, science and data governance, in addition to the acculturation of the conglomerate on the subject. The main objective is to make data the main driver of business in the company. In 2021, 72 initiatives were launched aimed at creating value using data intelligence tools and models, highlighting the revenue growth models that, in the year, generated an additional revenue of around R$</w:t>
      </w:r>
      <w:r w:rsidR="00B0083B">
        <w:rPr>
          <w:lang w:val="en-US"/>
        </w:rPr>
        <w:t>149</w:t>
      </w:r>
      <w:r>
        <w:rPr>
          <w:lang w:val="en-US"/>
        </w:rPr>
        <w:t xml:space="preserve"> million and the reallocation of more than R$</w:t>
      </w:r>
      <w:r w:rsidR="00B0083B">
        <w:rPr>
          <w:lang w:val="en-US"/>
        </w:rPr>
        <w:t>79</w:t>
      </w:r>
      <w:r>
        <w:rPr>
          <w:lang w:val="en-US"/>
        </w:rPr>
        <w:t xml:space="preserve"> billion of customer funds in pension plan investment funds. </w:t>
      </w:r>
    </w:p>
    <w:p w14:paraId="5FB87FCC" w14:textId="0BAD2C54" w:rsidR="0070509B" w:rsidRDefault="004343CB" w:rsidP="00F5692C">
      <w:pPr>
        <w:pStyle w:val="01-Textonormal"/>
      </w:pPr>
      <w:r>
        <w:rPr>
          <w:lang w:val="en-US"/>
        </w:rPr>
        <w:t>In 2021, approximately R$</w:t>
      </w:r>
      <w:r w:rsidR="00B0083B">
        <w:rPr>
          <w:lang w:val="en-US"/>
        </w:rPr>
        <w:t>333</w:t>
      </w:r>
      <w:r>
        <w:rPr>
          <w:lang w:val="en-US"/>
        </w:rPr>
        <w:t xml:space="preserve"> million was spent on initiatives aimed at carrying out the technological modernization and digital transformation of </w:t>
      </w:r>
      <w:r w:rsidR="00B0083B">
        <w:rPr>
          <w:lang w:val="en-US"/>
        </w:rPr>
        <w:t>BB Seguridade</w:t>
      </w:r>
      <w:r>
        <w:rPr>
          <w:lang w:val="en-US"/>
        </w:rPr>
        <w:t>, considering a consolidated view of the holding and its invested companies, and this volume is expected to be expanded in order to accelerate th</w:t>
      </w:r>
      <w:r w:rsidR="00B0083B">
        <w:rPr>
          <w:lang w:val="en-US"/>
        </w:rPr>
        <w:t>is</w:t>
      </w:r>
      <w:r>
        <w:rPr>
          <w:lang w:val="en-US"/>
        </w:rPr>
        <w:t xml:space="preserve"> agenda.</w:t>
      </w:r>
    </w:p>
    <w:p w14:paraId="440BA79A" w14:textId="77777777" w:rsidR="00F5692C" w:rsidRDefault="00F5692C">
      <w:pPr>
        <w:pStyle w:val="01-Textonormal"/>
      </w:pPr>
    </w:p>
    <w:p w14:paraId="0E298768" w14:textId="77777777" w:rsidR="00662995" w:rsidRPr="00591873" w:rsidRDefault="004343CB" w:rsidP="00591873">
      <w:pPr>
        <w:pStyle w:val="03-SubttulodeNota"/>
        <w:rPr>
          <w:color w:val="1F4E79" w:themeColor="accent1" w:themeShade="80"/>
        </w:rPr>
      </w:pPr>
      <w:r w:rsidRPr="00591873">
        <w:rPr>
          <w:color w:val="1F4E79" w:themeColor="accent1" w:themeShade="80"/>
          <w:lang w:val="en-US"/>
        </w:rPr>
        <w:t>Channel Diversification</w:t>
      </w:r>
    </w:p>
    <w:p w14:paraId="6A3C46B1" w14:textId="49191467" w:rsidR="008142B1" w:rsidRDefault="004343CB">
      <w:pPr>
        <w:pStyle w:val="01-Textonormal"/>
      </w:pPr>
      <w:r>
        <w:rPr>
          <w:lang w:val="en-US"/>
        </w:rPr>
        <w:t xml:space="preserve">The Brazilian insurance market is concentrated with companies that have some type of corporate or commercial relationship with large traditional banks, which gives them access to their physical and digital channels, in a model known as </w:t>
      </w:r>
      <w:r w:rsidRPr="00591873">
        <w:rPr>
          <w:i/>
          <w:iCs/>
          <w:lang w:val="en-US"/>
        </w:rPr>
        <w:t>bancassurance</w:t>
      </w:r>
      <w:r w:rsidR="008A220A">
        <w:rPr>
          <w:i/>
          <w:iCs/>
          <w:lang w:val="en-US"/>
        </w:rPr>
        <w:t xml:space="preserve">. </w:t>
      </w:r>
      <w:r>
        <w:rPr>
          <w:lang w:val="en-US"/>
        </w:rPr>
        <w:t>This factor is linked to the lack of protection</w:t>
      </w:r>
      <w:r w:rsidR="008A220A">
        <w:rPr>
          <w:lang w:val="en-US"/>
        </w:rPr>
        <w:t xml:space="preserve"> culture</w:t>
      </w:r>
      <w:r>
        <w:rPr>
          <w:lang w:val="en-US"/>
        </w:rPr>
        <w:t xml:space="preserve"> of Brazilian</w:t>
      </w:r>
      <w:r w:rsidR="008A220A">
        <w:rPr>
          <w:lang w:val="en-US"/>
        </w:rPr>
        <w:t>s</w:t>
      </w:r>
      <w:r>
        <w:rPr>
          <w:lang w:val="en-US"/>
        </w:rPr>
        <w:t xml:space="preserve">, </w:t>
      </w:r>
      <w:r w:rsidR="008A220A">
        <w:rPr>
          <w:lang w:val="en-US"/>
        </w:rPr>
        <w:t>demanding</w:t>
      </w:r>
      <w:r>
        <w:rPr>
          <w:lang w:val="en-US"/>
        </w:rPr>
        <w:t xml:space="preserve"> a distribution network with a broad and qualified sales force to </w:t>
      </w:r>
      <w:r w:rsidR="008A220A">
        <w:rPr>
          <w:lang w:val="en-US"/>
        </w:rPr>
        <w:t xml:space="preserve">push </w:t>
      </w:r>
      <w:r>
        <w:rPr>
          <w:lang w:val="en-US"/>
        </w:rPr>
        <w:t xml:space="preserve">products to customers. </w:t>
      </w:r>
    </w:p>
    <w:p w14:paraId="2570F10F" w14:textId="77777777" w:rsidR="008142B1" w:rsidRDefault="004343CB">
      <w:pPr>
        <w:pStyle w:val="01-Textonormal"/>
      </w:pPr>
      <w:r>
        <w:rPr>
          <w:lang w:val="en-US"/>
        </w:rPr>
        <w:lastRenderedPageBreak/>
        <w:t xml:space="preserve">In this context, the great strength of BB Seguridade's business model is being able to rely on Banco do Brasil's distribution network, responsible for most of the conglomerate's insurance products sales. </w:t>
      </w:r>
    </w:p>
    <w:p w14:paraId="78DC907B" w14:textId="27D30A26" w:rsidR="008142B1" w:rsidRDefault="004343CB">
      <w:pPr>
        <w:pStyle w:val="01-Textonormal"/>
      </w:pPr>
      <w:r>
        <w:rPr>
          <w:lang w:val="en-US"/>
        </w:rPr>
        <w:t>Relying on this important safe ha</w:t>
      </w:r>
      <w:r w:rsidR="008A220A">
        <w:rPr>
          <w:lang w:val="en-US"/>
        </w:rPr>
        <w:t>rbor</w:t>
      </w:r>
      <w:r>
        <w:rPr>
          <w:lang w:val="en-US"/>
        </w:rPr>
        <w:t xml:space="preserve">, which ensures high revenue volumes and margins for the invested companies, but also </w:t>
      </w:r>
      <w:r w:rsidR="008A220A">
        <w:rPr>
          <w:lang w:val="en-US"/>
        </w:rPr>
        <w:t>anticipating the s</w:t>
      </w:r>
      <w:r>
        <w:rPr>
          <w:lang w:val="en-US"/>
        </w:rPr>
        <w:t xml:space="preserve">igns of possible changes that may occur in the industry in the medium and long term, BB Seguridade has, as one of the pillars of its strategy, the prospection and development of new models and channels </w:t>
      </w:r>
      <w:r w:rsidR="008A220A">
        <w:rPr>
          <w:lang w:val="en-US"/>
        </w:rPr>
        <w:t xml:space="preserve">to sell </w:t>
      </w:r>
      <w:r>
        <w:rPr>
          <w:lang w:val="en-US"/>
        </w:rPr>
        <w:t xml:space="preserve">its products, in a collective effort between BB Corretora and all the other companies of the group. </w:t>
      </w:r>
    </w:p>
    <w:p w14:paraId="409FBC30" w14:textId="0C88A1F7" w:rsidR="00936758" w:rsidRDefault="004343CB">
      <w:pPr>
        <w:pStyle w:val="01-Textonormal"/>
      </w:pPr>
      <w:r>
        <w:rPr>
          <w:lang w:val="en-US"/>
        </w:rPr>
        <w:t>In 2021, the most structuring move was the creation, at the end of the year, of an area dedicated to identifying and developing new sources of income and channels, which, despite being recent, has already begun to deliver results that increase the revenue potential in non-Banco do Brasil channels for 2022.</w:t>
      </w:r>
    </w:p>
    <w:p w14:paraId="4B0360DE" w14:textId="2D0B0DAB" w:rsidR="009328E7" w:rsidRDefault="004343CB">
      <w:pPr>
        <w:pStyle w:val="01-Textonormal"/>
      </w:pPr>
      <w:r>
        <w:rPr>
          <w:lang w:val="en-US"/>
        </w:rPr>
        <w:t xml:space="preserve">During the year, more than 200 bank correspondents were accredited to offer specialized rural insurance. </w:t>
      </w:r>
      <w:r w:rsidR="008A220A">
        <w:rPr>
          <w:lang w:val="en-US"/>
        </w:rPr>
        <w:t>Additionally, focusing on the</w:t>
      </w:r>
      <w:r>
        <w:rPr>
          <w:lang w:val="en-US"/>
        </w:rPr>
        <w:t xml:space="preserve"> agribusiness, one of the Company's main segments, </w:t>
      </w:r>
      <w:r w:rsidR="000B1F5B">
        <w:rPr>
          <w:lang w:val="en-US"/>
        </w:rPr>
        <w:t xml:space="preserve">BB Corretora </w:t>
      </w:r>
      <w:r>
        <w:rPr>
          <w:lang w:val="en-US"/>
        </w:rPr>
        <w:t>has entered into</w:t>
      </w:r>
      <w:r w:rsidR="000B1F5B">
        <w:rPr>
          <w:lang w:val="en-US"/>
        </w:rPr>
        <w:t xml:space="preserve"> a partnership</w:t>
      </w:r>
      <w:r>
        <w:rPr>
          <w:lang w:val="en-US"/>
        </w:rPr>
        <w:t xml:space="preserve"> with Agrogalaxy, one of the largest retail platforms for agricultural inputs and services aimed at the agribusiness, to offer rural, property and life insurance to producers.</w:t>
      </w:r>
    </w:p>
    <w:p w14:paraId="5BA7FFE9" w14:textId="217ACAAB" w:rsidR="00804A6C" w:rsidRDefault="004343CB">
      <w:pPr>
        <w:pStyle w:val="01-Textonormal"/>
      </w:pPr>
      <w:r>
        <w:rPr>
          <w:lang w:val="en-US"/>
        </w:rPr>
        <w:t xml:space="preserve">Also at the end of 2021, an agreement was </w:t>
      </w:r>
      <w:r w:rsidR="000B1F5B">
        <w:rPr>
          <w:lang w:val="en-US"/>
        </w:rPr>
        <w:t xml:space="preserve">signed </w:t>
      </w:r>
      <w:r>
        <w:rPr>
          <w:lang w:val="en-US"/>
        </w:rPr>
        <w:t>with Rede Promotiva to promote the dissemination, customer acquisition, distribution, offer and marketing of insurance products, starting with the loan protection insurance.</w:t>
      </w:r>
    </w:p>
    <w:p w14:paraId="571170A0" w14:textId="5CB18E95" w:rsidR="0056534D" w:rsidRDefault="004343CB">
      <w:pPr>
        <w:pStyle w:val="01-Textonormal"/>
      </w:pPr>
      <w:r>
        <w:rPr>
          <w:lang w:val="en-US"/>
        </w:rPr>
        <w:t xml:space="preserve">Efforts will be intensified in 2022 and the Company expects to end the year with more than </w:t>
      </w:r>
      <w:r w:rsidR="000B1F5B">
        <w:rPr>
          <w:lang w:val="en-US"/>
        </w:rPr>
        <w:t>1</w:t>
      </w:r>
      <w:r>
        <w:rPr>
          <w:lang w:val="en-US"/>
        </w:rPr>
        <w:t>0 initiatives in operation.</w:t>
      </w:r>
    </w:p>
    <w:p w14:paraId="531A81F1" w14:textId="77777777" w:rsidR="009F7DA2" w:rsidRDefault="009F7DA2">
      <w:pPr>
        <w:pStyle w:val="01-Textonormal"/>
      </w:pPr>
    </w:p>
    <w:p w14:paraId="3AF7CFE5" w14:textId="77777777" w:rsidR="00662995" w:rsidRPr="00591873" w:rsidRDefault="004343CB" w:rsidP="00591873">
      <w:pPr>
        <w:pStyle w:val="03-SubttulodeNota"/>
        <w:rPr>
          <w:color w:val="1F4E79" w:themeColor="accent1" w:themeShade="80"/>
        </w:rPr>
      </w:pPr>
      <w:r w:rsidRPr="00591873">
        <w:rPr>
          <w:color w:val="1F4E79" w:themeColor="accent1" w:themeShade="80"/>
          <w:lang w:val="en-US"/>
        </w:rPr>
        <w:t xml:space="preserve">Improved Customer and Sales Experience </w:t>
      </w:r>
    </w:p>
    <w:p w14:paraId="4FEF59C2" w14:textId="64187C6A" w:rsidR="004D41EE" w:rsidRDefault="004343CB" w:rsidP="003C4E13">
      <w:pPr>
        <w:pStyle w:val="01-Textonormal"/>
      </w:pPr>
      <w:r>
        <w:rPr>
          <w:lang w:val="en-US"/>
        </w:rPr>
        <w:t xml:space="preserve">One of BB Seguridade's strategic goals is to transform customers into fans, generating an appeal towards its products, services, journeys and relationships. For this, it constantly seeks to build a relationship </w:t>
      </w:r>
      <w:r w:rsidR="00E631AA">
        <w:rPr>
          <w:lang w:val="en-US"/>
        </w:rPr>
        <w:t xml:space="preserve">based on </w:t>
      </w:r>
      <w:r>
        <w:rPr>
          <w:lang w:val="en-US"/>
        </w:rPr>
        <w:t xml:space="preserve">dialogue, transparency and complicity, making efforts together with its invested companies so that the client feels </w:t>
      </w:r>
      <w:r w:rsidR="00E631AA">
        <w:rPr>
          <w:lang w:val="en-US"/>
        </w:rPr>
        <w:t xml:space="preserve">assisted </w:t>
      </w:r>
      <w:r>
        <w:rPr>
          <w:lang w:val="en-US"/>
        </w:rPr>
        <w:t xml:space="preserve">in all moments of their lives. </w:t>
      </w:r>
    </w:p>
    <w:p w14:paraId="2C5351F4" w14:textId="5BBE1EED" w:rsidR="003C4E13" w:rsidRDefault="004343CB" w:rsidP="003C4E13">
      <w:pPr>
        <w:pStyle w:val="01-Textonormal"/>
      </w:pPr>
      <w:r>
        <w:rPr>
          <w:lang w:val="en-US"/>
        </w:rPr>
        <w:t xml:space="preserve">In this sense, the Company has been intensifying the use of digital channels and assistance from specialists to keep a frequent contact that includes everything from information and guidance on products and services purchased to tips and diversified content. The after-sales strategy has been extended to all products using digital channels, with the delivery of information and guidance on products and services, in addition to tips and diversified content that help people making better use of the various solutions acquired. In total, around 2,000 after-sales actions were carried out via digital channels, generating more than </w:t>
      </w:r>
      <w:r w:rsidR="00E631AA">
        <w:rPr>
          <w:lang w:val="en-US"/>
        </w:rPr>
        <w:t>33</w:t>
      </w:r>
      <w:r>
        <w:rPr>
          <w:lang w:val="en-US"/>
        </w:rPr>
        <w:t xml:space="preserve"> million effective contacts that reached 4 million customers throughout the year. </w:t>
      </w:r>
    </w:p>
    <w:p w14:paraId="137BB564" w14:textId="77777777" w:rsidR="003C4E13" w:rsidRDefault="004343CB" w:rsidP="003C4E13">
      <w:pPr>
        <w:pStyle w:val="01-Textonormal"/>
      </w:pPr>
      <w:r>
        <w:rPr>
          <w:lang w:val="en-US"/>
        </w:rPr>
        <w:t>Still respecting social distancing, we continued to hold customer councils to obtain this public's perception of our products, services and journeys. In total, 5 councils were held during the year, with the collection of 63 new insights and the implementation of 13 improvements to enhance our customers' experience. The implementation of tools for monitoring claims in digital channels for Life and Pension Insurance customers materializes an improvement implemented based on the customer's voice.</w:t>
      </w:r>
    </w:p>
    <w:p w14:paraId="0BEA7634" w14:textId="77777777" w:rsidR="000A04FE" w:rsidRDefault="004343CB" w:rsidP="003C4E13">
      <w:pPr>
        <w:pStyle w:val="01-Textonormal"/>
      </w:pPr>
      <w:r>
        <w:rPr>
          <w:lang w:val="en-US"/>
        </w:rPr>
        <w:t>The holding of monthly forums involving all intervening parties who can contribute to improving the experience with our solutions was also maintained. Direct transfer to specialists at the call centers of each invested company also contributed to the increase in finding solutions and in the quality of information provided to customers.</w:t>
      </w:r>
    </w:p>
    <w:p w14:paraId="3CC55732" w14:textId="77777777" w:rsidR="00365F37" w:rsidRDefault="004343CB" w:rsidP="003C4E13">
      <w:pPr>
        <w:pStyle w:val="01-Textonormal"/>
      </w:pPr>
      <w:r>
        <w:rPr>
          <w:lang w:val="en-US"/>
        </w:rPr>
        <w:t xml:space="preserve">Not only the customer has a voice at BB Seguridade. The Company's efforts are also focused on improving the journey of its main sales force, the employees of Banco do Brasil's distribution network, seeking to maintain the relevance of the offer of insurance products in the day-to-day relationship with the bank's customers. </w:t>
      </w:r>
    </w:p>
    <w:p w14:paraId="79AEFCBE" w14:textId="77777777" w:rsidR="00365F37" w:rsidRDefault="004343CB" w:rsidP="003C4E13">
      <w:pPr>
        <w:pStyle w:val="01-Textonormal"/>
      </w:pPr>
      <w:r>
        <w:rPr>
          <w:lang w:val="en-US"/>
        </w:rPr>
        <w:t xml:space="preserve">In 2021, the “Brand Ambassadors” was launched, with the expansion of benefits to Banco do Brasil employees in the purchase of BB Seguridade's products, seeking to increase the engagement of the sales force. </w:t>
      </w:r>
    </w:p>
    <w:p w14:paraId="4922EE39" w14:textId="3E262C8A" w:rsidR="00662995" w:rsidRDefault="004343CB" w:rsidP="003C4E13">
      <w:pPr>
        <w:pStyle w:val="01-Textonormal"/>
      </w:pPr>
      <w:r>
        <w:rPr>
          <w:lang w:val="en-US"/>
        </w:rPr>
        <w:t>Additionally, the support to Banco do Brasil's network for problem solving was improved, as evidenced by the 33% reduction in the average service time and</w:t>
      </w:r>
      <w:r w:rsidR="001A35CF">
        <w:rPr>
          <w:lang w:val="en-US"/>
        </w:rPr>
        <w:t xml:space="preserve"> 25.7%</w:t>
      </w:r>
      <w:r>
        <w:rPr>
          <w:lang w:val="en-US"/>
        </w:rPr>
        <w:t xml:space="preserve"> increase in satisfaction.</w:t>
      </w:r>
    </w:p>
    <w:p w14:paraId="5C19DB72" w14:textId="77777777" w:rsidR="00F8715C" w:rsidRPr="00F8715C" w:rsidRDefault="00F8715C" w:rsidP="00771F0E">
      <w:pPr>
        <w:pStyle w:val="01-Textonormal"/>
      </w:pPr>
    </w:p>
    <w:p w14:paraId="67047CFA"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t xml:space="preserve">COMMERCIAL, MARKETING AND PRODUCTS </w:t>
      </w:r>
    </w:p>
    <w:p w14:paraId="323B777C" w14:textId="77777777" w:rsidR="00C81A16" w:rsidRDefault="004343CB" w:rsidP="00C81A16">
      <w:pPr>
        <w:jc w:val="both"/>
        <w:rPr>
          <w:rFonts w:eastAsia="Times New Roman" w:cs="Times New Roman"/>
          <w:szCs w:val="18"/>
          <w:lang w:eastAsia="pt-BR"/>
        </w:rPr>
      </w:pPr>
      <w:r>
        <w:rPr>
          <w:rFonts w:eastAsia="Times New Roman" w:cs="Times New Roman"/>
          <w:szCs w:val="18"/>
          <w:lang w:val="en-US" w:eastAsia="pt-BR"/>
        </w:rPr>
        <w:t>In order to keep its relevance with customers and sellers, BB Seguridade made efforts in 2021 to revitalize its product portfolio, with the expansion of digital solutions and improvements in journeys, seeking to offer the best solutions for the protection of assets, achievements and projects.</w:t>
      </w:r>
    </w:p>
    <w:p w14:paraId="2E63A2C5" w14:textId="0115D9D8" w:rsidR="00AC2BB9" w:rsidRDefault="004343CB" w:rsidP="00C81A16">
      <w:pPr>
        <w:jc w:val="both"/>
        <w:rPr>
          <w:rFonts w:eastAsia="Times New Roman" w:cs="Times New Roman"/>
          <w:szCs w:val="18"/>
          <w:lang w:eastAsia="pt-BR"/>
        </w:rPr>
      </w:pPr>
      <w:r>
        <w:rPr>
          <w:rFonts w:eastAsia="Times New Roman" w:cs="Times New Roman"/>
          <w:szCs w:val="18"/>
          <w:lang w:val="en-US" w:eastAsia="pt-BR"/>
        </w:rPr>
        <w:t>In the first quarter, a new residential insurance was implemented, with a simplified model for offering plans and with new assistance packages and premium benefits, increasing the average ticket of the product by 221%, improving the NPS and contributing to an increase in sales in digital channels. It is noteworthy that this product has already been implemented in the new service-oriented technology architecture, which, among other benefits, makes sale</w:t>
      </w:r>
      <w:r w:rsidR="001A35CF">
        <w:rPr>
          <w:rFonts w:eastAsia="Times New Roman" w:cs="Times New Roman"/>
          <w:szCs w:val="18"/>
          <w:lang w:val="en-US" w:eastAsia="pt-BR"/>
        </w:rPr>
        <w:t>s</w:t>
      </w:r>
      <w:r>
        <w:rPr>
          <w:rFonts w:eastAsia="Times New Roman" w:cs="Times New Roman"/>
          <w:szCs w:val="18"/>
          <w:lang w:val="en-US" w:eastAsia="pt-BR"/>
        </w:rPr>
        <w:t xml:space="preserve"> through other distribution channels more agile to implement.</w:t>
      </w:r>
    </w:p>
    <w:p w14:paraId="3F68276C" w14:textId="42E60892" w:rsidR="00B2571B" w:rsidRDefault="004343CB" w:rsidP="00C81A16">
      <w:pPr>
        <w:jc w:val="both"/>
        <w:rPr>
          <w:rFonts w:eastAsia="Times New Roman" w:cs="Times New Roman"/>
          <w:szCs w:val="18"/>
          <w:lang w:eastAsia="pt-BR"/>
        </w:rPr>
      </w:pPr>
      <w:r>
        <w:rPr>
          <w:rFonts w:eastAsia="Times New Roman" w:cs="Times New Roman"/>
          <w:szCs w:val="18"/>
          <w:lang w:val="en-US" w:eastAsia="pt-BR"/>
        </w:rPr>
        <w:lastRenderedPageBreak/>
        <w:t xml:space="preserve">In the </w:t>
      </w:r>
      <w:r w:rsidR="001A35CF">
        <w:rPr>
          <w:rFonts w:eastAsia="Times New Roman" w:cs="Times New Roman"/>
          <w:szCs w:val="18"/>
          <w:lang w:val="en-US" w:eastAsia="pt-BR"/>
        </w:rPr>
        <w:t>life</w:t>
      </w:r>
      <w:r>
        <w:rPr>
          <w:rFonts w:eastAsia="Times New Roman" w:cs="Times New Roman"/>
          <w:szCs w:val="18"/>
          <w:lang w:val="en-US" w:eastAsia="pt-BR"/>
        </w:rPr>
        <w:t xml:space="preserve"> segment, the sale of the new credit life insurance on the BB app was put into production in May, aimed at simply and effectively bringing a better self-service experience to the customer. As a result, there were about 242,000 hirings up to December</w:t>
      </w:r>
      <w:r w:rsidR="009E5E2F">
        <w:rPr>
          <w:rFonts w:eastAsia="Times New Roman" w:cs="Times New Roman"/>
          <w:szCs w:val="18"/>
          <w:lang w:val="en-US" w:eastAsia="pt-BR"/>
        </w:rPr>
        <w:t xml:space="preserve"> in through digital channels</w:t>
      </w:r>
      <w:r>
        <w:rPr>
          <w:rFonts w:eastAsia="Times New Roman" w:cs="Times New Roman"/>
          <w:szCs w:val="18"/>
          <w:lang w:val="en-US" w:eastAsia="pt-BR"/>
        </w:rPr>
        <w:t>. Then, in July, the new personalized group life insurance was launched, with significant improvements in the salesperson's journey to make the quotation and contracting processes simpler and, in October, the pilot life insurance for micro and small companies was launched, allowing greater customization of the offer to meet the particularities of this audience.</w:t>
      </w:r>
    </w:p>
    <w:p w14:paraId="19BD3B7E" w14:textId="77777777" w:rsidR="00346CEF" w:rsidRDefault="004343CB" w:rsidP="00C81A16">
      <w:pPr>
        <w:jc w:val="both"/>
        <w:rPr>
          <w:rFonts w:eastAsia="Times New Roman" w:cs="Times New Roman"/>
          <w:szCs w:val="18"/>
          <w:lang w:eastAsia="pt-BR"/>
        </w:rPr>
      </w:pPr>
      <w:r>
        <w:rPr>
          <w:rFonts w:eastAsia="Times New Roman" w:cs="Times New Roman"/>
          <w:szCs w:val="18"/>
          <w:lang w:val="en-US" w:eastAsia="pt-BR"/>
        </w:rPr>
        <w:t>In pension plans, the year began with a revitalized portfolio, with the simplification of the offer in all channels, the inclusion of alternatives for higher added value funds and the creation of new investment theses to improve the allocation of customer resources under Brasilprev's management. In June and November, the Brasilprev Multigestores product was reinforced, with the inclusion of three new managers, ending the year with 13 strategies from external managers and new houses under assessment.</w:t>
      </w:r>
    </w:p>
    <w:p w14:paraId="0BA021C6" w14:textId="77777777" w:rsidR="00212FCB" w:rsidRDefault="004343CB" w:rsidP="00C81A16">
      <w:pPr>
        <w:jc w:val="both"/>
        <w:rPr>
          <w:rFonts w:eastAsia="Times New Roman" w:cs="Times New Roman"/>
          <w:szCs w:val="18"/>
          <w:lang w:eastAsia="pt-BR"/>
        </w:rPr>
      </w:pPr>
      <w:r>
        <w:rPr>
          <w:rFonts w:eastAsia="Times New Roman" w:cs="Times New Roman"/>
          <w:szCs w:val="18"/>
          <w:lang w:val="en-US" w:eastAsia="pt-BR"/>
        </w:rPr>
        <w:t>Also in pension plans, we highlight the launch, in October, of Brasilprev Flex, a product that combines accumulation and (life) protection components to meet a latent demand from customers and the BB network.</w:t>
      </w:r>
    </w:p>
    <w:p w14:paraId="193C69F8" w14:textId="572C3C08" w:rsidR="00212FCB" w:rsidRDefault="004343CB" w:rsidP="00C81A16">
      <w:pPr>
        <w:jc w:val="both"/>
        <w:rPr>
          <w:rFonts w:eastAsia="Times New Roman" w:cs="Times New Roman"/>
          <w:szCs w:val="18"/>
          <w:lang w:eastAsia="pt-BR"/>
        </w:rPr>
      </w:pPr>
      <w:r>
        <w:rPr>
          <w:rFonts w:eastAsia="Times New Roman" w:cs="Times New Roman"/>
          <w:szCs w:val="18"/>
          <w:lang w:val="en-US" w:eastAsia="pt-BR"/>
        </w:rPr>
        <w:t xml:space="preserve">In the rural insurance, in April, there was a national expansion of revenue from the livestock insurance, complementing the insurance portfolio aimed at protecting the productivity and revenue of the agricultural sector. In May, the contracting of the </w:t>
      </w:r>
      <w:r w:rsidR="008043E1">
        <w:rPr>
          <w:rFonts w:eastAsia="Times New Roman" w:cs="Times New Roman"/>
          <w:szCs w:val="18"/>
          <w:lang w:val="en-US" w:eastAsia="pt-BR"/>
        </w:rPr>
        <w:t xml:space="preserve">Credit Life for Farmers </w:t>
      </w:r>
      <w:r>
        <w:rPr>
          <w:rFonts w:eastAsia="Times New Roman" w:cs="Times New Roman"/>
          <w:szCs w:val="18"/>
          <w:lang w:val="en-US" w:eastAsia="pt-BR"/>
        </w:rPr>
        <w:t>was released for contracting in credit operations in stock, ensuring the possibility for customers to acquire protection at any time. In the agricultural insurance, contracts for the 2021/2022 Harvest included a 30% increase in the insured amount and an expansion of insurable crops in the product intended for the public of the National Program for Strengthening Family Farming (Pronaf).</w:t>
      </w:r>
    </w:p>
    <w:p w14:paraId="3DBA1C0C" w14:textId="3FDE4A43" w:rsidR="004959B9" w:rsidRPr="004959B9" w:rsidRDefault="004343CB" w:rsidP="004959B9">
      <w:pPr>
        <w:jc w:val="both"/>
        <w:rPr>
          <w:rFonts w:eastAsia="Times New Roman" w:cs="Times New Roman"/>
          <w:szCs w:val="18"/>
          <w:lang w:eastAsia="pt-BR"/>
        </w:rPr>
      </w:pPr>
      <w:r>
        <w:rPr>
          <w:rFonts w:eastAsia="Times New Roman" w:cs="Times New Roman"/>
          <w:szCs w:val="18"/>
          <w:lang w:val="en-US" w:eastAsia="pt-BR"/>
        </w:rPr>
        <w:t xml:space="preserve">In the commercial </w:t>
      </w:r>
      <w:r w:rsidR="008043E1">
        <w:rPr>
          <w:rFonts w:eastAsia="Times New Roman" w:cs="Times New Roman"/>
          <w:szCs w:val="18"/>
          <w:lang w:val="en-US" w:eastAsia="pt-BR"/>
        </w:rPr>
        <w:t>field</w:t>
      </w:r>
      <w:r>
        <w:rPr>
          <w:rFonts w:eastAsia="Times New Roman" w:cs="Times New Roman"/>
          <w:szCs w:val="18"/>
          <w:lang w:val="en-US" w:eastAsia="pt-BR"/>
        </w:rPr>
        <w:t xml:space="preserve">, the strategy of stimulating BB's sales force was maintained through awards linked directly to the sale of insurance, pension plans, </w:t>
      </w:r>
      <w:r w:rsidR="00ED1B20">
        <w:rPr>
          <w:rFonts w:eastAsia="Times New Roman" w:cs="Times New Roman"/>
          <w:szCs w:val="18"/>
          <w:lang w:val="en-US" w:eastAsia="pt-BR"/>
        </w:rPr>
        <w:t>premium bonds</w:t>
      </w:r>
      <w:r>
        <w:rPr>
          <w:rFonts w:eastAsia="Times New Roman" w:cs="Times New Roman"/>
          <w:szCs w:val="18"/>
          <w:lang w:val="en-US" w:eastAsia="pt-BR"/>
        </w:rPr>
        <w:t xml:space="preserve"> and dental plans, with immediate, monthly and half-yearly incentives, the Seg+ program.</w:t>
      </w:r>
    </w:p>
    <w:p w14:paraId="27D2C0BE" w14:textId="510D5CE2" w:rsidR="004959B9" w:rsidRPr="004959B9" w:rsidRDefault="004343CB" w:rsidP="004959B9">
      <w:pPr>
        <w:jc w:val="both"/>
        <w:rPr>
          <w:rFonts w:eastAsia="Times New Roman" w:cs="Times New Roman"/>
          <w:szCs w:val="18"/>
          <w:lang w:eastAsia="pt-BR"/>
        </w:rPr>
      </w:pPr>
      <w:r>
        <w:rPr>
          <w:rFonts w:eastAsia="Times New Roman" w:cs="Times New Roman"/>
          <w:szCs w:val="18"/>
          <w:lang w:val="en-US" w:eastAsia="pt-BR"/>
        </w:rPr>
        <w:t>In pension plans, the strategy of improving the allocation of customers with higher added value products was highlighted by the offer of the Brasilprev Carteiras product, whose concept is seeking a target volatility based on the investor's profile and adjust the composition of the portfolio according to the scenario. As a result, the share of multimarket funds in assets under management increased from 1</w:t>
      </w:r>
      <w:r w:rsidR="008043E1">
        <w:rPr>
          <w:rFonts w:eastAsia="Times New Roman" w:cs="Times New Roman"/>
          <w:szCs w:val="18"/>
          <w:lang w:val="en-US" w:eastAsia="pt-BR"/>
        </w:rPr>
        <w:t>1</w:t>
      </w:r>
      <w:r>
        <w:rPr>
          <w:rFonts w:eastAsia="Times New Roman" w:cs="Times New Roman"/>
          <w:szCs w:val="18"/>
          <w:lang w:val="en-US" w:eastAsia="pt-BR"/>
        </w:rPr>
        <w:t>% at the end of 2020 to 32% at the end of 2021.</w:t>
      </w:r>
    </w:p>
    <w:p w14:paraId="5B38FE55" w14:textId="2E5F579F" w:rsidR="004959B9" w:rsidRPr="004959B9" w:rsidRDefault="004343CB" w:rsidP="004959B9">
      <w:pPr>
        <w:jc w:val="both"/>
        <w:rPr>
          <w:rFonts w:eastAsia="Times New Roman" w:cs="Times New Roman"/>
          <w:szCs w:val="18"/>
          <w:lang w:eastAsia="pt-BR"/>
        </w:rPr>
      </w:pPr>
      <w:r w:rsidRPr="004959B9">
        <w:rPr>
          <w:rFonts w:eastAsia="Times New Roman" w:cs="Times New Roman"/>
          <w:szCs w:val="18"/>
          <w:lang w:val="en-US" w:eastAsia="pt-BR"/>
        </w:rPr>
        <w:t xml:space="preserve">In 2021, the new positioning of the BB Seguros brand was launched, with the tagline “For everything that matters”. For the launch, it was carried out an advertising campaign on TV and digital media, which presented all the solutions offered by the brand (insurance, pension, </w:t>
      </w:r>
      <w:r w:rsidR="00ED1B20">
        <w:rPr>
          <w:rFonts w:eastAsia="Times New Roman" w:cs="Times New Roman"/>
          <w:szCs w:val="18"/>
          <w:lang w:val="en-US" w:eastAsia="pt-BR"/>
        </w:rPr>
        <w:t>premium bonds</w:t>
      </w:r>
      <w:r w:rsidRPr="004959B9">
        <w:rPr>
          <w:rFonts w:eastAsia="Times New Roman" w:cs="Times New Roman"/>
          <w:szCs w:val="18"/>
          <w:lang w:val="en-US" w:eastAsia="pt-BR"/>
        </w:rPr>
        <w:t xml:space="preserve"> and dental),</w:t>
      </w:r>
      <w:r w:rsidR="008043E1">
        <w:rPr>
          <w:rFonts w:eastAsia="Times New Roman" w:cs="Times New Roman"/>
          <w:szCs w:val="18"/>
          <w:lang w:val="en-US" w:eastAsia="pt-BR"/>
        </w:rPr>
        <w:t xml:space="preserve"> </w:t>
      </w:r>
      <w:r w:rsidRPr="004959B9">
        <w:rPr>
          <w:rFonts w:eastAsia="Times New Roman" w:cs="Times New Roman"/>
          <w:szCs w:val="18"/>
          <w:lang w:val="en-US" w:eastAsia="pt-BR"/>
        </w:rPr>
        <w:t>reinforc</w:t>
      </w:r>
      <w:r w:rsidR="008043E1">
        <w:rPr>
          <w:rFonts w:eastAsia="Times New Roman" w:cs="Times New Roman"/>
          <w:szCs w:val="18"/>
          <w:lang w:val="en-US" w:eastAsia="pt-BR"/>
        </w:rPr>
        <w:t>ing</w:t>
      </w:r>
      <w:r w:rsidRPr="004959B9">
        <w:rPr>
          <w:rFonts w:eastAsia="Times New Roman" w:cs="Times New Roman"/>
          <w:szCs w:val="18"/>
          <w:lang w:val="en-US" w:eastAsia="pt-BR"/>
        </w:rPr>
        <w:t xml:space="preserve"> that each stage of life</w:t>
      </w:r>
      <w:r w:rsidR="008043E1">
        <w:rPr>
          <w:rFonts w:eastAsia="Times New Roman" w:cs="Times New Roman"/>
          <w:szCs w:val="18"/>
          <w:lang w:val="en-US" w:eastAsia="pt-BR"/>
        </w:rPr>
        <w:t xml:space="preserve"> cycle</w:t>
      </w:r>
      <w:r w:rsidRPr="004959B9">
        <w:rPr>
          <w:rFonts w:eastAsia="Times New Roman" w:cs="Times New Roman"/>
          <w:szCs w:val="18"/>
          <w:lang w:val="en-US" w:eastAsia="pt-BR"/>
        </w:rPr>
        <w:t xml:space="preserve"> has a different challenge and </w:t>
      </w:r>
      <w:r w:rsidR="008043E1" w:rsidRPr="004959B9">
        <w:rPr>
          <w:rFonts w:eastAsia="Times New Roman" w:cs="Times New Roman"/>
          <w:szCs w:val="18"/>
          <w:lang w:val="en-US" w:eastAsia="pt-BR"/>
        </w:rPr>
        <w:t>concern,</w:t>
      </w:r>
      <w:r w:rsidRPr="004959B9">
        <w:rPr>
          <w:rFonts w:eastAsia="Times New Roman" w:cs="Times New Roman"/>
          <w:szCs w:val="18"/>
          <w:lang w:val="en-US" w:eastAsia="pt-BR"/>
        </w:rPr>
        <w:t xml:space="preserve"> and the Company provides solutions to and at all times. </w:t>
      </w:r>
    </w:p>
    <w:p w14:paraId="3481DD65" w14:textId="77777777" w:rsidR="004959B9" w:rsidRDefault="004343CB" w:rsidP="004959B9">
      <w:pPr>
        <w:jc w:val="both"/>
        <w:rPr>
          <w:rFonts w:eastAsia="Times New Roman" w:cs="Times New Roman"/>
          <w:szCs w:val="18"/>
          <w:lang w:eastAsia="pt-BR"/>
        </w:rPr>
      </w:pPr>
      <w:r w:rsidRPr="004959B9">
        <w:rPr>
          <w:rFonts w:eastAsia="Times New Roman" w:cs="Times New Roman"/>
          <w:szCs w:val="18"/>
          <w:lang w:val="en-US" w:eastAsia="pt-BR"/>
        </w:rPr>
        <w:t>The performance in digital marketing with the use of analytical intelligence used two levels of broadcasting, one of them, with the operation of the paid digital media platform, generating more than 1.8 billion impacts, with engagement 400% higher than in 2020; and the other, using BB's proprietary digital channels, with more than 90 campaigns, around 56 million approaches and generating R$ 1.76 billion in business.</w:t>
      </w:r>
    </w:p>
    <w:p w14:paraId="75172F59" w14:textId="77777777" w:rsidR="00C81A16" w:rsidRDefault="00C81A16" w:rsidP="00AC2BB9">
      <w:pPr>
        <w:pStyle w:val="01-TtulodeNota"/>
        <w:rPr>
          <w:color w:val="1F4E79" w:themeColor="accent1" w:themeShade="80"/>
        </w:rPr>
      </w:pPr>
    </w:p>
    <w:p w14:paraId="15806A5D" w14:textId="77777777" w:rsidR="00E84DAB"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t>ENVIRONMENTAL, SOCIAL AND GOVERNANCE ASPECTS</w:t>
      </w:r>
    </w:p>
    <w:p w14:paraId="7A7D1D2A" w14:textId="0A35ADC2" w:rsidR="003C513B" w:rsidRDefault="004343CB" w:rsidP="00E84DAB">
      <w:pPr>
        <w:spacing w:before="120" w:after="120"/>
        <w:jc w:val="both"/>
        <w:rPr>
          <w:lang w:eastAsia="pt-BR"/>
        </w:rPr>
      </w:pPr>
      <w:r>
        <w:rPr>
          <w:lang w:val="en-US" w:eastAsia="pt-BR"/>
        </w:rPr>
        <w:t>Bringing t</w:t>
      </w:r>
      <w:r w:rsidR="00346A7D">
        <w:rPr>
          <w:lang w:val="en-US" w:eastAsia="pt-BR"/>
        </w:rPr>
        <w:t>he</w:t>
      </w:r>
      <w:r>
        <w:rPr>
          <w:lang w:val="en-US" w:eastAsia="pt-BR"/>
        </w:rPr>
        <w:t xml:space="preserve"> focus </w:t>
      </w:r>
      <w:r w:rsidR="00346A7D">
        <w:rPr>
          <w:lang w:val="en-US" w:eastAsia="pt-BR"/>
        </w:rPr>
        <w:t xml:space="preserve">to </w:t>
      </w:r>
      <w:r>
        <w:rPr>
          <w:lang w:val="en-US" w:eastAsia="pt-BR"/>
        </w:rPr>
        <w:t xml:space="preserve">the environmental, social and governance (ESG) aspects of the business, considering that BB Seguridade is a relatively new company, which originated from the segregation of the insurance, pension and </w:t>
      </w:r>
      <w:r w:rsidR="00ED1B20">
        <w:rPr>
          <w:lang w:val="en-US" w:eastAsia="pt-BR"/>
        </w:rPr>
        <w:t>premium bonds</w:t>
      </w:r>
      <w:r>
        <w:rPr>
          <w:lang w:val="en-US" w:eastAsia="pt-BR"/>
        </w:rPr>
        <w:t xml:space="preserve"> businesses previously conducted within the organizational structure of its parent company, Banco do Brasil, the Company's early years were dedicated to maturing and consolidating Governance as a means to ensure the adoption of best corporate management practices in conducting business and managing its investments.</w:t>
      </w:r>
    </w:p>
    <w:p w14:paraId="2CD4DAFB" w14:textId="77777777" w:rsidR="003C513B" w:rsidRDefault="004343CB" w:rsidP="00E84DAB">
      <w:pPr>
        <w:spacing w:before="120" w:after="120"/>
        <w:jc w:val="both"/>
        <w:rPr>
          <w:lang w:eastAsia="pt-BR"/>
        </w:rPr>
      </w:pPr>
      <w:r>
        <w:rPr>
          <w:lang w:val="en-US" w:eastAsia="pt-BR"/>
        </w:rPr>
        <w:t>This maturing, combined with the voice of stakeholders, stimulated increased attention to environmental and social aspects, which led, in 2021, to the creation of the Strategic Project Agenda ASG, aiming at unifying, consolidating and accelerating the environmental, social and governance agenda within the BB Seguridade group.</w:t>
      </w:r>
    </w:p>
    <w:p w14:paraId="7CE1996F" w14:textId="7128FF44" w:rsidR="003C513B" w:rsidRDefault="004343CB" w:rsidP="00E84DAB">
      <w:pPr>
        <w:spacing w:before="120" w:after="120"/>
        <w:jc w:val="both"/>
        <w:rPr>
          <w:lang w:eastAsia="pt-BR"/>
        </w:rPr>
      </w:pPr>
      <w:r>
        <w:rPr>
          <w:rFonts w:eastAsia="Times New Roman" w:cs="Arial"/>
          <w:spacing w:val="-2"/>
          <w:szCs w:val="18"/>
          <w:lang w:val="en-US" w:eastAsia="pt-BR"/>
        </w:rPr>
        <w:t xml:space="preserve">The full report of the ESG practices adopted can be obtained in the Company's Annual Sustainability Report, available at </w:t>
      </w:r>
      <w:hyperlink r:id="rId14" w:history="1">
        <w:r w:rsidRPr="00741546">
          <w:rPr>
            <w:rStyle w:val="Hyperlink"/>
            <w:lang w:val="en-US"/>
          </w:rPr>
          <w:t>www.bbseguridaderi.com.br/sustentabilidade-e-governanca/sustentabilidade/</w:t>
        </w:r>
      </w:hyperlink>
      <w:r>
        <w:rPr>
          <w:rFonts w:eastAsia="Times New Roman" w:cs="Arial"/>
          <w:spacing w:val="-2"/>
          <w:szCs w:val="18"/>
          <w:lang w:val="en-US" w:eastAsia="pt-BR"/>
        </w:rPr>
        <w:t xml:space="preserve"> and prepared in accordance with the Global Reporting Initiative (GRI)</w:t>
      </w:r>
      <w:r w:rsidR="00346A7D">
        <w:rPr>
          <w:rFonts w:eastAsia="Times New Roman" w:cs="Arial"/>
          <w:spacing w:val="-2"/>
          <w:szCs w:val="18"/>
          <w:lang w:val="en-US" w:eastAsia="pt-BR"/>
        </w:rPr>
        <w:t xml:space="preserve"> standards</w:t>
      </w:r>
      <w:r>
        <w:rPr>
          <w:rFonts w:eastAsia="Times New Roman" w:cs="Arial"/>
          <w:spacing w:val="-2"/>
          <w:szCs w:val="18"/>
          <w:lang w:val="en-US" w:eastAsia="pt-BR"/>
        </w:rPr>
        <w:t>.</w:t>
      </w:r>
    </w:p>
    <w:p w14:paraId="75C837C0" w14:textId="41C11ED2" w:rsidR="003C513B" w:rsidRDefault="004343CB" w:rsidP="00E84DAB">
      <w:pPr>
        <w:spacing w:before="120" w:after="120"/>
        <w:jc w:val="both"/>
        <w:rPr>
          <w:lang w:val="en-US" w:eastAsia="pt-BR"/>
        </w:rPr>
      </w:pPr>
      <w:r>
        <w:rPr>
          <w:lang w:val="en-US" w:eastAsia="pt-BR"/>
        </w:rPr>
        <w:t>This Management Report present</w:t>
      </w:r>
      <w:r w:rsidR="00211FF6">
        <w:rPr>
          <w:lang w:val="en-US" w:eastAsia="pt-BR"/>
        </w:rPr>
        <w:t>s</w:t>
      </w:r>
      <w:r>
        <w:rPr>
          <w:lang w:val="en-US" w:eastAsia="pt-BR"/>
        </w:rPr>
        <w:t xml:space="preserve"> some information on topics that are included in the ESG aspects in relation to the 2021 fiscal year. The full report on practices regarding topics deemed essential for the Company for the fiscal year, according to the GRI methodology, will be presented in the 2021 Annual Sustainability Report, to be released in the first half of 2022.</w:t>
      </w:r>
      <w:r w:rsidR="00361B70">
        <w:rPr>
          <w:lang w:val="en-US" w:eastAsia="pt-BR"/>
        </w:rPr>
        <w:t>]</w:t>
      </w:r>
    </w:p>
    <w:p w14:paraId="28C82519" w14:textId="2143FC83" w:rsidR="00361B70" w:rsidRDefault="00361B70">
      <w:pPr>
        <w:rPr>
          <w:lang w:val="en-US" w:eastAsia="pt-BR"/>
        </w:rPr>
      </w:pPr>
      <w:r>
        <w:rPr>
          <w:lang w:val="en-US" w:eastAsia="pt-BR"/>
        </w:rPr>
        <w:br w:type="page"/>
      </w:r>
    </w:p>
    <w:p w14:paraId="1D0FA77B" w14:textId="77777777" w:rsidR="00E84DAB" w:rsidRDefault="00E84DAB" w:rsidP="00E84DAB">
      <w:pPr>
        <w:spacing w:before="120" w:after="120"/>
        <w:jc w:val="both"/>
        <w:rPr>
          <w:lang w:eastAsia="pt-BR"/>
        </w:rPr>
      </w:pPr>
    </w:p>
    <w:p w14:paraId="7C98CE5B" w14:textId="77777777" w:rsidR="00E84DAB" w:rsidRPr="00053E4D" w:rsidRDefault="004343CB" w:rsidP="00053E4D">
      <w:pPr>
        <w:pStyle w:val="03-SubttulodeNota"/>
        <w:spacing w:line="276" w:lineRule="auto"/>
        <w:rPr>
          <w:color w:val="1F4E79" w:themeColor="accent1" w:themeShade="80"/>
        </w:rPr>
      </w:pPr>
      <w:r w:rsidRPr="00053E4D">
        <w:rPr>
          <w:color w:val="1F4E79" w:themeColor="accent1" w:themeShade="80"/>
          <w:lang w:val="en-US"/>
        </w:rPr>
        <w:t xml:space="preserve">Governance, Risk Management and </w:t>
      </w:r>
      <w:r w:rsidR="00053E4D" w:rsidRPr="003253D6">
        <w:rPr>
          <w:i/>
          <w:iCs/>
          <w:color w:val="1F4E79" w:themeColor="accent1" w:themeShade="80"/>
          <w:lang w:val="en-US"/>
        </w:rPr>
        <w:t>Compliance</w:t>
      </w:r>
    </w:p>
    <w:p w14:paraId="0D316D80" w14:textId="77777777" w:rsidR="00E84DAB" w:rsidRPr="00597253" w:rsidRDefault="004343CB" w:rsidP="00E84DAB">
      <w:pPr>
        <w:pStyle w:val="03-SubttulodeNota"/>
        <w:spacing w:line="276" w:lineRule="auto"/>
        <w:rPr>
          <w:b w:val="0"/>
          <w:bCs/>
          <w:color w:val="000000" w:themeColor="text1"/>
          <w:u w:val="single"/>
        </w:rPr>
      </w:pPr>
      <w:r w:rsidRPr="00597253">
        <w:rPr>
          <w:b w:val="0"/>
          <w:bCs/>
          <w:color w:val="000000" w:themeColor="text1"/>
          <w:u w:val="single"/>
          <w:lang w:val="en-US"/>
        </w:rPr>
        <w:t>Governance</w:t>
      </w:r>
    </w:p>
    <w:p w14:paraId="3C428577" w14:textId="38D9E836" w:rsidR="00E84DAB" w:rsidRPr="00006A20" w:rsidRDefault="004343CB" w:rsidP="00E84DAB">
      <w:pPr>
        <w:jc w:val="both"/>
        <w:rPr>
          <w:rFonts w:eastAsia="Times New Roman" w:cs="Arial"/>
          <w:spacing w:val="-2"/>
          <w:szCs w:val="18"/>
          <w:lang w:eastAsia="pt-BR"/>
        </w:rPr>
      </w:pPr>
      <w:r w:rsidRPr="00006A20">
        <w:rPr>
          <w:rFonts w:eastAsia="Times New Roman" w:cs="Arial"/>
          <w:spacing w:val="-2"/>
          <w:szCs w:val="18"/>
          <w:lang w:val="en-US" w:eastAsia="pt-BR"/>
        </w:rPr>
        <w:t>BB Seguridade's commitment to transparency in its relationship with the market and</w:t>
      </w:r>
      <w:r w:rsidR="008B0188" w:rsidRPr="00006A20">
        <w:rPr>
          <w:rFonts w:eastAsia="Times New Roman" w:cs="Arial"/>
          <w:spacing w:val="-2"/>
          <w:szCs w:val="18"/>
          <w:lang w:val="en-US" w:eastAsia="pt-BR"/>
        </w:rPr>
        <w:t xml:space="preserve"> with</w:t>
      </w:r>
      <w:r w:rsidRPr="00006A20">
        <w:rPr>
          <w:rFonts w:eastAsia="Times New Roman" w:cs="Arial"/>
          <w:spacing w:val="-2"/>
          <w:szCs w:val="18"/>
          <w:lang w:val="en-US" w:eastAsia="pt-BR"/>
        </w:rPr>
        <w:t xml:space="preserve"> its minority shareholders, is ratified by its adhesion, since the IPO, to B3's Novo Mercado, segment that brings together the companies that meet the highest corporate governance requirements in the Brazilian market.</w:t>
      </w:r>
    </w:p>
    <w:p w14:paraId="5F070863" w14:textId="77777777" w:rsidR="00E84DAB" w:rsidRPr="00006A20" w:rsidRDefault="004343CB" w:rsidP="00E84DAB">
      <w:pPr>
        <w:jc w:val="both"/>
        <w:rPr>
          <w:rFonts w:eastAsia="Times New Roman" w:cs="Arial"/>
          <w:spacing w:val="-2"/>
          <w:szCs w:val="18"/>
          <w:lang w:eastAsia="pt-BR"/>
        </w:rPr>
      </w:pPr>
      <w:r>
        <w:rPr>
          <w:rFonts w:eastAsia="Times New Roman" w:cs="Arial"/>
          <w:spacing w:val="-2"/>
          <w:szCs w:val="18"/>
          <w:lang w:val="en-US" w:eastAsia="pt-BR"/>
        </w:rPr>
        <w:t>In 2021, BB Seguridade again reached IG-SEST Governance Indicator Certification's Level 1, an instrument for the continuous assessment of federal state-owned companies, which verifies compliance with various legal and infra-legal provisions and good corporate governance practices. As a comparative, in a universe of 60 companies assessed, only 16 Companies were classified in Level 1, considered the highest certification index.</w:t>
      </w:r>
    </w:p>
    <w:p w14:paraId="2BD995DB" w14:textId="77777777" w:rsidR="00E84DAB" w:rsidRPr="00006A20" w:rsidRDefault="004343CB" w:rsidP="00E84DAB">
      <w:pPr>
        <w:jc w:val="both"/>
        <w:rPr>
          <w:rFonts w:eastAsia="Times New Roman" w:cs="Arial"/>
          <w:spacing w:val="-2"/>
          <w:szCs w:val="18"/>
          <w:lang w:eastAsia="pt-BR"/>
        </w:rPr>
      </w:pPr>
      <w:r w:rsidRPr="00006A20">
        <w:rPr>
          <w:rFonts w:eastAsia="Times New Roman" w:cs="Arial"/>
          <w:spacing w:val="-2"/>
          <w:szCs w:val="18"/>
          <w:lang w:val="en-US" w:eastAsia="pt-BR"/>
        </w:rPr>
        <w:t>Among the improvements in the governance structure, we highlight the company's unprecedented initiative of holding the General Shareholders' Meeting entirely through digital means, which demonstrated, in addition to the company's care with the initiatives to prevent the spread of Covid-19, the agility in adapting to the changes arising from the new reality, combining efficiency with adequate security to ensure the delivery of a better experience to shareholders.</w:t>
      </w:r>
    </w:p>
    <w:p w14:paraId="5556CEDF" w14:textId="71A93F30" w:rsidR="00E84DAB" w:rsidRPr="00006A20" w:rsidRDefault="004343CB" w:rsidP="00E84DAB">
      <w:pPr>
        <w:jc w:val="both"/>
        <w:rPr>
          <w:rFonts w:eastAsia="Times New Roman" w:cs="Arial"/>
          <w:spacing w:val="-2"/>
          <w:szCs w:val="18"/>
          <w:lang w:eastAsia="pt-BR"/>
        </w:rPr>
      </w:pPr>
      <w:r w:rsidRPr="00006A20">
        <w:rPr>
          <w:rFonts w:eastAsia="Times New Roman" w:cs="Arial"/>
          <w:spacing w:val="-2"/>
          <w:szCs w:val="18"/>
          <w:lang w:val="en-US" w:eastAsia="pt-BR"/>
        </w:rPr>
        <w:t xml:space="preserve">Also within the corporate governance system, it is worth mentioning the process of adapting the BB Seguridade's </w:t>
      </w:r>
      <w:r w:rsidR="008B0188">
        <w:rPr>
          <w:rFonts w:eastAsia="Times New Roman" w:cs="Arial"/>
          <w:spacing w:val="-2"/>
          <w:szCs w:val="18"/>
          <w:lang w:val="en-US" w:eastAsia="pt-BR"/>
        </w:rPr>
        <w:t xml:space="preserve">Bylaws </w:t>
      </w:r>
      <w:r w:rsidRPr="00006A20">
        <w:rPr>
          <w:rFonts w:eastAsia="Times New Roman" w:cs="Arial"/>
          <w:spacing w:val="-2"/>
          <w:szCs w:val="18"/>
          <w:lang w:val="en-US" w:eastAsia="pt-BR"/>
        </w:rPr>
        <w:t>to the standard model published by the Secretariat for Coordination and Governance of State-Owned Companies (SEST), which sought to promote the adoption of best practices, in addition to the alignment with the guidelines from the Organization for Economic Co-operation and Development (OECD). Among the main innovations of the model, we highlight the adequate treatment of the hypotheses of a conflict of interest among directors, improvement in the process for the selection of directors, among others.</w:t>
      </w:r>
    </w:p>
    <w:p w14:paraId="7E4B1275" w14:textId="77777777" w:rsidR="00E84DAB" w:rsidRPr="00597253" w:rsidRDefault="004343CB" w:rsidP="00E84DAB">
      <w:pPr>
        <w:pStyle w:val="03-SubttulodeNota"/>
        <w:spacing w:line="276" w:lineRule="auto"/>
        <w:rPr>
          <w:b w:val="0"/>
          <w:bCs/>
          <w:color w:val="000000" w:themeColor="text1"/>
          <w:u w:val="single"/>
        </w:rPr>
      </w:pPr>
      <w:r w:rsidRPr="00597253">
        <w:rPr>
          <w:b w:val="0"/>
          <w:bCs/>
          <w:color w:val="000000" w:themeColor="text1"/>
          <w:u w:val="single"/>
          <w:lang w:val="en-US"/>
        </w:rPr>
        <w:t>Risk Management and Compliance</w:t>
      </w:r>
    </w:p>
    <w:p w14:paraId="210FFD5B" w14:textId="199CD7D6" w:rsidR="00E84DAB" w:rsidRDefault="004343CB" w:rsidP="00E84DAB">
      <w:pPr>
        <w:pStyle w:val="01-Textonormal"/>
      </w:pPr>
      <w:r>
        <w:rPr>
          <w:lang w:val="en-US"/>
        </w:rPr>
        <w:t xml:space="preserve">In addition to statutory governance, inspection and control bodies, such as the Audit Committee and the Supervisory Board, BB Seguridade has, in its organizational structure, a technical area separated from business functions, the Executive Superintendency of Governance, Risks and Compliance, linked directly to the Company's </w:t>
      </w:r>
      <w:r w:rsidR="008B0188">
        <w:rPr>
          <w:lang w:val="en-US"/>
        </w:rPr>
        <w:t>CEO</w:t>
      </w:r>
      <w:r>
        <w:rPr>
          <w:lang w:val="en-US"/>
        </w:rPr>
        <w:t xml:space="preserve">, which ensures the needed independence of action. </w:t>
      </w:r>
    </w:p>
    <w:p w14:paraId="7D77406E" w14:textId="77777777" w:rsidR="00E84DAB" w:rsidRDefault="004343CB" w:rsidP="00E84DAB">
      <w:pPr>
        <w:pStyle w:val="01-Textonormal"/>
      </w:pPr>
      <w:r>
        <w:rPr>
          <w:lang w:val="en-US"/>
        </w:rPr>
        <w:t xml:space="preserve">The Superintendency is responsible for developing and standardizing risk management methodologies, internal controls and compliance, in addition to guiding the adoption of best practices related to the topic.  The guidelines approved by the Board of Directors, which guide risk management, internal controls and compliance, are contained in the Risk Appetite Statement, Risk Management Policy, Internal Controls and Compliance and Policy for Preventing; Combating Money Laundering and Financing of Terrorism and Corruption and the Policy for Preventing and Combating Corruption. </w:t>
      </w:r>
    </w:p>
    <w:p w14:paraId="62EFBAE3" w14:textId="77777777" w:rsidR="00E84DAB" w:rsidRDefault="004343CB" w:rsidP="00E84DAB">
      <w:pPr>
        <w:pStyle w:val="01-Textonormal"/>
      </w:pPr>
      <w:r>
        <w:rPr>
          <w:lang w:val="en-US"/>
        </w:rPr>
        <w:t xml:space="preserve">The Risk Management, Internal Controls and Compliance Model, approved by the Collegiate Board of Directors, is in line with the Company's strategy and considers the corporate scenarios in the identification, analysis, evaluation and treatment of events capable of negatively influencing the achievement of the objectives.  </w:t>
      </w:r>
    </w:p>
    <w:p w14:paraId="21E18B48" w14:textId="77777777" w:rsidR="00E84DAB" w:rsidRDefault="004343CB" w:rsidP="00E84DAB">
      <w:pPr>
        <w:pStyle w:val="01-Textonormal"/>
      </w:pPr>
      <w:r>
        <w:rPr>
          <w:lang w:val="en-US"/>
        </w:rPr>
        <w:t xml:space="preserve">The result of the continuous monitoring of the internal control system and the corporate compliance status is reported quarterly to the management, through the Internal Controls and Compliance Panel, which includes relevant information on work carried out not only by the techncial area dedicated to risks and control, but also by the Internal Audit, External Audit and other supervisory bodies.  </w:t>
      </w:r>
    </w:p>
    <w:p w14:paraId="64A90373" w14:textId="77777777" w:rsidR="00E84DAB" w:rsidRDefault="004343CB" w:rsidP="00E84DAB">
      <w:pPr>
        <w:pStyle w:val="01-Textonormal"/>
      </w:pPr>
      <w:r>
        <w:rPr>
          <w:lang w:val="en-US"/>
        </w:rPr>
        <w:t>Moreover, the maintenance and periodic evaluation of an Integrity Program fosters an ethical organizational culture and reinforces everyone's responsibility with the practice of internal management and compliance controls adopted to fulfill the mission and fulfill the company's purpose.</w:t>
      </w:r>
    </w:p>
    <w:p w14:paraId="42F638C1" w14:textId="7220A0AD" w:rsidR="00E84DAB" w:rsidRDefault="004343CB" w:rsidP="00E84DAB">
      <w:pPr>
        <w:jc w:val="both"/>
        <w:rPr>
          <w:rFonts w:eastAsia="Times New Roman" w:cs="Arial"/>
          <w:spacing w:val="-2"/>
          <w:szCs w:val="18"/>
          <w:lang w:eastAsia="pt-BR"/>
        </w:rPr>
      </w:pPr>
      <w:r>
        <w:rPr>
          <w:lang w:val="en-US"/>
        </w:rPr>
        <w:t xml:space="preserve">Among the actions carried out throughout 2021, the company revised the risk management, internal controls and compliance structures, promoting the following improvements that will come into operation in 2022: i) </w:t>
      </w:r>
      <w:r w:rsidR="00F34760">
        <w:rPr>
          <w:lang w:val="en-US"/>
        </w:rPr>
        <w:t>c</w:t>
      </w:r>
      <w:r>
        <w:rPr>
          <w:lang w:val="en-US"/>
        </w:rPr>
        <w:t xml:space="preserve">reation of a statutory Risk Committee composed of independent members; ii) </w:t>
      </w:r>
      <w:r w:rsidR="00F34760">
        <w:rPr>
          <w:lang w:val="en-US"/>
        </w:rPr>
        <w:t>c</w:t>
      </w:r>
      <w:r>
        <w:rPr>
          <w:lang w:val="en-US"/>
        </w:rPr>
        <w:t xml:space="preserve">reation of the Continuity and Crisis Management Committee, an advisory body to the Board of </w:t>
      </w:r>
      <w:r w:rsidR="00F34760">
        <w:rPr>
          <w:lang w:val="en-US"/>
        </w:rPr>
        <w:t>Executive Officers</w:t>
      </w:r>
      <w:r>
        <w:rPr>
          <w:lang w:val="en-US"/>
        </w:rPr>
        <w:t>; and iii) expansion of the structure dedicated to risk management and compliance, with the segregation of the Internal Controls and Integrity Management and the Risk, Capital and Safety Management functions into two areas. The implementation of such initiatives will help increasing the company's strategic focus and resilience in the face of the new challenges of the post-pandemic horizon, also contemplating the necessary regulatory adjustments, notably those related to the General Data Protection Law, CNSP Resolution No. 382, CNSP Resolution No. 416 and Susep Circular Letter No. 612.</w:t>
      </w:r>
    </w:p>
    <w:p w14:paraId="7AEC261E" w14:textId="176B88BF" w:rsidR="00E84DAB" w:rsidRDefault="00E84DAB" w:rsidP="00E84DAB">
      <w:pPr>
        <w:spacing w:before="120" w:after="120"/>
        <w:jc w:val="both"/>
        <w:rPr>
          <w:lang w:eastAsia="pt-BR"/>
        </w:rPr>
      </w:pPr>
    </w:p>
    <w:p w14:paraId="1369B8EB" w14:textId="59E7C551" w:rsidR="00361B70" w:rsidRDefault="00361B70" w:rsidP="00E84DAB">
      <w:pPr>
        <w:spacing w:before="120" w:after="120"/>
        <w:jc w:val="both"/>
        <w:rPr>
          <w:lang w:eastAsia="pt-BR"/>
        </w:rPr>
      </w:pPr>
    </w:p>
    <w:p w14:paraId="2B89AC3D" w14:textId="5BA164A5" w:rsidR="00361B70" w:rsidRDefault="00361B70" w:rsidP="00E84DAB">
      <w:pPr>
        <w:spacing w:before="120" w:after="120"/>
        <w:jc w:val="both"/>
        <w:rPr>
          <w:lang w:eastAsia="pt-BR"/>
        </w:rPr>
      </w:pPr>
    </w:p>
    <w:p w14:paraId="599EE887" w14:textId="404B7409" w:rsidR="00361B70" w:rsidRDefault="00361B70" w:rsidP="00E84DAB">
      <w:pPr>
        <w:spacing w:before="120" w:after="120"/>
        <w:jc w:val="both"/>
        <w:rPr>
          <w:lang w:eastAsia="pt-BR"/>
        </w:rPr>
      </w:pPr>
    </w:p>
    <w:p w14:paraId="29AF53D0" w14:textId="77777777" w:rsidR="00361B70" w:rsidRDefault="00361B70" w:rsidP="00E84DAB">
      <w:pPr>
        <w:spacing w:before="120" w:after="120"/>
        <w:jc w:val="both"/>
        <w:rPr>
          <w:lang w:eastAsia="pt-BR"/>
        </w:rPr>
      </w:pPr>
    </w:p>
    <w:p w14:paraId="507F3D37" w14:textId="77777777" w:rsidR="00C81A16" w:rsidRPr="00597253" w:rsidRDefault="004343CB" w:rsidP="00597253">
      <w:pPr>
        <w:pStyle w:val="03-SubttulodeNota"/>
        <w:spacing w:line="276" w:lineRule="auto"/>
        <w:rPr>
          <w:color w:val="1F4E79" w:themeColor="accent1" w:themeShade="80"/>
        </w:rPr>
      </w:pPr>
      <w:r w:rsidRPr="00597253">
        <w:rPr>
          <w:color w:val="1F4E79" w:themeColor="accent1" w:themeShade="80"/>
          <w:lang w:val="en-US"/>
        </w:rPr>
        <w:lastRenderedPageBreak/>
        <w:t>Human Capital Management</w:t>
      </w:r>
    </w:p>
    <w:p w14:paraId="3C5C4B9C" w14:textId="0236B948" w:rsidR="00EF771D" w:rsidRDefault="004343CB" w:rsidP="00EF771D">
      <w:pPr>
        <w:spacing w:before="120" w:after="120"/>
        <w:jc w:val="both"/>
        <w:rPr>
          <w:rFonts w:cs="Arial"/>
          <w:color w:val="000000"/>
          <w:szCs w:val="18"/>
        </w:rPr>
      </w:pPr>
      <w:r>
        <w:rPr>
          <w:rFonts w:cs="Arial"/>
          <w:color w:val="000000"/>
          <w:szCs w:val="18"/>
          <w:lang w:val="en-US"/>
        </w:rPr>
        <w:t xml:space="preserve">BB Seguridade's staff consists mostly of employees </w:t>
      </w:r>
      <w:r w:rsidR="00F34760">
        <w:rPr>
          <w:rFonts w:cs="Arial"/>
          <w:color w:val="000000"/>
          <w:szCs w:val="18"/>
          <w:lang w:val="en-US"/>
        </w:rPr>
        <w:t xml:space="preserve">ceded </w:t>
      </w:r>
      <w:r>
        <w:rPr>
          <w:rFonts w:cs="Arial"/>
          <w:color w:val="000000"/>
          <w:szCs w:val="18"/>
          <w:lang w:val="en-US"/>
        </w:rPr>
        <w:t xml:space="preserve">by BB. On 12.31.2021, the Company had 154 CLT (Consolidation of Labor Laws) employees and 4 statutory officers, located in Brasília and São Paulo, 3 interns and 21 contractors. </w:t>
      </w:r>
    </w:p>
    <w:p w14:paraId="3BCD7757" w14:textId="25ABAB54" w:rsidR="00EF771D" w:rsidRDefault="004343CB" w:rsidP="00EF771D">
      <w:pPr>
        <w:spacing w:before="120" w:after="120"/>
        <w:jc w:val="both"/>
        <w:rPr>
          <w:rFonts w:cs="Arial"/>
          <w:color w:val="000000"/>
          <w:szCs w:val="18"/>
        </w:rPr>
      </w:pPr>
      <w:r>
        <w:rPr>
          <w:rFonts w:cs="Arial"/>
          <w:color w:val="000000"/>
          <w:szCs w:val="18"/>
          <w:lang w:val="en-US"/>
        </w:rPr>
        <w:t>BB Seguridade believes that its human capital is the company's main asset. In 2021, with the review of the approach to the Company's strategy and human capital pillars, the processes</w:t>
      </w:r>
      <w:r w:rsidR="00F34760">
        <w:rPr>
          <w:rFonts w:cs="Arial"/>
          <w:color w:val="000000"/>
          <w:szCs w:val="18"/>
          <w:lang w:val="en-US"/>
        </w:rPr>
        <w:t xml:space="preserve"> of people management</w:t>
      </w:r>
      <w:r>
        <w:rPr>
          <w:rFonts w:cs="Arial"/>
          <w:color w:val="000000"/>
          <w:szCs w:val="18"/>
          <w:lang w:val="en-US"/>
        </w:rPr>
        <w:t xml:space="preserve"> were unified under the</w:t>
      </w:r>
      <w:r>
        <w:rPr>
          <w:rFonts w:cs="Arial"/>
          <w:color w:val="000000"/>
          <w:szCs w:val="18"/>
          <w:lang w:val="en-US"/>
        </w:rPr>
        <w:br/>
        <w:t>Superintendency of People and Management. This change focused on maturing the Company's management model, maintaining the purpose of giving a more strategic and less transactional role to the people management area, with the main goal of attracting, retaining and developing BB Seguridade's talents, disseminating and strengthen the organizational culture and acting as a strategic business partner, seeking a sustainable performance in all areas of the company.</w:t>
      </w:r>
    </w:p>
    <w:p w14:paraId="54680C03" w14:textId="77777777" w:rsidR="00EF771D" w:rsidRDefault="004343CB" w:rsidP="00EF771D">
      <w:pPr>
        <w:spacing w:before="120" w:after="120"/>
        <w:jc w:val="both"/>
        <w:rPr>
          <w:rFonts w:cs="Arial"/>
          <w:color w:val="000000"/>
          <w:szCs w:val="18"/>
        </w:rPr>
      </w:pPr>
      <w:r>
        <w:rPr>
          <w:rFonts w:cs="Arial"/>
          <w:color w:val="000000"/>
          <w:szCs w:val="18"/>
        </w:rPr>
        <w:t xml:space="preserve"> </w:t>
      </w:r>
    </w:p>
    <w:p w14:paraId="36A1ACE7" w14:textId="77777777" w:rsidR="00EF771D" w:rsidRPr="00597253" w:rsidRDefault="004343CB" w:rsidP="00597253">
      <w:pPr>
        <w:pStyle w:val="03-SubttulodeNota"/>
        <w:spacing w:line="276" w:lineRule="auto"/>
        <w:rPr>
          <w:b w:val="0"/>
          <w:bCs/>
          <w:color w:val="000000" w:themeColor="text1"/>
          <w:u w:val="single"/>
        </w:rPr>
      </w:pPr>
      <w:r w:rsidRPr="00597253">
        <w:rPr>
          <w:b w:val="0"/>
          <w:bCs/>
          <w:color w:val="000000" w:themeColor="text1"/>
          <w:u w:val="single"/>
          <w:lang w:val="en-US"/>
        </w:rPr>
        <w:t>Training and Development</w:t>
      </w:r>
    </w:p>
    <w:p w14:paraId="7372DD47" w14:textId="0EEAC0EC" w:rsidR="00EF771D" w:rsidRDefault="004343CB" w:rsidP="00EF771D">
      <w:pPr>
        <w:tabs>
          <w:tab w:val="left" w:pos="1175"/>
        </w:tabs>
        <w:spacing w:before="120" w:after="120"/>
        <w:jc w:val="both"/>
        <w:rPr>
          <w:rFonts w:cs="Arial"/>
          <w:color w:val="000000"/>
          <w:szCs w:val="18"/>
        </w:rPr>
      </w:pPr>
      <w:r>
        <w:rPr>
          <w:rFonts w:cs="Arial"/>
          <w:color w:val="000000"/>
          <w:szCs w:val="18"/>
          <w:lang w:val="en-US"/>
        </w:rPr>
        <w:t>Reinforcing the importance that BB Seguridade attaches to the development of associates, in 2021, approximately R$</w:t>
      </w:r>
      <w:r w:rsidR="00F34760">
        <w:rPr>
          <w:rFonts w:cs="Arial"/>
          <w:color w:val="000000"/>
          <w:szCs w:val="18"/>
          <w:lang w:val="en-US"/>
        </w:rPr>
        <w:t>638,000</w:t>
      </w:r>
      <w:r>
        <w:rPr>
          <w:rFonts w:cs="Arial"/>
          <w:color w:val="000000"/>
          <w:szCs w:val="18"/>
          <w:lang w:val="en-US"/>
        </w:rPr>
        <w:t xml:space="preserve"> were invested in training and subsidies of up to 80% in graduate courses and language scholarships. For graduate courses, associates can also take advantage of authorized absences, in order to complete the course final paper. </w:t>
      </w:r>
    </w:p>
    <w:p w14:paraId="189FD1F3" w14:textId="53611FA4" w:rsidR="00EF771D" w:rsidRDefault="004343CB" w:rsidP="00EF771D">
      <w:pPr>
        <w:tabs>
          <w:tab w:val="left" w:pos="1175"/>
        </w:tabs>
        <w:spacing w:before="120" w:after="120"/>
        <w:jc w:val="both"/>
        <w:rPr>
          <w:rFonts w:cs="Arial"/>
          <w:color w:val="000000"/>
          <w:szCs w:val="18"/>
        </w:rPr>
      </w:pPr>
      <w:r>
        <w:rPr>
          <w:rFonts w:cs="Arial"/>
          <w:color w:val="000000"/>
          <w:szCs w:val="18"/>
          <w:lang w:val="en-US"/>
        </w:rPr>
        <w:t xml:space="preserve">During 2021, the main trainings that were part of the Corporate Development Plan (PDC) were: </w:t>
      </w:r>
      <w:r>
        <w:rPr>
          <w:lang w:val="en-US"/>
        </w:rPr>
        <w:t>(i)</w:t>
      </w:r>
      <w:r>
        <w:rPr>
          <w:rFonts w:cs="Arial"/>
          <w:color w:val="000000"/>
          <w:szCs w:val="18"/>
          <w:lang w:val="en-US"/>
        </w:rPr>
        <w:t xml:space="preserve"> Leader Training Program, whose main objective was preparaing potential successors for the transition from self-leader to team leader ; (ii) Development of Soft Skills for managers, aiming at improving fundamental topics for the leader's conscious performance as a people manager; (iii) Project Leaders Trail, aiming at preparing potential leaders to conduct future BB Seguros projects; (iv) Business Models and (v) Knowledge Academy Program, aimed at strengthening BB Segur</w:t>
      </w:r>
      <w:r w:rsidR="00F34760">
        <w:rPr>
          <w:rFonts w:cs="Arial"/>
          <w:color w:val="000000"/>
          <w:szCs w:val="18"/>
          <w:lang w:val="en-US"/>
        </w:rPr>
        <w:t>idade</w:t>
      </w:r>
      <w:r>
        <w:rPr>
          <w:rFonts w:cs="Arial"/>
          <w:color w:val="000000"/>
          <w:szCs w:val="18"/>
          <w:lang w:val="en-US"/>
        </w:rPr>
        <w:t>s' key competencies (of a technical or behavioral nature), in line with the main skills of the future.</w:t>
      </w:r>
    </w:p>
    <w:p w14:paraId="46461325" w14:textId="77777777" w:rsidR="00EF771D" w:rsidRDefault="00EF771D" w:rsidP="00EF771D">
      <w:pPr>
        <w:tabs>
          <w:tab w:val="left" w:pos="1175"/>
        </w:tabs>
        <w:spacing w:before="120" w:after="120"/>
        <w:jc w:val="both"/>
        <w:rPr>
          <w:rFonts w:cs="Arial"/>
          <w:color w:val="000000"/>
          <w:szCs w:val="18"/>
        </w:rPr>
      </w:pPr>
    </w:p>
    <w:p w14:paraId="0959514E" w14:textId="77777777" w:rsidR="00EF771D" w:rsidRPr="00597253" w:rsidRDefault="004343CB" w:rsidP="00597253">
      <w:pPr>
        <w:pStyle w:val="03-SubttulodeNota"/>
        <w:spacing w:line="276" w:lineRule="auto"/>
        <w:rPr>
          <w:b w:val="0"/>
          <w:bCs/>
          <w:color w:val="000000" w:themeColor="text1"/>
          <w:u w:val="single"/>
        </w:rPr>
      </w:pPr>
      <w:r w:rsidRPr="00597253">
        <w:rPr>
          <w:b w:val="0"/>
          <w:bCs/>
          <w:color w:val="000000" w:themeColor="text1"/>
          <w:u w:val="single"/>
          <w:lang w:val="en-US"/>
        </w:rPr>
        <w:t>Talents and Succession</w:t>
      </w:r>
    </w:p>
    <w:p w14:paraId="4290CF2A" w14:textId="77777777" w:rsidR="00EF771D" w:rsidRDefault="004343CB" w:rsidP="00EF771D">
      <w:pPr>
        <w:spacing w:before="120" w:after="120"/>
        <w:jc w:val="both"/>
        <w:rPr>
          <w:rFonts w:cs="Arial"/>
          <w:color w:val="000000"/>
          <w:szCs w:val="18"/>
        </w:rPr>
      </w:pPr>
      <w:r>
        <w:rPr>
          <w:rFonts w:cs="Arial"/>
          <w:color w:val="000000"/>
          <w:szCs w:val="18"/>
          <w:lang w:val="en-US"/>
        </w:rPr>
        <w:t>Since 2019, BB Seguridade has made progress in raising the maturity of the identification process of talents and successors.</w:t>
      </w:r>
    </w:p>
    <w:p w14:paraId="48685014" w14:textId="77777777" w:rsidR="00EF771D" w:rsidRDefault="004343CB" w:rsidP="00EF771D">
      <w:pPr>
        <w:tabs>
          <w:tab w:val="left" w:pos="1175"/>
        </w:tabs>
        <w:spacing w:before="120" w:after="120"/>
        <w:jc w:val="both"/>
        <w:rPr>
          <w:rFonts w:cs="Arial"/>
          <w:color w:val="000000"/>
          <w:szCs w:val="18"/>
        </w:rPr>
      </w:pPr>
      <w:r>
        <w:rPr>
          <w:rFonts w:cs="Arial"/>
          <w:color w:val="000000"/>
          <w:szCs w:val="18"/>
          <w:lang w:val="en-US"/>
        </w:rPr>
        <w:t>Talents are identified through the performance management cycle, comprising performance assessment and collegiate assessment through the Development and Career Committee. The aforementioned Committee has, as one of its final objectives, training a list of potential successors of the Company through the identification of employees who presented high performance and high potential, who will be prepared to occupy new positions of a greater complexity.</w:t>
      </w:r>
    </w:p>
    <w:p w14:paraId="64D4F697" w14:textId="77777777" w:rsidR="00EF771D" w:rsidRDefault="004343CB" w:rsidP="00EF771D">
      <w:pPr>
        <w:tabs>
          <w:tab w:val="left" w:pos="1175"/>
        </w:tabs>
        <w:spacing w:before="120" w:after="120"/>
        <w:jc w:val="both"/>
        <w:rPr>
          <w:rFonts w:cs="Arial"/>
          <w:color w:val="000000"/>
          <w:szCs w:val="18"/>
        </w:rPr>
      </w:pPr>
      <w:r>
        <w:rPr>
          <w:rFonts w:cs="Arial"/>
          <w:color w:val="000000"/>
          <w:szCs w:val="18"/>
          <w:lang w:val="en-US"/>
        </w:rPr>
        <w:t>In this sense, in 2021, BB Seguridade continued with the Program for the Development of Potential Successors for management positions, ending the self-knowledge stage with the application and feedback of the behavioral profile and management style assessment and beginning the Leader Training with online and live classes, conducted by a specialized company.</w:t>
      </w:r>
    </w:p>
    <w:p w14:paraId="5904EB33" w14:textId="77777777" w:rsidR="00EF771D" w:rsidRDefault="00EF771D" w:rsidP="00EF771D">
      <w:pPr>
        <w:tabs>
          <w:tab w:val="left" w:pos="1175"/>
        </w:tabs>
        <w:spacing w:before="120" w:after="120"/>
        <w:jc w:val="both"/>
        <w:rPr>
          <w:rFonts w:cs="Arial"/>
          <w:b/>
          <w:color w:val="254E79"/>
          <w:szCs w:val="18"/>
        </w:rPr>
      </w:pPr>
    </w:p>
    <w:p w14:paraId="2CBFF665" w14:textId="77777777" w:rsidR="00EF771D" w:rsidRPr="00597253" w:rsidRDefault="004343CB" w:rsidP="00597253">
      <w:pPr>
        <w:pStyle w:val="03-SubttulodeNota"/>
        <w:spacing w:line="276" w:lineRule="auto"/>
        <w:rPr>
          <w:b w:val="0"/>
          <w:bCs/>
          <w:color w:val="000000" w:themeColor="text1"/>
          <w:u w:val="single"/>
        </w:rPr>
      </w:pPr>
      <w:r w:rsidRPr="00597253">
        <w:rPr>
          <w:b w:val="0"/>
          <w:bCs/>
          <w:color w:val="000000" w:themeColor="text1"/>
          <w:u w:val="single"/>
          <w:lang w:val="en-US"/>
        </w:rPr>
        <w:t>Benefits and Awards</w:t>
      </w:r>
    </w:p>
    <w:p w14:paraId="5B5C45A0" w14:textId="709EE29A" w:rsidR="00EF771D" w:rsidRDefault="004343CB" w:rsidP="00EF771D">
      <w:pPr>
        <w:jc w:val="both"/>
        <w:rPr>
          <w:rFonts w:cs="Arial"/>
          <w:szCs w:val="18"/>
        </w:rPr>
      </w:pPr>
      <w:r>
        <w:rPr>
          <w:rFonts w:cs="Arial"/>
          <w:color w:val="000000"/>
          <w:szCs w:val="18"/>
          <w:lang w:val="en-US"/>
        </w:rPr>
        <w:t xml:space="preserve">BB Seguridade provides employees assigned by the parent company to work at the Company with several benefits, with emphasis on supplementary pensions, health plans and variable compensation based on profits and results. In addition to these benefits, in 2019, the Board of Directors approved the “Applause Program”, an award linked to the result and individual performance of eligible participants who stood out in terms of achieving individual goals and making a differentiated contribution to the company's results. The payment of the award is made with Company shares and aims at strengthening the partnership between the employee and BB Seguridade, recognition of participants in building the results and alignment of results with </w:t>
      </w:r>
      <w:r>
        <w:rPr>
          <w:rFonts w:cs="Arial"/>
          <w:szCs w:val="18"/>
          <w:lang w:val="en-US"/>
        </w:rPr>
        <w:t xml:space="preserve">the Company's strategies. Similarly, the Variable Compensation Program for </w:t>
      </w:r>
      <w:r w:rsidR="00F34760">
        <w:rPr>
          <w:rFonts w:cs="Arial"/>
          <w:szCs w:val="18"/>
          <w:lang w:val="en-US"/>
        </w:rPr>
        <w:t>Executive</w:t>
      </w:r>
      <w:r>
        <w:rPr>
          <w:rFonts w:cs="Arial"/>
          <w:szCs w:val="18"/>
          <w:lang w:val="en-US"/>
        </w:rPr>
        <w:t xml:space="preserve"> Officers also provides for the payment of 50% of the total amount in Company shares.</w:t>
      </w:r>
    </w:p>
    <w:p w14:paraId="7DE7E928" w14:textId="462F2489" w:rsidR="00EF771D" w:rsidRDefault="004343CB" w:rsidP="00EF771D">
      <w:pPr>
        <w:jc w:val="both"/>
        <w:rPr>
          <w:rFonts w:cs="Arial"/>
          <w:color w:val="000000"/>
          <w:szCs w:val="18"/>
          <w:lang w:val="en-US"/>
        </w:rPr>
      </w:pPr>
      <w:r>
        <w:rPr>
          <w:rFonts w:cs="Arial"/>
          <w:color w:val="000000"/>
          <w:szCs w:val="18"/>
          <w:lang w:val="en-US"/>
        </w:rPr>
        <w:t>In 2021, based on individual performances results for the 202</w:t>
      </w:r>
      <w:r w:rsidR="00211FF6">
        <w:rPr>
          <w:rFonts w:cs="Arial"/>
          <w:color w:val="000000"/>
          <w:szCs w:val="18"/>
          <w:lang w:val="en-US"/>
        </w:rPr>
        <w:t>0</w:t>
      </w:r>
      <w:r>
        <w:rPr>
          <w:rFonts w:cs="Arial"/>
          <w:color w:val="000000"/>
          <w:szCs w:val="18"/>
          <w:lang w:val="en-US"/>
        </w:rPr>
        <w:t xml:space="preserve"> fiscal year, 42 employees (out of a total of 142 assessed) were identified as performing above adequate or outstanding and had their performance recognized through the Applause Program.</w:t>
      </w:r>
    </w:p>
    <w:p w14:paraId="19996AAC" w14:textId="2D9E063A" w:rsidR="00361B70" w:rsidRDefault="00361B70">
      <w:pPr>
        <w:rPr>
          <w:rFonts w:cs="Arial"/>
          <w:color w:val="000000"/>
          <w:szCs w:val="18"/>
          <w:lang w:val="en-US"/>
        </w:rPr>
      </w:pPr>
      <w:r>
        <w:rPr>
          <w:rFonts w:cs="Arial"/>
          <w:color w:val="000000"/>
          <w:szCs w:val="18"/>
          <w:lang w:val="en-US"/>
        </w:rPr>
        <w:br w:type="page"/>
      </w:r>
    </w:p>
    <w:p w14:paraId="44E8A229" w14:textId="77777777" w:rsidR="00EF771D" w:rsidRDefault="004343CB" w:rsidP="00EF771D">
      <w:pPr>
        <w:spacing w:before="120" w:after="120"/>
        <w:jc w:val="both"/>
        <w:rPr>
          <w:rFonts w:cs="Arial"/>
          <w:color w:val="000000"/>
          <w:szCs w:val="18"/>
        </w:rPr>
      </w:pPr>
      <w:r>
        <w:rPr>
          <w:rFonts w:cs="Arial"/>
          <w:color w:val="000000"/>
          <w:szCs w:val="18"/>
          <w:lang w:val="en-US"/>
        </w:rPr>
        <w:lastRenderedPageBreak/>
        <w:t>Below, we show the investments made in the year:</w:t>
      </w:r>
    </w:p>
    <w:p w14:paraId="2BA1D7D6" w14:textId="7F6FB8B2" w:rsidR="00EF771D" w:rsidRDefault="004343CB" w:rsidP="00EF771D">
      <w:pPr>
        <w:pStyle w:val="01-TtulodeNota"/>
        <w:rPr>
          <w:b w:val="0"/>
          <w:sz w:val="14"/>
        </w:rPr>
      </w:pPr>
      <w:r>
        <w:rPr>
          <w:rFonts w:cs="Arial"/>
          <w:b w:val="0"/>
          <w:sz w:val="14"/>
          <w:szCs w:val="14"/>
          <w:lang w:val="en-US"/>
        </w:rPr>
        <w:t xml:space="preserve">Table </w:t>
      </w:r>
      <w:r>
        <w:rPr>
          <w:rFonts w:cs="Arial"/>
          <w:b w:val="0"/>
          <w:sz w:val="14"/>
          <w:szCs w:val="14"/>
        </w:rPr>
        <w:fldChar w:fldCharType="begin"/>
      </w:r>
      <w:r>
        <w:rPr>
          <w:rFonts w:cs="Arial"/>
          <w:b w:val="0"/>
          <w:sz w:val="14"/>
          <w:szCs w:val="14"/>
          <w:lang w:val="en-US"/>
        </w:rPr>
        <w:instrText xml:space="preserve"> SEQ Tabela \* ARABIC </w:instrText>
      </w:r>
      <w:r>
        <w:rPr>
          <w:rFonts w:cs="Arial"/>
          <w:b w:val="0"/>
          <w:sz w:val="14"/>
          <w:szCs w:val="14"/>
        </w:rPr>
        <w:fldChar w:fldCharType="separate"/>
      </w:r>
      <w:r>
        <w:rPr>
          <w:rFonts w:cs="Arial"/>
          <w:b w:val="0"/>
          <w:sz w:val="14"/>
          <w:szCs w:val="14"/>
          <w:lang w:val="en-US"/>
        </w:rPr>
        <w:t>2</w:t>
      </w:r>
      <w:r>
        <w:rPr>
          <w:rFonts w:cs="Arial"/>
          <w:b w:val="0"/>
          <w:noProof/>
          <w:sz w:val="14"/>
          <w:szCs w:val="14"/>
        </w:rPr>
        <w:fldChar w:fldCharType="end"/>
      </w:r>
      <w:r>
        <w:rPr>
          <w:rFonts w:cs="Arial"/>
          <w:b w:val="0"/>
          <w:sz w:val="14"/>
          <w:szCs w:val="14"/>
          <w:lang w:val="en-US"/>
        </w:rPr>
        <w:t xml:space="preserve"> – Human Capital – Investment</w:t>
      </w:r>
      <w:r w:rsidR="00271ED1">
        <w:rPr>
          <w:rFonts w:cs="Arial"/>
          <w:b w:val="0"/>
          <w:sz w:val="14"/>
          <w:szCs w:val="14"/>
          <w:lang w:val="en-US"/>
        </w:rPr>
        <w:t xml:space="preserve"> (consolidated view)</w:t>
      </w:r>
    </w:p>
    <w:tbl>
      <w:tblPr>
        <w:tblStyle w:val="TabeladeLista6Colorida-nfase5"/>
        <w:tblW w:w="9639" w:type="dxa"/>
        <w:tblLook w:val="04A0" w:firstRow="1" w:lastRow="0" w:firstColumn="1" w:lastColumn="0" w:noHBand="0" w:noVBand="1"/>
      </w:tblPr>
      <w:tblGrid>
        <w:gridCol w:w="4063"/>
        <w:gridCol w:w="1859"/>
        <w:gridCol w:w="1859"/>
        <w:gridCol w:w="1858"/>
      </w:tblGrid>
      <w:tr w:rsidR="00592918" w14:paraId="6D0994E9" w14:textId="77777777" w:rsidTr="0059291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7AE1F784" w14:textId="510DBBA5" w:rsidR="00EF771D" w:rsidRDefault="00271ED1">
            <w:pPr>
              <w:pStyle w:val="08-Tabelageral"/>
              <w:jc w:val="left"/>
              <w:rPr>
                <w:rFonts w:cs="Arial"/>
                <w:lang w:eastAsia="en-US"/>
              </w:rPr>
            </w:pPr>
            <w:r>
              <w:rPr>
                <w:rFonts w:cs="Arial"/>
                <w:lang w:eastAsia="en-US"/>
              </w:rPr>
              <w:t>BRL thousand</w:t>
            </w:r>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49E18DCC" w14:textId="77777777" w:rsidR="00EF771D" w:rsidRDefault="004343C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val="en-US" w:eastAsia="en-US"/>
              </w:rPr>
              <w:t>Annual Flow</w:t>
            </w:r>
          </w:p>
        </w:tc>
      </w:tr>
      <w:tr w:rsidR="00592918" w14:paraId="2F1A2FFE"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23A2ABA1" w14:textId="77777777" w:rsidR="00EF771D" w:rsidRDefault="00EF771D">
            <w:pPr>
              <w:pStyle w:val="08-Tabelageral"/>
              <w:jc w:val="left"/>
              <w:rPr>
                <w:rFonts w:cs="Arial"/>
                <w:szCs w:val="14"/>
                <w:lang w:eastAsia="en-US"/>
              </w:rPr>
            </w:pPr>
          </w:p>
        </w:tc>
        <w:tc>
          <w:tcPr>
            <w:tcW w:w="1859" w:type="dxa"/>
            <w:tcBorders>
              <w:top w:val="nil"/>
              <w:left w:val="nil"/>
              <w:bottom w:val="single" w:sz="2" w:space="0" w:color="8EAADB" w:themeColor="accent5" w:themeTint="99"/>
              <w:right w:val="nil"/>
            </w:tcBorders>
            <w:vAlign w:val="center"/>
            <w:hideMark/>
          </w:tcPr>
          <w:p w14:paraId="329EF211" w14:textId="77777777" w:rsidR="00EF771D" w:rsidRDefault="004343C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val="en-US" w:eastAsia="en-US"/>
              </w:rPr>
              <w:t>2021</w:t>
            </w:r>
          </w:p>
        </w:tc>
        <w:tc>
          <w:tcPr>
            <w:tcW w:w="1859" w:type="dxa"/>
            <w:tcBorders>
              <w:top w:val="nil"/>
              <w:left w:val="nil"/>
              <w:bottom w:val="single" w:sz="2" w:space="0" w:color="8EAADB" w:themeColor="accent5" w:themeTint="99"/>
              <w:right w:val="nil"/>
            </w:tcBorders>
            <w:vAlign w:val="center"/>
            <w:hideMark/>
          </w:tcPr>
          <w:p w14:paraId="16B940F5" w14:textId="77777777" w:rsidR="00EF771D" w:rsidRDefault="004343C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Pr>
                <w:rFonts w:cs="Arial"/>
                <w:b/>
                <w:lang w:val="en-US" w:eastAsia="en-US"/>
              </w:rPr>
              <w:t>2020</w:t>
            </w:r>
            <w:r>
              <w:rPr>
                <w:rFonts w:cs="Arial"/>
                <w:b/>
                <w:vertAlign w:val="superscript"/>
                <w:lang w:val="en-US" w:eastAsia="en-US"/>
              </w:rPr>
              <w:t>1</w:t>
            </w:r>
          </w:p>
        </w:tc>
        <w:tc>
          <w:tcPr>
            <w:tcW w:w="1858" w:type="dxa"/>
            <w:tcBorders>
              <w:top w:val="nil"/>
              <w:left w:val="nil"/>
              <w:bottom w:val="single" w:sz="2" w:space="0" w:color="8EAADB" w:themeColor="accent5" w:themeTint="99"/>
              <w:right w:val="nil"/>
            </w:tcBorders>
            <w:vAlign w:val="center"/>
            <w:hideMark/>
          </w:tcPr>
          <w:p w14:paraId="5BFDB51E"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val="en-US" w:eastAsia="en-US"/>
              </w:rPr>
              <w:t>2019</w:t>
            </w:r>
          </w:p>
        </w:tc>
      </w:tr>
      <w:tr w:rsidR="008778E7" w14:paraId="1D891410" w14:textId="77777777" w:rsidTr="00592918">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vAlign w:val="center"/>
            <w:hideMark/>
          </w:tcPr>
          <w:p w14:paraId="1AAFF2ED" w14:textId="77777777" w:rsidR="008778E7" w:rsidRDefault="008778E7" w:rsidP="008778E7">
            <w:pPr>
              <w:pStyle w:val="08-Tabelageral"/>
              <w:jc w:val="left"/>
              <w:rPr>
                <w:rFonts w:cs="Arial"/>
                <w:snapToGrid w:val="0"/>
                <w:color w:val="000000"/>
                <w:lang w:eastAsia="en-US"/>
              </w:rPr>
            </w:pPr>
            <w:r>
              <w:rPr>
                <w:color w:val="000000"/>
                <w:lang w:val="en-US" w:eastAsia="en-US"/>
              </w:rPr>
              <w:t>Investment in People</w:t>
            </w:r>
          </w:p>
        </w:tc>
        <w:tc>
          <w:tcPr>
            <w:tcW w:w="1859" w:type="dxa"/>
            <w:tcBorders>
              <w:top w:val="single" w:sz="2" w:space="0" w:color="8EAADB" w:themeColor="accent5" w:themeTint="99"/>
              <w:left w:val="nil"/>
              <w:bottom w:val="nil"/>
              <w:right w:val="nil"/>
            </w:tcBorders>
            <w:hideMark/>
          </w:tcPr>
          <w:p w14:paraId="6B0724CB" w14:textId="020F0A3E" w:rsidR="008778E7" w:rsidRPr="008778E7"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b/>
                <w:bCs/>
                <w:color w:val="000000"/>
                <w:highlight w:val="yellow"/>
                <w:lang w:eastAsia="en-US"/>
              </w:rPr>
            </w:pPr>
            <w:r w:rsidRPr="008778E7">
              <w:rPr>
                <w:b/>
                <w:bCs/>
              </w:rPr>
              <w:t xml:space="preserve"> 57</w:t>
            </w:r>
            <w:r>
              <w:rPr>
                <w:b/>
                <w:bCs/>
              </w:rPr>
              <w:t>,</w:t>
            </w:r>
            <w:r w:rsidRPr="008778E7">
              <w:rPr>
                <w:b/>
                <w:bCs/>
              </w:rPr>
              <w:t xml:space="preserve">638 </w:t>
            </w:r>
          </w:p>
        </w:tc>
        <w:tc>
          <w:tcPr>
            <w:tcW w:w="1859" w:type="dxa"/>
            <w:tcBorders>
              <w:top w:val="single" w:sz="2" w:space="0" w:color="8EAADB" w:themeColor="accent5" w:themeTint="99"/>
              <w:left w:val="nil"/>
              <w:bottom w:val="nil"/>
              <w:right w:val="nil"/>
            </w:tcBorders>
            <w:hideMark/>
          </w:tcPr>
          <w:p w14:paraId="0C1B7084" w14:textId="65B51D3D" w:rsidR="008778E7" w:rsidRPr="008778E7"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8778E7">
              <w:rPr>
                <w:b/>
                <w:bCs/>
              </w:rPr>
              <w:t xml:space="preserve"> 58</w:t>
            </w:r>
            <w:r>
              <w:rPr>
                <w:b/>
                <w:bCs/>
              </w:rPr>
              <w:t>,</w:t>
            </w:r>
            <w:r w:rsidRPr="008778E7">
              <w:rPr>
                <w:b/>
                <w:bCs/>
              </w:rPr>
              <w:t xml:space="preserve">021 </w:t>
            </w:r>
          </w:p>
        </w:tc>
        <w:tc>
          <w:tcPr>
            <w:tcW w:w="1858" w:type="dxa"/>
            <w:tcBorders>
              <w:top w:val="single" w:sz="2" w:space="0" w:color="8EAADB" w:themeColor="accent5" w:themeTint="99"/>
              <w:left w:val="nil"/>
              <w:bottom w:val="nil"/>
              <w:right w:val="nil"/>
            </w:tcBorders>
            <w:hideMark/>
          </w:tcPr>
          <w:p w14:paraId="13B839AB" w14:textId="6DE453EF" w:rsidR="008778E7" w:rsidRPr="008778E7"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8778E7">
              <w:rPr>
                <w:b/>
                <w:bCs/>
              </w:rPr>
              <w:t xml:space="preserve"> 53</w:t>
            </w:r>
            <w:r>
              <w:rPr>
                <w:b/>
                <w:bCs/>
              </w:rPr>
              <w:t>,</w:t>
            </w:r>
            <w:r w:rsidRPr="008778E7">
              <w:rPr>
                <w:b/>
                <w:bCs/>
              </w:rPr>
              <w:t xml:space="preserve">827 </w:t>
            </w:r>
          </w:p>
        </w:tc>
      </w:tr>
      <w:tr w:rsidR="008778E7" w14:paraId="4DA54ED6"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2ED37378" w14:textId="77777777" w:rsidR="008778E7" w:rsidRDefault="008778E7" w:rsidP="008778E7">
            <w:pPr>
              <w:pStyle w:val="08-Tabelageral"/>
              <w:ind w:left="113"/>
              <w:jc w:val="left"/>
              <w:rPr>
                <w:rFonts w:cs="Arial"/>
                <w:snapToGrid w:val="0"/>
                <w:color w:val="000000"/>
                <w:lang w:eastAsia="en-US"/>
              </w:rPr>
            </w:pPr>
            <w:r>
              <w:rPr>
                <w:b w:val="0"/>
                <w:color w:val="000000"/>
                <w:lang w:val="en-US" w:eastAsia="en-US"/>
              </w:rPr>
              <w:t>Payroll²</w:t>
            </w:r>
          </w:p>
        </w:tc>
        <w:tc>
          <w:tcPr>
            <w:tcW w:w="1859" w:type="dxa"/>
            <w:tcBorders>
              <w:top w:val="nil"/>
              <w:left w:val="nil"/>
              <w:bottom w:val="nil"/>
              <w:right w:val="nil"/>
            </w:tcBorders>
            <w:hideMark/>
          </w:tcPr>
          <w:p w14:paraId="01018B47" w14:textId="7C7C6E6A" w:rsidR="008778E7" w:rsidRPr="00BC0EBE" w:rsidRDefault="008778E7" w:rsidP="008778E7">
            <w:pPr>
              <w:pStyle w:val="08-Tabelageral"/>
              <w:cnfStyle w:val="000000100000" w:firstRow="0" w:lastRow="0" w:firstColumn="0" w:lastColumn="0" w:oddVBand="0" w:evenVBand="0" w:oddHBand="1" w:evenHBand="0" w:firstRowFirstColumn="0" w:firstRowLastColumn="0" w:lastRowFirstColumn="0" w:lastRowLastColumn="0"/>
              <w:rPr>
                <w:color w:val="000000"/>
                <w:highlight w:val="yellow"/>
                <w:lang w:eastAsia="en-US"/>
              </w:rPr>
            </w:pPr>
            <w:r w:rsidRPr="00440332">
              <w:t xml:space="preserve"> 51</w:t>
            </w:r>
            <w:r>
              <w:t>,</w:t>
            </w:r>
            <w:r w:rsidRPr="00440332">
              <w:t xml:space="preserve">887 </w:t>
            </w:r>
          </w:p>
        </w:tc>
        <w:tc>
          <w:tcPr>
            <w:tcW w:w="1859" w:type="dxa"/>
            <w:tcBorders>
              <w:top w:val="nil"/>
              <w:left w:val="nil"/>
              <w:bottom w:val="nil"/>
              <w:right w:val="nil"/>
            </w:tcBorders>
            <w:hideMark/>
          </w:tcPr>
          <w:p w14:paraId="3348DD9D" w14:textId="69E9DD92" w:rsidR="008778E7" w:rsidRDefault="008778E7" w:rsidP="008778E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440332">
              <w:t xml:space="preserve"> 52</w:t>
            </w:r>
            <w:r>
              <w:t>,</w:t>
            </w:r>
            <w:r w:rsidRPr="00440332">
              <w:t xml:space="preserve">130 </w:t>
            </w:r>
          </w:p>
        </w:tc>
        <w:tc>
          <w:tcPr>
            <w:tcW w:w="1858" w:type="dxa"/>
            <w:tcBorders>
              <w:top w:val="nil"/>
              <w:left w:val="nil"/>
              <w:bottom w:val="nil"/>
              <w:right w:val="nil"/>
            </w:tcBorders>
            <w:hideMark/>
          </w:tcPr>
          <w:p w14:paraId="0D6A9A12" w14:textId="5562DB8D" w:rsidR="008778E7" w:rsidRDefault="008778E7" w:rsidP="008778E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440332">
              <w:t xml:space="preserve"> 48</w:t>
            </w:r>
            <w:r>
              <w:t>,</w:t>
            </w:r>
            <w:r w:rsidRPr="00440332">
              <w:t xml:space="preserve">959 </w:t>
            </w:r>
          </w:p>
        </w:tc>
      </w:tr>
      <w:tr w:rsidR="008778E7" w14:paraId="1C343492"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59CE42F7" w14:textId="77777777" w:rsidR="008778E7" w:rsidRDefault="008778E7" w:rsidP="008778E7">
            <w:pPr>
              <w:pStyle w:val="08-Tabelageral"/>
              <w:ind w:left="113"/>
              <w:jc w:val="left"/>
              <w:rPr>
                <w:rFonts w:cs="Arial"/>
                <w:snapToGrid w:val="0"/>
                <w:color w:val="000000"/>
                <w:lang w:eastAsia="en-US"/>
              </w:rPr>
            </w:pPr>
            <w:r>
              <w:rPr>
                <w:b w:val="0"/>
                <w:color w:val="000000"/>
                <w:lang w:val="en-US" w:eastAsia="en-US"/>
              </w:rPr>
              <w:t>Supplementary pension plan</w:t>
            </w:r>
          </w:p>
        </w:tc>
        <w:tc>
          <w:tcPr>
            <w:tcW w:w="1859" w:type="dxa"/>
            <w:tcBorders>
              <w:top w:val="nil"/>
              <w:left w:val="nil"/>
              <w:bottom w:val="nil"/>
              <w:right w:val="nil"/>
            </w:tcBorders>
            <w:hideMark/>
          </w:tcPr>
          <w:p w14:paraId="58EBF05F" w14:textId="6F1B60C8" w:rsidR="008778E7" w:rsidRPr="00BC0EBE"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color w:val="000000"/>
                <w:highlight w:val="yellow"/>
                <w:lang w:eastAsia="en-US"/>
              </w:rPr>
            </w:pPr>
            <w:r w:rsidRPr="00440332">
              <w:t xml:space="preserve"> 2</w:t>
            </w:r>
            <w:r>
              <w:t>,</w:t>
            </w:r>
            <w:r w:rsidRPr="00440332">
              <w:t xml:space="preserve">985 </w:t>
            </w:r>
          </w:p>
        </w:tc>
        <w:tc>
          <w:tcPr>
            <w:tcW w:w="1859" w:type="dxa"/>
            <w:tcBorders>
              <w:top w:val="nil"/>
              <w:left w:val="nil"/>
              <w:bottom w:val="nil"/>
              <w:right w:val="nil"/>
            </w:tcBorders>
            <w:hideMark/>
          </w:tcPr>
          <w:p w14:paraId="6E7142E7" w14:textId="69ED44A4" w:rsidR="008778E7"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440332">
              <w:t xml:space="preserve"> 2</w:t>
            </w:r>
            <w:r>
              <w:t>,</w:t>
            </w:r>
            <w:r w:rsidRPr="00440332">
              <w:t xml:space="preserve">865 </w:t>
            </w:r>
          </w:p>
        </w:tc>
        <w:tc>
          <w:tcPr>
            <w:tcW w:w="1858" w:type="dxa"/>
            <w:tcBorders>
              <w:top w:val="nil"/>
              <w:left w:val="nil"/>
              <w:bottom w:val="nil"/>
              <w:right w:val="nil"/>
            </w:tcBorders>
            <w:hideMark/>
          </w:tcPr>
          <w:p w14:paraId="0A208252" w14:textId="18F470F3" w:rsidR="008778E7"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440332">
              <w:t xml:space="preserve"> 2</w:t>
            </w:r>
            <w:r>
              <w:t>,</w:t>
            </w:r>
            <w:r w:rsidRPr="00440332">
              <w:t xml:space="preserve">642 </w:t>
            </w:r>
          </w:p>
        </w:tc>
      </w:tr>
      <w:tr w:rsidR="008778E7" w14:paraId="781FA666"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19D18209" w14:textId="77777777" w:rsidR="008778E7" w:rsidRDefault="008778E7" w:rsidP="008778E7">
            <w:pPr>
              <w:pStyle w:val="08-Tabelageral"/>
              <w:ind w:left="113"/>
              <w:jc w:val="left"/>
              <w:rPr>
                <w:rFonts w:cs="Arial"/>
                <w:snapToGrid w:val="0"/>
                <w:color w:val="000000"/>
                <w:lang w:eastAsia="en-US"/>
              </w:rPr>
            </w:pPr>
            <w:r>
              <w:rPr>
                <w:b w:val="0"/>
                <w:color w:val="000000"/>
                <w:lang w:val="en-US" w:eastAsia="en-US"/>
              </w:rPr>
              <w:t>Health plan</w:t>
            </w:r>
          </w:p>
        </w:tc>
        <w:tc>
          <w:tcPr>
            <w:tcW w:w="1859" w:type="dxa"/>
            <w:tcBorders>
              <w:top w:val="nil"/>
              <w:left w:val="nil"/>
              <w:bottom w:val="nil"/>
              <w:right w:val="nil"/>
            </w:tcBorders>
            <w:hideMark/>
          </w:tcPr>
          <w:p w14:paraId="15764134" w14:textId="67D97507" w:rsidR="008778E7" w:rsidRPr="00BC0EBE" w:rsidRDefault="008778E7" w:rsidP="008778E7">
            <w:pPr>
              <w:pStyle w:val="08-Tabelageral"/>
              <w:cnfStyle w:val="000000100000" w:firstRow="0" w:lastRow="0" w:firstColumn="0" w:lastColumn="0" w:oddVBand="0" w:evenVBand="0" w:oddHBand="1" w:evenHBand="0" w:firstRowFirstColumn="0" w:firstRowLastColumn="0" w:lastRowFirstColumn="0" w:lastRowLastColumn="0"/>
              <w:rPr>
                <w:highlight w:val="yellow"/>
                <w:lang w:eastAsia="en-US"/>
              </w:rPr>
            </w:pPr>
            <w:r w:rsidRPr="00440332">
              <w:t xml:space="preserve"> 2</w:t>
            </w:r>
            <w:r>
              <w:t>,</w:t>
            </w:r>
            <w:r w:rsidRPr="00440332">
              <w:t xml:space="preserve">128 </w:t>
            </w:r>
          </w:p>
        </w:tc>
        <w:tc>
          <w:tcPr>
            <w:tcW w:w="1859" w:type="dxa"/>
            <w:tcBorders>
              <w:top w:val="nil"/>
              <w:left w:val="nil"/>
              <w:bottom w:val="nil"/>
              <w:right w:val="nil"/>
            </w:tcBorders>
            <w:hideMark/>
          </w:tcPr>
          <w:p w14:paraId="74B028A0" w14:textId="64E4AD29" w:rsidR="008778E7" w:rsidRDefault="008778E7" w:rsidP="008778E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440332">
              <w:t xml:space="preserve"> 2</w:t>
            </w:r>
            <w:r>
              <w:t>,</w:t>
            </w:r>
            <w:r w:rsidRPr="00440332">
              <w:t xml:space="preserve">192 </w:t>
            </w:r>
          </w:p>
        </w:tc>
        <w:tc>
          <w:tcPr>
            <w:tcW w:w="1858" w:type="dxa"/>
            <w:tcBorders>
              <w:top w:val="nil"/>
              <w:left w:val="nil"/>
              <w:bottom w:val="nil"/>
              <w:right w:val="nil"/>
            </w:tcBorders>
            <w:hideMark/>
          </w:tcPr>
          <w:p w14:paraId="25137FEE" w14:textId="6449B376" w:rsidR="008778E7" w:rsidRDefault="008778E7" w:rsidP="008778E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440332">
              <w:t xml:space="preserve"> 1</w:t>
            </w:r>
            <w:r>
              <w:t>,</w:t>
            </w:r>
            <w:r w:rsidRPr="00440332">
              <w:t xml:space="preserve">249 </w:t>
            </w:r>
          </w:p>
        </w:tc>
      </w:tr>
      <w:tr w:rsidR="008778E7" w14:paraId="24F04AB6"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9CC2E5" w:themeColor="accent1" w:themeTint="99"/>
              <w:right w:val="nil"/>
            </w:tcBorders>
            <w:vAlign w:val="center"/>
            <w:hideMark/>
          </w:tcPr>
          <w:p w14:paraId="713F8832" w14:textId="77777777" w:rsidR="008778E7" w:rsidRDefault="008778E7" w:rsidP="008778E7">
            <w:pPr>
              <w:pStyle w:val="08-Tabelageral"/>
              <w:ind w:left="113"/>
              <w:jc w:val="left"/>
              <w:rPr>
                <w:rFonts w:cs="Arial"/>
                <w:snapToGrid w:val="0"/>
                <w:color w:val="000000"/>
                <w:lang w:eastAsia="en-US"/>
              </w:rPr>
            </w:pPr>
            <w:r>
              <w:rPr>
                <w:b w:val="0"/>
                <w:color w:val="000000"/>
                <w:lang w:val="en-US" w:eastAsia="en-US"/>
              </w:rPr>
              <w:t>Education (Scholarships and Training)</w:t>
            </w:r>
          </w:p>
        </w:tc>
        <w:tc>
          <w:tcPr>
            <w:tcW w:w="1859" w:type="dxa"/>
            <w:tcBorders>
              <w:top w:val="nil"/>
              <w:left w:val="nil"/>
              <w:bottom w:val="single" w:sz="2" w:space="0" w:color="9CC2E5" w:themeColor="accent1" w:themeTint="99"/>
              <w:right w:val="nil"/>
            </w:tcBorders>
            <w:hideMark/>
          </w:tcPr>
          <w:p w14:paraId="2D58CACB" w14:textId="7C8BEF82" w:rsidR="008778E7" w:rsidRPr="00BC0EBE"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color w:val="000000"/>
                <w:highlight w:val="yellow"/>
                <w:lang w:eastAsia="en-US"/>
              </w:rPr>
            </w:pPr>
            <w:r w:rsidRPr="00440332">
              <w:t xml:space="preserve"> 638 </w:t>
            </w:r>
          </w:p>
        </w:tc>
        <w:tc>
          <w:tcPr>
            <w:tcW w:w="1859" w:type="dxa"/>
            <w:tcBorders>
              <w:top w:val="nil"/>
              <w:left w:val="nil"/>
              <w:bottom w:val="single" w:sz="2" w:space="0" w:color="9CC2E5" w:themeColor="accent1" w:themeTint="99"/>
              <w:right w:val="nil"/>
            </w:tcBorders>
            <w:hideMark/>
          </w:tcPr>
          <w:p w14:paraId="4268A57D" w14:textId="2F392945" w:rsidR="008778E7"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440332">
              <w:t xml:space="preserve"> 834 </w:t>
            </w:r>
          </w:p>
        </w:tc>
        <w:tc>
          <w:tcPr>
            <w:tcW w:w="1858" w:type="dxa"/>
            <w:tcBorders>
              <w:top w:val="nil"/>
              <w:left w:val="nil"/>
              <w:bottom w:val="single" w:sz="2" w:space="0" w:color="9CC2E5" w:themeColor="accent1" w:themeTint="99"/>
              <w:right w:val="nil"/>
            </w:tcBorders>
            <w:hideMark/>
          </w:tcPr>
          <w:p w14:paraId="43A17AC9" w14:textId="3D8F88BE" w:rsidR="008778E7" w:rsidRDefault="008778E7" w:rsidP="008778E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440332">
              <w:t xml:space="preserve"> 978 </w:t>
            </w:r>
          </w:p>
        </w:tc>
      </w:tr>
    </w:tbl>
    <w:p w14:paraId="316EEBDB" w14:textId="77777777" w:rsidR="00EF771D" w:rsidRDefault="004343CB" w:rsidP="00EF771D">
      <w:pPr>
        <w:pStyle w:val="07-Legenda"/>
        <w:tabs>
          <w:tab w:val="left" w:pos="142"/>
        </w:tabs>
        <w:rPr>
          <w:color w:val="000000"/>
        </w:rPr>
      </w:pPr>
      <w:r>
        <w:rPr>
          <w:color w:val="000000"/>
          <w:lang w:val="en-US"/>
        </w:rPr>
        <w:t>(1)</w:t>
      </w:r>
      <w:r>
        <w:rPr>
          <w:color w:val="000000"/>
          <w:lang w:val="en-US"/>
        </w:rPr>
        <w:tab/>
        <w:t xml:space="preserve">As of 2020, some of the amounts referring to the supplementary pension plan and health plan, previously accounted for in the Payroll line, started to be reported separately. Additionally, the Payroll line started to include amounts related to food and meal allowance. </w:t>
      </w:r>
    </w:p>
    <w:p w14:paraId="075AEBD5" w14:textId="77777777" w:rsidR="00EF771D" w:rsidRDefault="004343CB" w:rsidP="00EF771D">
      <w:pPr>
        <w:pStyle w:val="07-Legenda"/>
        <w:rPr>
          <w:color w:val="000000"/>
        </w:rPr>
      </w:pPr>
      <w:r>
        <w:rPr>
          <w:color w:val="000000"/>
          <w:lang w:val="en-US"/>
        </w:rPr>
        <w:t xml:space="preserve">(2) </w:t>
      </w:r>
      <w:r>
        <w:rPr>
          <w:color w:val="000000"/>
          <w:lang w:val="en-US"/>
        </w:rPr>
        <w:tab/>
        <w:t>Expenses with earnings, benefits and social charges, excluding amounts referring to the Health Plan and Supplementary Pension Plan.</w:t>
      </w:r>
    </w:p>
    <w:p w14:paraId="4615F17E" w14:textId="77777777" w:rsidR="00EF771D" w:rsidRPr="00361B70" w:rsidRDefault="00EF771D" w:rsidP="00361B70">
      <w:pPr>
        <w:tabs>
          <w:tab w:val="left" w:pos="1175"/>
        </w:tabs>
        <w:spacing w:after="0"/>
        <w:jc w:val="both"/>
        <w:rPr>
          <w:rFonts w:cs="Arial"/>
          <w:color w:val="000000"/>
          <w:szCs w:val="18"/>
        </w:rPr>
      </w:pPr>
    </w:p>
    <w:p w14:paraId="52DE4192" w14:textId="77777777" w:rsidR="00EF771D" w:rsidRPr="00597253" w:rsidRDefault="004343CB" w:rsidP="00597253">
      <w:pPr>
        <w:pStyle w:val="03-SubttulodeNota"/>
        <w:spacing w:line="276" w:lineRule="auto"/>
        <w:rPr>
          <w:b w:val="0"/>
          <w:bCs/>
          <w:color w:val="000000" w:themeColor="text1"/>
          <w:u w:val="single"/>
        </w:rPr>
      </w:pPr>
      <w:r w:rsidRPr="00597253">
        <w:rPr>
          <w:b w:val="0"/>
          <w:bCs/>
          <w:color w:val="000000" w:themeColor="text1"/>
          <w:u w:val="single"/>
          <w:lang w:val="en-US"/>
        </w:rPr>
        <w:t>Diversity</w:t>
      </w:r>
    </w:p>
    <w:p w14:paraId="33864CDD" w14:textId="58B5AD09" w:rsidR="00EF771D" w:rsidRDefault="004343CB" w:rsidP="00EF771D">
      <w:pPr>
        <w:tabs>
          <w:tab w:val="left" w:pos="1175"/>
        </w:tabs>
        <w:spacing w:before="120" w:after="120"/>
        <w:jc w:val="both"/>
        <w:rPr>
          <w:rFonts w:cs="Arial"/>
          <w:color w:val="000000"/>
          <w:szCs w:val="18"/>
        </w:rPr>
      </w:pPr>
      <w:r>
        <w:rPr>
          <w:rFonts w:cs="Arial"/>
          <w:color w:val="000000"/>
          <w:szCs w:val="18"/>
          <w:lang w:val="en-US"/>
        </w:rPr>
        <w:t xml:space="preserve">Based on discussions that took place within the scope of BB Seguridade's ESG Forum, an agenda was proposed on diversity and equal opportunities for the BB Seguridade group, </w:t>
      </w:r>
      <w:r w:rsidR="009E5E2F">
        <w:rPr>
          <w:rFonts w:cs="Arial"/>
          <w:color w:val="000000"/>
          <w:szCs w:val="18"/>
          <w:lang w:val="en-US"/>
        </w:rPr>
        <w:t xml:space="preserve">respected </w:t>
      </w:r>
      <w:r>
        <w:rPr>
          <w:rFonts w:cs="Arial"/>
          <w:color w:val="000000"/>
          <w:szCs w:val="18"/>
          <w:lang w:val="en-US"/>
        </w:rPr>
        <w:t>the particularities of each company in the group and, at the same time, generate an identity on how the topic is handled in the Company. The proposed agenda, which will be implemented over the next few years, focuses on actions related to four pillars of diversity: (i) Gender; (ii) Ethnicity/Race; (iii) People with Disabilities (PwD); and (iv) LGBTQIA+.</w:t>
      </w:r>
    </w:p>
    <w:p w14:paraId="423F976C" w14:textId="065F177A" w:rsidR="00EF771D" w:rsidRDefault="004343CB" w:rsidP="00EF771D">
      <w:pPr>
        <w:tabs>
          <w:tab w:val="left" w:pos="1175"/>
        </w:tabs>
        <w:spacing w:before="120" w:after="120"/>
        <w:jc w:val="both"/>
        <w:rPr>
          <w:rFonts w:cs="Arial"/>
          <w:color w:val="000000"/>
          <w:szCs w:val="18"/>
        </w:rPr>
      </w:pPr>
      <w:r>
        <w:rPr>
          <w:rFonts w:cs="Arial"/>
          <w:color w:val="000000"/>
          <w:szCs w:val="18"/>
          <w:lang w:val="en-US"/>
        </w:rPr>
        <w:t xml:space="preserve">It is important to clarify that, at BB Seguridade, there is no distinction on the compensation for those who occupy the same function, respecting the </w:t>
      </w:r>
      <w:r w:rsidR="00211FF6">
        <w:rPr>
          <w:rFonts w:cs="Arial"/>
          <w:color w:val="000000"/>
          <w:szCs w:val="18"/>
          <w:lang w:val="en-US"/>
        </w:rPr>
        <w:t>equity</w:t>
      </w:r>
      <w:r>
        <w:rPr>
          <w:rFonts w:cs="Arial"/>
          <w:color w:val="000000"/>
          <w:szCs w:val="18"/>
          <w:lang w:val="en-US"/>
        </w:rPr>
        <w:t xml:space="preserve"> when establishing the salary policy.</w:t>
      </w:r>
    </w:p>
    <w:p w14:paraId="1CA0DB9C" w14:textId="77777777" w:rsidR="00EF771D" w:rsidRDefault="004343CB" w:rsidP="00EF771D">
      <w:pPr>
        <w:tabs>
          <w:tab w:val="left" w:pos="1175"/>
        </w:tabs>
        <w:spacing w:before="120" w:after="120"/>
        <w:jc w:val="both"/>
        <w:rPr>
          <w:rFonts w:cs="Arial"/>
          <w:color w:val="000000"/>
          <w:szCs w:val="18"/>
        </w:rPr>
      </w:pPr>
      <w:r>
        <w:rPr>
          <w:rFonts w:cs="Arial"/>
          <w:color w:val="000000"/>
          <w:szCs w:val="18"/>
          <w:lang w:val="en-US"/>
        </w:rPr>
        <w:t>In the field of corporate education, the Company makes use of the platform of BB's Corporate University, which has courses dealing with the topic, such as, for example, the Female Leadership course, whose main objective is to disseminate the strategic importance in promoting gender equity in the company. In 2021, there was an increase from 15% to 17% in the number of women in management roles compared to the previous year.</w:t>
      </w:r>
    </w:p>
    <w:p w14:paraId="6215AD30" w14:textId="77777777" w:rsidR="00EF771D" w:rsidRDefault="004343CB" w:rsidP="00EF771D">
      <w:pPr>
        <w:tabs>
          <w:tab w:val="left" w:pos="1175"/>
        </w:tabs>
        <w:spacing w:before="120" w:after="120"/>
        <w:jc w:val="both"/>
        <w:rPr>
          <w:rFonts w:cs="Arial"/>
          <w:color w:val="000000"/>
          <w:szCs w:val="18"/>
        </w:rPr>
      </w:pPr>
      <w:r>
        <w:rPr>
          <w:rFonts w:cs="Arial"/>
          <w:color w:val="000000"/>
          <w:szCs w:val="18"/>
          <w:lang w:val="en-US"/>
        </w:rPr>
        <w:t xml:space="preserve">Regarding the promotion of equal rights and fair treatment for the LGBTQIA+ public, the following practices are noteworthy: (i) the possibility of using the social name on the badge, business card, stamps and email for trans people; (ii) use of bathroom according to the employee's gender identity; (iii) simplification of procedures for the inclusion of dependents by same-sex union; and (iv) maternity leave for one of the spouses of parents of children generated by a surrogate. </w:t>
      </w:r>
    </w:p>
    <w:p w14:paraId="74A1E925" w14:textId="77777777" w:rsidR="00EF771D" w:rsidRDefault="004343CB" w:rsidP="00EF771D">
      <w:pPr>
        <w:tabs>
          <w:tab w:val="left" w:pos="1175"/>
        </w:tabs>
        <w:spacing w:before="120" w:after="120"/>
        <w:jc w:val="both"/>
        <w:rPr>
          <w:rFonts w:cs="Arial"/>
          <w:color w:val="000000"/>
          <w:szCs w:val="18"/>
        </w:rPr>
      </w:pPr>
      <w:r>
        <w:rPr>
          <w:rFonts w:cs="Arial"/>
          <w:color w:val="000000"/>
          <w:szCs w:val="18"/>
          <w:lang w:val="en-US"/>
        </w:rPr>
        <w:t>The inclusion of people with disabilities in BB Seguridade is also part of a set of actions aimed at promoting equal rights and citizenship. In this sense, BB promotes the adequacy of physical work environments and guidance of conduct for the reception of employees with disabilities.</w:t>
      </w:r>
    </w:p>
    <w:p w14:paraId="027A2110" w14:textId="77777777" w:rsidR="00EF771D" w:rsidRDefault="004343CB" w:rsidP="00EF771D">
      <w:pPr>
        <w:spacing w:before="120" w:after="120"/>
        <w:jc w:val="both"/>
        <w:rPr>
          <w:rFonts w:cs="Arial"/>
          <w:color w:val="000000"/>
          <w:szCs w:val="18"/>
        </w:rPr>
      </w:pPr>
      <w:r>
        <w:rPr>
          <w:rFonts w:cs="Arial"/>
          <w:color w:val="000000"/>
          <w:szCs w:val="18"/>
          <w:lang w:val="en-US"/>
        </w:rPr>
        <w:t>In line with all the aforementioned actions, BB Seguridade, in its policies, practices and culture, values the maintenance of personnel diversity. The table below summarizes the composition of BB Seguridade's associates:</w:t>
      </w:r>
    </w:p>
    <w:p w14:paraId="6896660A" w14:textId="77777777" w:rsidR="00EF771D" w:rsidRDefault="004343CB" w:rsidP="00EF771D">
      <w:pPr>
        <w:pStyle w:val="01-TtulodeNota"/>
        <w:rPr>
          <w:b w:val="0"/>
          <w:sz w:val="14"/>
        </w:rPr>
      </w:pPr>
      <w:r>
        <w:rPr>
          <w:rFonts w:cs="Arial"/>
          <w:b w:val="0"/>
          <w:sz w:val="14"/>
          <w:szCs w:val="14"/>
          <w:lang w:val="en-US"/>
        </w:rPr>
        <w:t>Table</w:t>
      </w:r>
      <w:r>
        <w:rPr>
          <w:rFonts w:cs="Arial"/>
          <w:b w:val="0"/>
          <w:sz w:val="14"/>
          <w:szCs w:val="14"/>
        </w:rPr>
        <w:fldChar w:fldCharType="begin"/>
      </w:r>
      <w:r>
        <w:rPr>
          <w:rFonts w:cs="Arial"/>
          <w:b w:val="0"/>
          <w:sz w:val="14"/>
          <w:szCs w:val="14"/>
          <w:lang w:val="en-US"/>
        </w:rPr>
        <w:instrText xml:space="preserve"> SEQ Tabela \* ARABIC </w:instrText>
      </w:r>
      <w:r>
        <w:rPr>
          <w:rFonts w:cs="Arial"/>
          <w:b w:val="0"/>
          <w:sz w:val="14"/>
          <w:szCs w:val="14"/>
        </w:rPr>
        <w:fldChar w:fldCharType="separate"/>
      </w:r>
      <w:r>
        <w:rPr>
          <w:rFonts w:cs="Arial"/>
          <w:b w:val="0"/>
          <w:sz w:val="14"/>
          <w:szCs w:val="14"/>
          <w:lang w:val="en-US"/>
        </w:rPr>
        <w:t>3</w:t>
      </w:r>
      <w:r>
        <w:rPr>
          <w:rFonts w:cs="Arial"/>
          <w:b w:val="0"/>
          <w:noProof/>
          <w:sz w:val="14"/>
          <w:szCs w:val="14"/>
        </w:rPr>
        <w:fldChar w:fldCharType="end"/>
      </w:r>
      <w:r>
        <w:rPr>
          <w:rFonts w:cs="Arial"/>
          <w:b w:val="0"/>
          <w:sz w:val="14"/>
          <w:szCs w:val="14"/>
          <w:lang w:val="en-US"/>
        </w:rPr>
        <w:t xml:space="preserve"> – Human Capital – Composition</w:t>
      </w:r>
    </w:p>
    <w:tbl>
      <w:tblPr>
        <w:tblStyle w:val="TabeladeLista6Colorida-nfase5"/>
        <w:tblW w:w="9639" w:type="dxa"/>
        <w:tblLook w:val="04A0" w:firstRow="1" w:lastRow="0" w:firstColumn="1" w:lastColumn="0" w:noHBand="0" w:noVBand="1"/>
      </w:tblPr>
      <w:tblGrid>
        <w:gridCol w:w="4063"/>
        <w:gridCol w:w="1859"/>
        <w:gridCol w:w="1859"/>
        <w:gridCol w:w="1858"/>
      </w:tblGrid>
      <w:tr w:rsidR="00592918" w14:paraId="4B55A119" w14:textId="77777777" w:rsidTr="0059291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6CD56D8A" w14:textId="4D5BCE85" w:rsidR="00EF771D" w:rsidRDefault="00EF771D">
            <w:pPr>
              <w:pStyle w:val="08-Tabelageral"/>
              <w:jc w:val="left"/>
              <w:rPr>
                <w:rFonts w:cs="Arial"/>
                <w:lang w:eastAsia="en-US"/>
              </w:rPr>
            </w:pPr>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52D83427" w14:textId="1852D062" w:rsidR="00EF771D" w:rsidRDefault="004343C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val="en-US" w:eastAsia="en-US"/>
              </w:rPr>
              <w:t>Annual</w:t>
            </w:r>
            <w:r w:rsidR="00271ED1">
              <w:rPr>
                <w:rFonts w:cs="Arial"/>
                <w:lang w:val="en-US" w:eastAsia="en-US"/>
              </w:rPr>
              <w:t xml:space="preserve"> Information</w:t>
            </w:r>
          </w:p>
        </w:tc>
      </w:tr>
      <w:tr w:rsidR="00592918" w14:paraId="483BFB02"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2F120942" w14:textId="77777777" w:rsidR="00EF771D" w:rsidRDefault="00EF771D">
            <w:pPr>
              <w:pStyle w:val="08-Tabelageral"/>
              <w:jc w:val="left"/>
              <w:rPr>
                <w:rFonts w:cs="Arial"/>
                <w:szCs w:val="14"/>
                <w:lang w:eastAsia="en-US"/>
              </w:rPr>
            </w:pPr>
          </w:p>
        </w:tc>
        <w:tc>
          <w:tcPr>
            <w:tcW w:w="1859" w:type="dxa"/>
            <w:tcBorders>
              <w:top w:val="nil"/>
              <w:left w:val="nil"/>
              <w:bottom w:val="single" w:sz="2" w:space="0" w:color="8EAADB" w:themeColor="accent5" w:themeTint="99"/>
              <w:right w:val="nil"/>
            </w:tcBorders>
            <w:vAlign w:val="center"/>
            <w:hideMark/>
          </w:tcPr>
          <w:p w14:paraId="61FA0643" w14:textId="77777777" w:rsidR="00EF771D" w:rsidRDefault="004343C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val="en-US" w:eastAsia="en-US"/>
              </w:rPr>
              <w:t>2021</w:t>
            </w:r>
          </w:p>
        </w:tc>
        <w:tc>
          <w:tcPr>
            <w:tcW w:w="1859" w:type="dxa"/>
            <w:tcBorders>
              <w:top w:val="nil"/>
              <w:left w:val="nil"/>
              <w:bottom w:val="single" w:sz="2" w:space="0" w:color="8EAADB" w:themeColor="accent5" w:themeTint="99"/>
              <w:right w:val="nil"/>
            </w:tcBorders>
            <w:vAlign w:val="center"/>
            <w:hideMark/>
          </w:tcPr>
          <w:p w14:paraId="4FCF17A6" w14:textId="77777777" w:rsidR="00EF771D" w:rsidRDefault="004343C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val="en-US" w:eastAsia="en-US"/>
              </w:rPr>
              <w:t>2020</w:t>
            </w:r>
          </w:p>
        </w:tc>
        <w:tc>
          <w:tcPr>
            <w:tcW w:w="1858" w:type="dxa"/>
            <w:tcBorders>
              <w:top w:val="nil"/>
              <w:left w:val="nil"/>
              <w:bottom w:val="single" w:sz="2" w:space="0" w:color="8EAADB" w:themeColor="accent5" w:themeTint="99"/>
              <w:right w:val="nil"/>
            </w:tcBorders>
            <w:vAlign w:val="center"/>
            <w:hideMark/>
          </w:tcPr>
          <w:p w14:paraId="56CB16F1"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val="en-US" w:eastAsia="en-US"/>
              </w:rPr>
              <w:t>2019</w:t>
            </w:r>
          </w:p>
        </w:tc>
      </w:tr>
      <w:tr w:rsidR="00592918" w14:paraId="29012CB8" w14:textId="77777777" w:rsidTr="00592918">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hideMark/>
          </w:tcPr>
          <w:p w14:paraId="4019654D" w14:textId="77777777" w:rsidR="00EF771D" w:rsidRDefault="004343CB">
            <w:pPr>
              <w:pStyle w:val="08-Tabelageral"/>
              <w:jc w:val="left"/>
              <w:rPr>
                <w:rFonts w:cs="Arial"/>
                <w:snapToGrid w:val="0"/>
                <w:color w:val="000000"/>
                <w:lang w:eastAsia="en-US"/>
              </w:rPr>
            </w:pPr>
            <w:r>
              <w:rPr>
                <w:color w:val="000000"/>
                <w:lang w:val="en-US" w:eastAsia="en-US"/>
              </w:rPr>
              <w:t>Number of associates</w:t>
            </w:r>
          </w:p>
        </w:tc>
        <w:tc>
          <w:tcPr>
            <w:tcW w:w="1859" w:type="dxa"/>
            <w:tcBorders>
              <w:top w:val="single" w:sz="2" w:space="0" w:color="8EAADB" w:themeColor="accent5" w:themeTint="99"/>
              <w:left w:val="nil"/>
              <w:bottom w:val="nil"/>
              <w:right w:val="nil"/>
            </w:tcBorders>
            <w:vAlign w:val="center"/>
          </w:tcPr>
          <w:p w14:paraId="29501231" w14:textId="77777777" w:rsidR="00EF771D" w:rsidRDefault="00EF771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c>
          <w:tcPr>
            <w:tcW w:w="1859" w:type="dxa"/>
            <w:tcBorders>
              <w:top w:val="single" w:sz="2" w:space="0" w:color="8EAADB" w:themeColor="accent5" w:themeTint="99"/>
              <w:left w:val="nil"/>
              <w:bottom w:val="nil"/>
              <w:right w:val="nil"/>
            </w:tcBorders>
            <w:vAlign w:val="center"/>
          </w:tcPr>
          <w:p w14:paraId="7FD6A5C2" w14:textId="77777777" w:rsidR="00EF771D" w:rsidRDefault="00EF771D">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1858" w:type="dxa"/>
            <w:tcBorders>
              <w:top w:val="single" w:sz="2" w:space="0" w:color="8EAADB" w:themeColor="accent5" w:themeTint="99"/>
              <w:left w:val="nil"/>
              <w:bottom w:val="nil"/>
              <w:right w:val="nil"/>
            </w:tcBorders>
            <w:vAlign w:val="center"/>
          </w:tcPr>
          <w:p w14:paraId="68A1FA03" w14:textId="77777777" w:rsidR="00EF771D" w:rsidRDefault="00EF771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r>
      <w:tr w:rsidR="00592918" w14:paraId="23607621"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2D1D4A57" w14:textId="77777777" w:rsidR="00EF771D" w:rsidRDefault="004343CB">
            <w:pPr>
              <w:pStyle w:val="08-Tabelageral"/>
              <w:ind w:left="113"/>
              <w:jc w:val="left"/>
              <w:rPr>
                <w:rFonts w:cs="Arial"/>
                <w:snapToGrid w:val="0"/>
                <w:color w:val="000000"/>
                <w:lang w:eastAsia="en-US"/>
              </w:rPr>
            </w:pPr>
            <w:r>
              <w:rPr>
                <w:b w:val="0"/>
                <w:color w:val="000000"/>
                <w:lang w:val="en-US" w:eastAsia="en-US"/>
              </w:rPr>
              <w:t>Employees</w:t>
            </w:r>
          </w:p>
        </w:tc>
        <w:tc>
          <w:tcPr>
            <w:tcW w:w="1859" w:type="dxa"/>
            <w:tcBorders>
              <w:top w:val="nil"/>
              <w:left w:val="nil"/>
              <w:bottom w:val="nil"/>
              <w:right w:val="nil"/>
            </w:tcBorders>
            <w:vAlign w:val="center"/>
            <w:hideMark/>
          </w:tcPr>
          <w:p w14:paraId="57B9A79F"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val="en-US" w:eastAsia="en-US"/>
              </w:rPr>
              <w:t>154</w:t>
            </w:r>
          </w:p>
        </w:tc>
        <w:tc>
          <w:tcPr>
            <w:tcW w:w="1859" w:type="dxa"/>
            <w:tcBorders>
              <w:top w:val="nil"/>
              <w:left w:val="nil"/>
              <w:bottom w:val="nil"/>
              <w:right w:val="nil"/>
            </w:tcBorders>
            <w:vAlign w:val="center"/>
            <w:hideMark/>
          </w:tcPr>
          <w:p w14:paraId="08606B90"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val="en-US" w:eastAsia="en-US"/>
              </w:rPr>
              <w:t>154</w:t>
            </w:r>
          </w:p>
        </w:tc>
        <w:tc>
          <w:tcPr>
            <w:tcW w:w="1858" w:type="dxa"/>
            <w:tcBorders>
              <w:top w:val="nil"/>
              <w:left w:val="nil"/>
              <w:bottom w:val="nil"/>
              <w:right w:val="nil"/>
            </w:tcBorders>
            <w:hideMark/>
          </w:tcPr>
          <w:p w14:paraId="760B1CE5"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val="en-US" w:eastAsia="en-US"/>
              </w:rPr>
              <w:t>161</w:t>
            </w:r>
          </w:p>
        </w:tc>
      </w:tr>
      <w:tr w:rsidR="00592918" w14:paraId="77EE8C52"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6A08A0F" w14:textId="77777777" w:rsidR="00EF771D" w:rsidRDefault="004343CB">
            <w:pPr>
              <w:pStyle w:val="08-Tabelageral"/>
              <w:ind w:left="113"/>
              <w:jc w:val="left"/>
              <w:rPr>
                <w:rFonts w:cs="Arial"/>
                <w:snapToGrid w:val="0"/>
                <w:color w:val="000000"/>
                <w:lang w:eastAsia="en-US"/>
              </w:rPr>
            </w:pPr>
            <w:r>
              <w:rPr>
                <w:b w:val="0"/>
                <w:color w:val="000000"/>
                <w:lang w:val="en-US" w:eastAsia="en-US"/>
              </w:rPr>
              <w:t>Contractors</w:t>
            </w:r>
          </w:p>
        </w:tc>
        <w:tc>
          <w:tcPr>
            <w:tcW w:w="1859" w:type="dxa"/>
            <w:tcBorders>
              <w:top w:val="nil"/>
              <w:left w:val="nil"/>
              <w:bottom w:val="nil"/>
              <w:right w:val="nil"/>
            </w:tcBorders>
            <w:vAlign w:val="center"/>
            <w:hideMark/>
          </w:tcPr>
          <w:p w14:paraId="17DD3286"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lang w:val="en-US" w:eastAsia="en-US"/>
              </w:rPr>
              <w:t>21</w:t>
            </w:r>
          </w:p>
        </w:tc>
        <w:tc>
          <w:tcPr>
            <w:tcW w:w="1859" w:type="dxa"/>
            <w:tcBorders>
              <w:top w:val="nil"/>
              <w:left w:val="nil"/>
              <w:bottom w:val="nil"/>
              <w:right w:val="nil"/>
            </w:tcBorders>
            <w:vAlign w:val="center"/>
            <w:hideMark/>
          </w:tcPr>
          <w:p w14:paraId="1BE806B0"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val="en-US" w:eastAsia="en-US"/>
              </w:rPr>
              <w:t>20</w:t>
            </w:r>
          </w:p>
        </w:tc>
        <w:tc>
          <w:tcPr>
            <w:tcW w:w="1858" w:type="dxa"/>
            <w:tcBorders>
              <w:top w:val="nil"/>
              <w:left w:val="nil"/>
              <w:bottom w:val="nil"/>
              <w:right w:val="nil"/>
            </w:tcBorders>
            <w:hideMark/>
          </w:tcPr>
          <w:p w14:paraId="2F5556C5"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val="en-US" w:eastAsia="en-US"/>
              </w:rPr>
              <w:t>31</w:t>
            </w:r>
          </w:p>
        </w:tc>
      </w:tr>
      <w:tr w:rsidR="00592918" w14:paraId="1116D7C4"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58A0DF1" w14:textId="77777777" w:rsidR="00EF771D" w:rsidRDefault="004343CB">
            <w:pPr>
              <w:pStyle w:val="08-Tabelageral"/>
              <w:ind w:left="113"/>
              <w:jc w:val="left"/>
              <w:rPr>
                <w:rFonts w:cs="Arial"/>
                <w:snapToGrid w:val="0"/>
                <w:color w:val="000000"/>
                <w:lang w:eastAsia="en-US"/>
              </w:rPr>
            </w:pPr>
            <w:r>
              <w:rPr>
                <w:b w:val="0"/>
                <w:color w:val="000000"/>
                <w:lang w:val="en-US" w:eastAsia="en-US"/>
              </w:rPr>
              <w:t>Interns</w:t>
            </w:r>
          </w:p>
        </w:tc>
        <w:tc>
          <w:tcPr>
            <w:tcW w:w="1859" w:type="dxa"/>
            <w:tcBorders>
              <w:top w:val="nil"/>
              <w:left w:val="nil"/>
              <w:bottom w:val="nil"/>
              <w:right w:val="nil"/>
            </w:tcBorders>
            <w:vAlign w:val="center"/>
            <w:hideMark/>
          </w:tcPr>
          <w:p w14:paraId="6C459C9B"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val="en-US" w:eastAsia="en-US"/>
              </w:rPr>
              <w:t>3</w:t>
            </w:r>
          </w:p>
        </w:tc>
        <w:tc>
          <w:tcPr>
            <w:tcW w:w="1859" w:type="dxa"/>
            <w:tcBorders>
              <w:top w:val="nil"/>
              <w:left w:val="nil"/>
              <w:bottom w:val="nil"/>
              <w:right w:val="nil"/>
            </w:tcBorders>
            <w:vAlign w:val="center"/>
            <w:hideMark/>
          </w:tcPr>
          <w:p w14:paraId="4595E024"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val="en-US" w:eastAsia="en-US"/>
              </w:rPr>
              <w:t>9</w:t>
            </w:r>
          </w:p>
        </w:tc>
        <w:tc>
          <w:tcPr>
            <w:tcW w:w="1858" w:type="dxa"/>
            <w:tcBorders>
              <w:top w:val="nil"/>
              <w:left w:val="nil"/>
              <w:bottom w:val="nil"/>
              <w:right w:val="nil"/>
            </w:tcBorders>
            <w:hideMark/>
          </w:tcPr>
          <w:p w14:paraId="21C4AC68"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val="en-US" w:eastAsia="en-US"/>
              </w:rPr>
              <w:t>15</w:t>
            </w:r>
          </w:p>
        </w:tc>
      </w:tr>
      <w:tr w:rsidR="00592918" w14:paraId="17D678DF"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346046B5" w14:textId="77777777" w:rsidR="00EF771D" w:rsidRDefault="004343CB">
            <w:pPr>
              <w:pStyle w:val="08-Tabelageral"/>
              <w:ind w:left="113"/>
              <w:jc w:val="left"/>
              <w:rPr>
                <w:rFonts w:cs="Arial"/>
                <w:snapToGrid w:val="0"/>
                <w:color w:val="000000"/>
                <w:lang w:eastAsia="en-US"/>
              </w:rPr>
            </w:pPr>
            <w:r>
              <w:rPr>
                <w:b w:val="0"/>
                <w:color w:val="000000"/>
                <w:lang w:val="en-US" w:eastAsia="en-US"/>
              </w:rPr>
              <w:t>Directors</w:t>
            </w:r>
          </w:p>
        </w:tc>
        <w:tc>
          <w:tcPr>
            <w:tcW w:w="1859" w:type="dxa"/>
            <w:tcBorders>
              <w:top w:val="nil"/>
              <w:left w:val="nil"/>
              <w:bottom w:val="nil"/>
              <w:right w:val="nil"/>
            </w:tcBorders>
            <w:vAlign w:val="center"/>
            <w:hideMark/>
          </w:tcPr>
          <w:p w14:paraId="6C8552AF"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val="en-US" w:eastAsia="en-US"/>
              </w:rPr>
              <w:t>10</w:t>
            </w:r>
          </w:p>
        </w:tc>
        <w:tc>
          <w:tcPr>
            <w:tcW w:w="1859" w:type="dxa"/>
            <w:tcBorders>
              <w:top w:val="nil"/>
              <w:left w:val="nil"/>
              <w:bottom w:val="nil"/>
              <w:right w:val="nil"/>
            </w:tcBorders>
            <w:vAlign w:val="center"/>
            <w:hideMark/>
          </w:tcPr>
          <w:p w14:paraId="51C207F9"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val="en-US" w:eastAsia="en-US"/>
              </w:rPr>
              <w:t>10</w:t>
            </w:r>
          </w:p>
        </w:tc>
        <w:tc>
          <w:tcPr>
            <w:tcW w:w="1858" w:type="dxa"/>
            <w:tcBorders>
              <w:top w:val="nil"/>
              <w:left w:val="nil"/>
              <w:bottom w:val="nil"/>
              <w:right w:val="nil"/>
            </w:tcBorders>
            <w:hideMark/>
          </w:tcPr>
          <w:p w14:paraId="1BB8B3CD"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val="en-US" w:eastAsia="en-US"/>
              </w:rPr>
              <w:t>14</w:t>
            </w:r>
          </w:p>
        </w:tc>
      </w:tr>
      <w:tr w:rsidR="00592918" w14:paraId="170779BB"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9E7BBBC" w14:textId="77777777" w:rsidR="00EF771D" w:rsidRDefault="004343CB">
            <w:pPr>
              <w:pStyle w:val="08-Tabelageral"/>
              <w:jc w:val="left"/>
              <w:rPr>
                <w:rFonts w:cs="Arial"/>
                <w:snapToGrid w:val="0"/>
                <w:color w:val="000000"/>
                <w:vertAlign w:val="superscript"/>
                <w:lang w:eastAsia="en-US"/>
              </w:rPr>
            </w:pPr>
            <w:r>
              <w:rPr>
                <w:color w:val="000000"/>
                <w:lang w:val="en-US" w:eastAsia="en-US"/>
              </w:rPr>
              <w:t xml:space="preserve">TOTAL </w:t>
            </w:r>
          </w:p>
        </w:tc>
        <w:tc>
          <w:tcPr>
            <w:tcW w:w="1859" w:type="dxa"/>
            <w:tcBorders>
              <w:top w:val="nil"/>
              <w:left w:val="nil"/>
              <w:bottom w:val="nil"/>
              <w:right w:val="nil"/>
            </w:tcBorders>
            <w:vAlign w:val="center"/>
            <w:hideMark/>
          </w:tcPr>
          <w:p w14:paraId="6A19E207"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Pr>
                <w:b/>
                <w:color w:val="auto"/>
                <w:lang w:val="en-US" w:eastAsia="en-US"/>
              </w:rPr>
              <w:t>188</w:t>
            </w:r>
          </w:p>
        </w:tc>
        <w:tc>
          <w:tcPr>
            <w:tcW w:w="1859" w:type="dxa"/>
            <w:tcBorders>
              <w:top w:val="nil"/>
              <w:left w:val="nil"/>
              <w:bottom w:val="nil"/>
              <w:right w:val="nil"/>
            </w:tcBorders>
            <w:vAlign w:val="center"/>
            <w:hideMark/>
          </w:tcPr>
          <w:p w14:paraId="7E01125C"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b/>
                <w:color w:val="auto"/>
                <w:lang w:val="en-US" w:eastAsia="en-US"/>
              </w:rPr>
              <w:t>193</w:t>
            </w:r>
          </w:p>
        </w:tc>
        <w:tc>
          <w:tcPr>
            <w:tcW w:w="1858" w:type="dxa"/>
            <w:tcBorders>
              <w:top w:val="nil"/>
              <w:left w:val="nil"/>
              <w:bottom w:val="nil"/>
              <w:right w:val="nil"/>
            </w:tcBorders>
            <w:hideMark/>
          </w:tcPr>
          <w:p w14:paraId="0A2A623D" w14:textId="77777777" w:rsidR="00EF771D" w:rsidRPr="00271ED1"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b/>
                <w:bCs/>
                <w:lang w:eastAsia="en-US"/>
              </w:rPr>
            </w:pPr>
            <w:r w:rsidRPr="00271ED1">
              <w:rPr>
                <w:b/>
                <w:bCs/>
                <w:lang w:val="en-US" w:eastAsia="en-US"/>
              </w:rPr>
              <w:t>221</w:t>
            </w:r>
          </w:p>
        </w:tc>
      </w:tr>
      <w:tr w:rsidR="00592918" w14:paraId="51A216CD"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4D5BDEC" w14:textId="77777777" w:rsidR="00EF771D" w:rsidRDefault="004343CB">
            <w:pPr>
              <w:pStyle w:val="08-Tabelageral"/>
              <w:jc w:val="left"/>
              <w:rPr>
                <w:rFonts w:cs="Arial"/>
                <w:snapToGrid w:val="0"/>
                <w:color w:val="000000"/>
                <w:lang w:eastAsia="en-US"/>
              </w:rPr>
            </w:pPr>
            <w:r>
              <w:rPr>
                <w:color w:val="000000"/>
                <w:lang w:val="en-US" w:eastAsia="en-US"/>
              </w:rPr>
              <w:t>Sex</w:t>
            </w:r>
          </w:p>
        </w:tc>
        <w:tc>
          <w:tcPr>
            <w:tcW w:w="1859" w:type="dxa"/>
            <w:tcBorders>
              <w:top w:val="nil"/>
              <w:left w:val="nil"/>
              <w:bottom w:val="nil"/>
              <w:right w:val="nil"/>
            </w:tcBorders>
            <w:vAlign w:val="center"/>
          </w:tcPr>
          <w:p w14:paraId="66E3C90B"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p>
        </w:tc>
        <w:tc>
          <w:tcPr>
            <w:tcW w:w="1859" w:type="dxa"/>
            <w:tcBorders>
              <w:top w:val="nil"/>
              <w:left w:val="nil"/>
              <w:bottom w:val="nil"/>
              <w:right w:val="nil"/>
            </w:tcBorders>
            <w:vAlign w:val="center"/>
          </w:tcPr>
          <w:p w14:paraId="4BA4A1AF"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1858" w:type="dxa"/>
            <w:tcBorders>
              <w:top w:val="nil"/>
              <w:left w:val="nil"/>
              <w:bottom w:val="nil"/>
              <w:right w:val="nil"/>
            </w:tcBorders>
          </w:tcPr>
          <w:p w14:paraId="05DB85A1"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592918" w14:paraId="67002C5A" w14:textId="77777777" w:rsidTr="00592918">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251A1D8" w14:textId="77777777" w:rsidR="00EF771D" w:rsidRDefault="004343CB">
            <w:pPr>
              <w:pStyle w:val="08-Tabelageral"/>
              <w:ind w:left="113"/>
              <w:jc w:val="left"/>
              <w:rPr>
                <w:rFonts w:cs="Arial"/>
                <w:snapToGrid w:val="0"/>
                <w:color w:val="000000"/>
                <w:lang w:eastAsia="en-US"/>
              </w:rPr>
            </w:pPr>
            <w:r>
              <w:rPr>
                <w:b w:val="0"/>
                <w:color w:val="000000"/>
                <w:lang w:val="en-US" w:eastAsia="en-US"/>
              </w:rPr>
              <w:t>Female</w:t>
            </w:r>
          </w:p>
        </w:tc>
        <w:tc>
          <w:tcPr>
            <w:tcW w:w="1859" w:type="dxa"/>
            <w:tcBorders>
              <w:top w:val="nil"/>
              <w:left w:val="nil"/>
              <w:bottom w:val="nil"/>
              <w:right w:val="nil"/>
            </w:tcBorders>
            <w:vAlign w:val="center"/>
            <w:hideMark/>
          </w:tcPr>
          <w:p w14:paraId="20BAC079"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val="en-US" w:eastAsia="en-US"/>
              </w:rPr>
              <w:t>33%</w:t>
            </w:r>
          </w:p>
        </w:tc>
        <w:tc>
          <w:tcPr>
            <w:tcW w:w="1859" w:type="dxa"/>
            <w:tcBorders>
              <w:top w:val="nil"/>
              <w:left w:val="nil"/>
              <w:bottom w:val="nil"/>
              <w:right w:val="nil"/>
            </w:tcBorders>
            <w:vAlign w:val="center"/>
            <w:hideMark/>
          </w:tcPr>
          <w:p w14:paraId="3776B61A"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val="en-US" w:eastAsia="en-US"/>
              </w:rPr>
              <w:t>34%</w:t>
            </w:r>
          </w:p>
        </w:tc>
        <w:tc>
          <w:tcPr>
            <w:tcW w:w="1858" w:type="dxa"/>
            <w:tcBorders>
              <w:top w:val="nil"/>
              <w:left w:val="nil"/>
              <w:bottom w:val="nil"/>
              <w:right w:val="nil"/>
            </w:tcBorders>
            <w:hideMark/>
          </w:tcPr>
          <w:p w14:paraId="6034DC9C"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val="en-US" w:eastAsia="en-US"/>
              </w:rPr>
              <w:t>34%</w:t>
            </w:r>
          </w:p>
        </w:tc>
      </w:tr>
      <w:tr w:rsidR="00592918" w14:paraId="53FA32FC"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CB2772D" w14:textId="77777777" w:rsidR="00EF771D" w:rsidRDefault="004343CB">
            <w:pPr>
              <w:pStyle w:val="08-Tabelageral"/>
              <w:ind w:left="113"/>
              <w:jc w:val="left"/>
              <w:rPr>
                <w:rFonts w:cs="Arial"/>
                <w:snapToGrid w:val="0"/>
                <w:color w:val="000000"/>
                <w:lang w:eastAsia="en-US"/>
              </w:rPr>
            </w:pPr>
            <w:r>
              <w:rPr>
                <w:b w:val="0"/>
                <w:color w:val="000000"/>
                <w:lang w:val="en-US" w:eastAsia="en-US"/>
              </w:rPr>
              <w:t>Male</w:t>
            </w:r>
          </w:p>
        </w:tc>
        <w:tc>
          <w:tcPr>
            <w:tcW w:w="1859" w:type="dxa"/>
            <w:tcBorders>
              <w:top w:val="nil"/>
              <w:left w:val="nil"/>
              <w:bottom w:val="nil"/>
              <w:right w:val="nil"/>
            </w:tcBorders>
            <w:vAlign w:val="center"/>
            <w:hideMark/>
          </w:tcPr>
          <w:p w14:paraId="3592C434"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val="en-US" w:eastAsia="en-US"/>
              </w:rPr>
              <w:t>67%</w:t>
            </w:r>
          </w:p>
        </w:tc>
        <w:tc>
          <w:tcPr>
            <w:tcW w:w="1859" w:type="dxa"/>
            <w:tcBorders>
              <w:top w:val="nil"/>
              <w:left w:val="nil"/>
              <w:bottom w:val="nil"/>
              <w:right w:val="nil"/>
            </w:tcBorders>
            <w:vAlign w:val="center"/>
            <w:hideMark/>
          </w:tcPr>
          <w:p w14:paraId="5A7DC3F9"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val="en-US" w:eastAsia="en-US"/>
              </w:rPr>
              <w:t>66%</w:t>
            </w:r>
          </w:p>
        </w:tc>
        <w:tc>
          <w:tcPr>
            <w:tcW w:w="1858" w:type="dxa"/>
            <w:tcBorders>
              <w:top w:val="nil"/>
              <w:left w:val="nil"/>
              <w:bottom w:val="nil"/>
              <w:right w:val="nil"/>
            </w:tcBorders>
            <w:hideMark/>
          </w:tcPr>
          <w:p w14:paraId="25D4136E"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val="en-US" w:eastAsia="en-US"/>
              </w:rPr>
              <w:t>66%</w:t>
            </w:r>
          </w:p>
        </w:tc>
      </w:tr>
      <w:tr w:rsidR="00592918" w14:paraId="34B16DEC"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082C716" w14:textId="77777777" w:rsidR="00EF771D" w:rsidRDefault="004343CB">
            <w:pPr>
              <w:pStyle w:val="08-Tabelageral"/>
              <w:jc w:val="left"/>
              <w:rPr>
                <w:rFonts w:cs="Arial"/>
                <w:snapToGrid w:val="0"/>
                <w:color w:val="000000"/>
                <w:lang w:eastAsia="en-US"/>
              </w:rPr>
            </w:pPr>
            <w:r>
              <w:rPr>
                <w:color w:val="000000"/>
                <w:lang w:val="en-US" w:eastAsia="en-US"/>
              </w:rPr>
              <w:t>Associates' education level</w:t>
            </w:r>
          </w:p>
        </w:tc>
        <w:tc>
          <w:tcPr>
            <w:tcW w:w="1859" w:type="dxa"/>
            <w:tcBorders>
              <w:top w:val="nil"/>
              <w:left w:val="nil"/>
              <w:bottom w:val="nil"/>
              <w:right w:val="nil"/>
            </w:tcBorders>
            <w:vAlign w:val="center"/>
          </w:tcPr>
          <w:p w14:paraId="741C7327"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p>
        </w:tc>
        <w:tc>
          <w:tcPr>
            <w:tcW w:w="1859" w:type="dxa"/>
            <w:tcBorders>
              <w:top w:val="nil"/>
              <w:left w:val="nil"/>
              <w:bottom w:val="nil"/>
              <w:right w:val="nil"/>
            </w:tcBorders>
            <w:vAlign w:val="center"/>
          </w:tcPr>
          <w:p w14:paraId="027A890C"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tcPr>
          <w:p w14:paraId="31E837CC" w14:textId="77777777" w:rsidR="00EF771D" w:rsidRDefault="00EF771D">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592918" w14:paraId="59654C8D"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5D2B4EE" w14:textId="77777777" w:rsidR="00EF771D" w:rsidRDefault="004343CB">
            <w:pPr>
              <w:pStyle w:val="08-Tabelageral"/>
              <w:ind w:left="113"/>
              <w:jc w:val="left"/>
              <w:rPr>
                <w:rFonts w:cs="Arial"/>
                <w:snapToGrid w:val="0"/>
                <w:color w:val="000000"/>
                <w:lang w:eastAsia="en-US"/>
              </w:rPr>
            </w:pPr>
            <w:r>
              <w:rPr>
                <w:b w:val="0"/>
                <w:color w:val="000000"/>
                <w:lang w:val="en-US" w:eastAsia="en-US"/>
              </w:rPr>
              <w:t>Graduate Studies</w:t>
            </w:r>
          </w:p>
        </w:tc>
        <w:tc>
          <w:tcPr>
            <w:tcW w:w="1859" w:type="dxa"/>
            <w:tcBorders>
              <w:top w:val="nil"/>
              <w:left w:val="nil"/>
              <w:bottom w:val="nil"/>
              <w:right w:val="nil"/>
            </w:tcBorders>
            <w:vAlign w:val="center"/>
            <w:hideMark/>
          </w:tcPr>
          <w:p w14:paraId="4F73B8CB"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val="en-US" w:eastAsia="en-US"/>
              </w:rPr>
              <w:t>82%</w:t>
            </w:r>
          </w:p>
        </w:tc>
        <w:tc>
          <w:tcPr>
            <w:tcW w:w="1859" w:type="dxa"/>
            <w:tcBorders>
              <w:top w:val="nil"/>
              <w:left w:val="nil"/>
              <w:bottom w:val="nil"/>
              <w:right w:val="nil"/>
            </w:tcBorders>
            <w:vAlign w:val="center"/>
            <w:hideMark/>
          </w:tcPr>
          <w:p w14:paraId="258535A4"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val="en-US" w:eastAsia="en-US"/>
              </w:rPr>
              <w:t>80%</w:t>
            </w:r>
          </w:p>
        </w:tc>
        <w:tc>
          <w:tcPr>
            <w:tcW w:w="1858" w:type="dxa"/>
            <w:tcBorders>
              <w:top w:val="nil"/>
              <w:left w:val="nil"/>
              <w:bottom w:val="nil"/>
              <w:right w:val="nil"/>
            </w:tcBorders>
            <w:hideMark/>
          </w:tcPr>
          <w:p w14:paraId="02678BA8"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val="en-US" w:eastAsia="en-US"/>
              </w:rPr>
              <w:t>67%</w:t>
            </w:r>
          </w:p>
        </w:tc>
      </w:tr>
      <w:tr w:rsidR="00592918" w14:paraId="6628E746" w14:textId="77777777" w:rsidTr="00592918">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E36909F" w14:textId="77777777" w:rsidR="00EF771D" w:rsidRDefault="004343CB">
            <w:pPr>
              <w:pStyle w:val="08-Tabelageral"/>
              <w:ind w:left="113"/>
              <w:jc w:val="left"/>
              <w:rPr>
                <w:rFonts w:cs="Arial"/>
                <w:snapToGrid w:val="0"/>
                <w:color w:val="000000"/>
                <w:lang w:eastAsia="en-US"/>
              </w:rPr>
            </w:pPr>
            <w:r>
              <w:rPr>
                <w:b w:val="0"/>
                <w:color w:val="000000"/>
                <w:lang w:val="en-US" w:eastAsia="en-US"/>
              </w:rPr>
              <w:t>Undergraduate Studies</w:t>
            </w:r>
          </w:p>
        </w:tc>
        <w:tc>
          <w:tcPr>
            <w:tcW w:w="1859" w:type="dxa"/>
            <w:tcBorders>
              <w:top w:val="nil"/>
              <w:left w:val="nil"/>
              <w:bottom w:val="nil"/>
              <w:right w:val="nil"/>
            </w:tcBorders>
            <w:vAlign w:val="center"/>
            <w:hideMark/>
          </w:tcPr>
          <w:p w14:paraId="2E56F49C"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val="en-US" w:eastAsia="en-US"/>
              </w:rPr>
              <w:t>15%</w:t>
            </w:r>
          </w:p>
        </w:tc>
        <w:tc>
          <w:tcPr>
            <w:tcW w:w="1859" w:type="dxa"/>
            <w:tcBorders>
              <w:top w:val="nil"/>
              <w:left w:val="nil"/>
              <w:bottom w:val="nil"/>
              <w:right w:val="nil"/>
            </w:tcBorders>
            <w:vAlign w:val="center"/>
            <w:hideMark/>
          </w:tcPr>
          <w:p w14:paraId="58F2DE23"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val="en-US" w:eastAsia="en-US"/>
              </w:rPr>
              <w:t>13%</w:t>
            </w:r>
          </w:p>
        </w:tc>
        <w:tc>
          <w:tcPr>
            <w:tcW w:w="1858" w:type="dxa"/>
            <w:tcBorders>
              <w:top w:val="nil"/>
              <w:left w:val="nil"/>
              <w:bottom w:val="nil"/>
              <w:right w:val="nil"/>
            </w:tcBorders>
            <w:hideMark/>
          </w:tcPr>
          <w:p w14:paraId="7840B9E8"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val="en-US" w:eastAsia="en-US"/>
              </w:rPr>
              <w:t>29%</w:t>
            </w:r>
          </w:p>
        </w:tc>
      </w:tr>
      <w:tr w:rsidR="00592918" w14:paraId="5DB87A89" w14:textId="77777777" w:rsidTr="00592918">
        <w:trPr>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A3D5B25" w14:textId="77777777" w:rsidR="00EF771D" w:rsidRDefault="004343CB">
            <w:pPr>
              <w:pStyle w:val="08-Tabelageral"/>
              <w:ind w:left="113"/>
              <w:jc w:val="left"/>
              <w:rPr>
                <w:rFonts w:cs="Arial"/>
                <w:snapToGrid w:val="0"/>
                <w:color w:val="000000"/>
                <w:vertAlign w:val="superscript"/>
                <w:lang w:eastAsia="en-US"/>
              </w:rPr>
            </w:pPr>
            <w:r>
              <w:rPr>
                <w:b w:val="0"/>
                <w:color w:val="000000"/>
                <w:lang w:val="en-US" w:eastAsia="en-US"/>
              </w:rPr>
              <w:t>High School</w:t>
            </w:r>
          </w:p>
        </w:tc>
        <w:tc>
          <w:tcPr>
            <w:tcW w:w="1859" w:type="dxa"/>
            <w:tcBorders>
              <w:top w:val="nil"/>
              <w:left w:val="nil"/>
              <w:bottom w:val="nil"/>
              <w:right w:val="nil"/>
            </w:tcBorders>
            <w:vAlign w:val="center"/>
            <w:hideMark/>
          </w:tcPr>
          <w:p w14:paraId="2EDE77CE"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val="en-US" w:eastAsia="en-US"/>
              </w:rPr>
              <w:t>2%</w:t>
            </w:r>
          </w:p>
        </w:tc>
        <w:tc>
          <w:tcPr>
            <w:tcW w:w="1859" w:type="dxa"/>
            <w:tcBorders>
              <w:top w:val="nil"/>
              <w:left w:val="nil"/>
              <w:bottom w:val="nil"/>
              <w:right w:val="nil"/>
            </w:tcBorders>
            <w:vAlign w:val="center"/>
            <w:hideMark/>
          </w:tcPr>
          <w:p w14:paraId="27A6D9C0"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val="en-US" w:eastAsia="en-US"/>
              </w:rPr>
              <w:t>5%</w:t>
            </w:r>
          </w:p>
        </w:tc>
        <w:tc>
          <w:tcPr>
            <w:tcW w:w="1858" w:type="dxa"/>
            <w:tcBorders>
              <w:top w:val="nil"/>
              <w:left w:val="nil"/>
              <w:bottom w:val="nil"/>
              <w:right w:val="nil"/>
            </w:tcBorders>
            <w:hideMark/>
          </w:tcPr>
          <w:p w14:paraId="46FC7244"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val="en-US" w:eastAsia="en-US"/>
              </w:rPr>
              <w:t>3%</w:t>
            </w:r>
          </w:p>
        </w:tc>
      </w:tr>
      <w:tr w:rsidR="00592918" w14:paraId="3824D634"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941BFD3" w14:textId="77777777" w:rsidR="00EF771D" w:rsidRDefault="004343CB">
            <w:pPr>
              <w:pStyle w:val="08-Tabelageral"/>
              <w:ind w:left="113"/>
              <w:jc w:val="left"/>
              <w:rPr>
                <w:rFonts w:cs="Arial"/>
                <w:snapToGrid w:val="0"/>
                <w:color w:val="000000"/>
                <w:lang w:eastAsia="en-US"/>
              </w:rPr>
            </w:pPr>
            <w:r>
              <w:rPr>
                <w:b w:val="0"/>
                <w:color w:val="000000"/>
                <w:lang w:val="en-US" w:eastAsia="en-US"/>
              </w:rPr>
              <w:t>Others</w:t>
            </w:r>
          </w:p>
        </w:tc>
        <w:tc>
          <w:tcPr>
            <w:tcW w:w="1859" w:type="dxa"/>
            <w:tcBorders>
              <w:top w:val="nil"/>
              <w:left w:val="nil"/>
              <w:bottom w:val="nil"/>
              <w:right w:val="nil"/>
            </w:tcBorders>
            <w:vAlign w:val="center"/>
            <w:hideMark/>
          </w:tcPr>
          <w:p w14:paraId="3A68C444"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Pr>
                <w:color w:val="auto"/>
                <w:lang w:val="en-US" w:eastAsia="en-US"/>
              </w:rPr>
              <w:t>1%</w:t>
            </w:r>
          </w:p>
        </w:tc>
        <w:tc>
          <w:tcPr>
            <w:tcW w:w="1859" w:type="dxa"/>
            <w:tcBorders>
              <w:top w:val="nil"/>
              <w:left w:val="nil"/>
              <w:bottom w:val="nil"/>
              <w:right w:val="nil"/>
            </w:tcBorders>
            <w:vAlign w:val="center"/>
            <w:hideMark/>
          </w:tcPr>
          <w:p w14:paraId="603E2A89"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color w:val="auto"/>
                <w:lang w:val="en-US" w:eastAsia="en-US"/>
              </w:rPr>
              <w:t>2%</w:t>
            </w:r>
          </w:p>
        </w:tc>
        <w:tc>
          <w:tcPr>
            <w:tcW w:w="1858" w:type="dxa"/>
            <w:tcBorders>
              <w:top w:val="nil"/>
              <w:left w:val="nil"/>
              <w:bottom w:val="nil"/>
              <w:right w:val="nil"/>
            </w:tcBorders>
            <w:hideMark/>
          </w:tcPr>
          <w:p w14:paraId="4BF2AEB3"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val="en-US" w:eastAsia="en-US"/>
              </w:rPr>
              <w:t>0%</w:t>
            </w:r>
          </w:p>
        </w:tc>
      </w:tr>
      <w:tr w:rsidR="00592918" w14:paraId="3381B949"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83A662C" w14:textId="77777777" w:rsidR="00EF771D" w:rsidRDefault="004343CB">
            <w:pPr>
              <w:pStyle w:val="08-Tabelageral"/>
              <w:jc w:val="left"/>
              <w:rPr>
                <w:rFonts w:cs="Arial"/>
                <w:snapToGrid w:val="0"/>
                <w:color w:val="000000"/>
                <w:lang w:eastAsia="en-US"/>
              </w:rPr>
            </w:pPr>
            <w:r>
              <w:rPr>
                <w:color w:val="000000"/>
                <w:lang w:val="en-US" w:eastAsia="en-US"/>
              </w:rPr>
              <w:t>Age range</w:t>
            </w:r>
          </w:p>
        </w:tc>
        <w:tc>
          <w:tcPr>
            <w:tcW w:w="1859" w:type="dxa"/>
            <w:tcBorders>
              <w:top w:val="nil"/>
              <w:left w:val="nil"/>
              <w:bottom w:val="nil"/>
              <w:right w:val="nil"/>
            </w:tcBorders>
            <w:vAlign w:val="center"/>
          </w:tcPr>
          <w:p w14:paraId="736EABA7"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p>
        </w:tc>
        <w:tc>
          <w:tcPr>
            <w:tcW w:w="1859" w:type="dxa"/>
            <w:tcBorders>
              <w:top w:val="nil"/>
              <w:left w:val="nil"/>
              <w:bottom w:val="nil"/>
              <w:right w:val="nil"/>
            </w:tcBorders>
            <w:vAlign w:val="center"/>
          </w:tcPr>
          <w:p w14:paraId="77BC27AA"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1858" w:type="dxa"/>
            <w:tcBorders>
              <w:top w:val="nil"/>
              <w:left w:val="nil"/>
              <w:bottom w:val="nil"/>
              <w:right w:val="nil"/>
            </w:tcBorders>
          </w:tcPr>
          <w:p w14:paraId="084AAAA9" w14:textId="77777777" w:rsidR="00EF771D" w:rsidRDefault="00EF771D">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592918" w14:paraId="2F8252EA"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2ADFF96" w14:textId="77777777" w:rsidR="00EF771D" w:rsidRDefault="004343CB">
            <w:pPr>
              <w:pStyle w:val="08-Tabelageral"/>
              <w:ind w:left="113"/>
              <w:jc w:val="left"/>
              <w:rPr>
                <w:rFonts w:cs="Arial"/>
                <w:snapToGrid w:val="0"/>
                <w:color w:val="000000"/>
                <w:vertAlign w:val="superscript"/>
                <w:lang w:eastAsia="en-US"/>
              </w:rPr>
            </w:pPr>
            <w:r>
              <w:rPr>
                <w:b w:val="0"/>
                <w:color w:val="000000"/>
                <w:lang w:val="en-US" w:eastAsia="en-US"/>
              </w:rPr>
              <w:t>Below 30 years of age</w:t>
            </w:r>
          </w:p>
        </w:tc>
        <w:tc>
          <w:tcPr>
            <w:tcW w:w="1859" w:type="dxa"/>
            <w:tcBorders>
              <w:top w:val="nil"/>
              <w:left w:val="nil"/>
              <w:bottom w:val="nil"/>
              <w:right w:val="nil"/>
            </w:tcBorders>
            <w:vAlign w:val="center"/>
            <w:hideMark/>
          </w:tcPr>
          <w:p w14:paraId="3832DDB5"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val="en-US" w:eastAsia="en-US"/>
              </w:rPr>
              <w:t>4%</w:t>
            </w:r>
          </w:p>
        </w:tc>
        <w:tc>
          <w:tcPr>
            <w:tcW w:w="1859" w:type="dxa"/>
            <w:tcBorders>
              <w:top w:val="nil"/>
              <w:left w:val="nil"/>
              <w:bottom w:val="nil"/>
              <w:right w:val="nil"/>
            </w:tcBorders>
            <w:vAlign w:val="center"/>
            <w:hideMark/>
          </w:tcPr>
          <w:p w14:paraId="127035C9"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val="en-US" w:eastAsia="en-US"/>
              </w:rPr>
              <w:t>4%</w:t>
            </w:r>
          </w:p>
        </w:tc>
        <w:tc>
          <w:tcPr>
            <w:tcW w:w="1858" w:type="dxa"/>
            <w:tcBorders>
              <w:top w:val="nil"/>
              <w:left w:val="nil"/>
              <w:bottom w:val="nil"/>
              <w:right w:val="nil"/>
            </w:tcBorders>
            <w:hideMark/>
          </w:tcPr>
          <w:p w14:paraId="75CC0901"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val="en-US" w:eastAsia="en-US"/>
              </w:rPr>
              <w:t>17%</w:t>
            </w:r>
          </w:p>
        </w:tc>
      </w:tr>
      <w:tr w:rsidR="00592918" w14:paraId="0F7BB8C4" w14:textId="77777777" w:rsidTr="00592918">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35B3B60C" w14:textId="77777777" w:rsidR="00EF771D" w:rsidRDefault="004343CB">
            <w:pPr>
              <w:pStyle w:val="08-Tabelageral"/>
              <w:ind w:left="113"/>
              <w:jc w:val="left"/>
              <w:rPr>
                <w:rFonts w:cs="Arial"/>
                <w:snapToGrid w:val="0"/>
                <w:color w:val="000000"/>
                <w:lang w:eastAsia="en-US"/>
              </w:rPr>
            </w:pPr>
            <w:r>
              <w:rPr>
                <w:b w:val="0"/>
                <w:color w:val="000000"/>
                <w:lang w:val="en-US" w:eastAsia="en-US"/>
              </w:rPr>
              <w:t>Between 30 and 50 years of age</w:t>
            </w:r>
          </w:p>
        </w:tc>
        <w:tc>
          <w:tcPr>
            <w:tcW w:w="1859" w:type="dxa"/>
            <w:tcBorders>
              <w:top w:val="nil"/>
              <w:left w:val="nil"/>
              <w:bottom w:val="nil"/>
              <w:right w:val="nil"/>
            </w:tcBorders>
            <w:vAlign w:val="center"/>
            <w:hideMark/>
          </w:tcPr>
          <w:p w14:paraId="4A5BB86F"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lang w:val="en-US" w:eastAsia="en-US"/>
              </w:rPr>
              <w:t>76%</w:t>
            </w:r>
          </w:p>
        </w:tc>
        <w:tc>
          <w:tcPr>
            <w:tcW w:w="1859" w:type="dxa"/>
            <w:tcBorders>
              <w:top w:val="nil"/>
              <w:left w:val="nil"/>
              <w:bottom w:val="nil"/>
              <w:right w:val="nil"/>
            </w:tcBorders>
            <w:vAlign w:val="center"/>
            <w:hideMark/>
          </w:tcPr>
          <w:p w14:paraId="3BBF5E81"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val="en-US" w:eastAsia="en-US"/>
              </w:rPr>
              <w:t>75%</w:t>
            </w:r>
          </w:p>
        </w:tc>
        <w:tc>
          <w:tcPr>
            <w:tcW w:w="1858" w:type="dxa"/>
            <w:tcBorders>
              <w:top w:val="nil"/>
              <w:left w:val="nil"/>
              <w:bottom w:val="nil"/>
              <w:right w:val="nil"/>
            </w:tcBorders>
            <w:hideMark/>
          </w:tcPr>
          <w:p w14:paraId="37994F15" w14:textId="77777777" w:rsidR="00EF771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val="en-US" w:eastAsia="en-US"/>
              </w:rPr>
              <w:t>75%</w:t>
            </w:r>
          </w:p>
        </w:tc>
      </w:tr>
      <w:tr w:rsidR="00592918" w14:paraId="110E423E"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86BEC68" w14:textId="77777777" w:rsidR="00EF771D" w:rsidRDefault="004343CB">
            <w:pPr>
              <w:pStyle w:val="08-Tabelageral"/>
              <w:ind w:left="113"/>
              <w:jc w:val="left"/>
              <w:rPr>
                <w:rFonts w:cs="Arial"/>
                <w:snapToGrid w:val="0"/>
                <w:color w:val="000000"/>
                <w:lang w:eastAsia="en-US"/>
              </w:rPr>
            </w:pPr>
            <w:r>
              <w:rPr>
                <w:b w:val="0"/>
                <w:color w:val="000000"/>
                <w:lang w:val="en-US" w:eastAsia="en-US"/>
              </w:rPr>
              <w:t>Over 50 years of age</w:t>
            </w:r>
          </w:p>
        </w:tc>
        <w:tc>
          <w:tcPr>
            <w:tcW w:w="1859" w:type="dxa"/>
            <w:tcBorders>
              <w:top w:val="nil"/>
              <w:left w:val="nil"/>
              <w:bottom w:val="nil"/>
              <w:right w:val="nil"/>
            </w:tcBorders>
            <w:vAlign w:val="center"/>
            <w:hideMark/>
          </w:tcPr>
          <w:p w14:paraId="7F5903E8"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val="en-US" w:eastAsia="en-US"/>
              </w:rPr>
              <w:t>20%</w:t>
            </w:r>
          </w:p>
        </w:tc>
        <w:tc>
          <w:tcPr>
            <w:tcW w:w="1859" w:type="dxa"/>
            <w:tcBorders>
              <w:top w:val="nil"/>
              <w:left w:val="nil"/>
              <w:bottom w:val="nil"/>
              <w:right w:val="nil"/>
            </w:tcBorders>
            <w:vAlign w:val="center"/>
            <w:hideMark/>
          </w:tcPr>
          <w:p w14:paraId="14F7C8FB"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val="en-US" w:eastAsia="en-US"/>
              </w:rPr>
              <w:t>21%</w:t>
            </w:r>
          </w:p>
        </w:tc>
        <w:tc>
          <w:tcPr>
            <w:tcW w:w="1858" w:type="dxa"/>
            <w:tcBorders>
              <w:top w:val="nil"/>
              <w:left w:val="nil"/>
              <w:bottom w:val="nil"/>
              <w:right w:val="nil"/>
            </w:tcBorders>
            <w:hideMark/>
          </w:tcPr>
          <w:p w14:paraId="00E5F5AB" w14:textId="77777777" w:rsidR="00EF771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val="en-US" w:eastAsia="en-US"/>
              </w:rPr>
              <w:t>8%</w:t>
            </w:r>
          </w:p>
        </w:tc>
      </w:tr>
    </w:tbl>
    <w:p w14:paraId="6B1002F0" w14:textId="77777777" w:rsidR="00EF771D" w:rsidRDefault="004343CB" w:rsidP="00EF771D">
      <w:pPr>
        <w:pStyle w:val="07-Legenda"/>
        <w:numPr>
          <w:ilvl w:val="0"/>
          <w:numId w:val="21"/>
        </w:numPr>
        <w:ind w:left="0" w:firstLine="0"/>
        <w:rPr>
          <w:color w:val="000000"/>
        </w:rPr>
      </w:pPr>
      <w:r>
        <w:rPr>
          <w:color w:val="000000"/>
          <w:lang w:val="en-US"/>
        </w:rPr>
        <w:t>CLT and Statutory Associates</w:t>
      </w:r>
    </w:p>
    <w:p w14:paraId="604DA24A" w14:textId="77777777" w:rsidR="00EF771D" w:rsidRDefault="004343CB" w:rsidP="00EF771D">
      <w:pPr>
        <w:pStyle w:val="07-Legenda"/>
        <w:numPr>
          <w:ilvl w:val="0"/>
          <w:numId w:val="21"/>
        </w:numPr>
        <w:ind w:left="0" w:firstLine="0"/>
        <w:rPr>
          <w:color w:val="000000"/>
        </w:rPr>
      </w:pPr>
      <w:r>
        <w:rPr>
          <w:color w:val="000000"/>
          <w:lang w:val="en-US"/>
        </w:rPr>
        <w:t>The percentages referring to gender, education level and age range were calculated based on the total number of associates (employees, contractors, interns and board members).</w:t>
      </w:r>
    </w:p>
    <w:p w14:paraId="1D57E519" w14:textId="77777777" w:rsidR="00EF771D" w:rsidRDefault="00EF771D" w:rsidP="00EF771D">
      <w:pPr>
        <w:spacing w:line="254" w:lineRule="auto"/>
        <w:rPr>
          <w:rFonts w:cs="Arial"/>
          <w:color w:val="000000"/>
          <w:szCs w:val="18"/>
        </w:rPr>
      </w:pPr>
    </w:p>
    <w:p w14:paraId="4FFCBF5B" w14:textId="77777777" w:rsidR="00EF771D" w:rsidRPr="004830F0" w:rsidRDefault="004343CB" w:rsidP="004830F0">
      <w:pPr>
        <w:pStyle w:val="03-SubttulodeNota"/>
        <w:spacing w:line="276" w:lineRule="auto"/>
        <w:rPr>
          <w:b w:val="0"/>
          <w:bCs/>
          <w:color w:val="000000" w:themeColor="text1"/>
          <w:u w:val="single"/>
        </w:rPr>
      </w:pPr>
      <w:r w:rsidRPr="004830F0">
        <w:rPr>
          <w:b w:val="0"/>
          <w:bCs/>
          <w:color w:val="000000" w:themeColor="text1"/>
          <w:u w:val="single"/>
          <w:lang w:val="en-US"/>
        </w:rPr>
        <w:t>Recruitment and Selection</w:t>
      </w:r>
    </w:p>
    <w:p w14:paraId="2E45E6A4" w14:textId="77777777" w:rsidR="00EF771D" w:rsidRDefault="004343CB" w:rsidP="00EF771D">
      <w:pPr>
        <w:tabs>
          <w:tab w:val="left" w:pos="1175"/>
        </w:tabs>
        <w:spacing w:before="120" w:after="120"/>
        <w:jc w:val="both"/>
        <w:rPr>
          <w:rFonts w:cs="Arial"/>
          <w:color w:val="000000"/>
          <w:szCs w:val="18"/>
        </w:rPr>
      </w:pPr>
      <w:r>
        <w:rPr>
          <w:rFonts w:cs="Arial"/>
          <w:color w:val="000000"/>
          <w:szCs w:val="18"/>
          <w:lang w:val="en-US"/>
        </w:rPr>
        <w:t>During 2021, eleven (11) employees from Banco do Brasil joined the Company. Internally, there were twelve (12) employee promotions. All these movements took place in accordance with the prerogatives set out in the Internal Regulation on Attraction and Selection.</w:t>
      </w:r>
    </w:p>
    <w:p w14:paraId="4AAE0096" w14:textId="77777777" w:rsidR="00EF771D" w:rsidRDefault="00EF771D" w:rsidP="00EF771D">
      <w:pPr>
        <w:spacing w:before="120" w:after="120"/>
        <w:jc w:val="both"/>
        <w:rPr>
          <w:rFonts w:cs="Arial"/>
          <w:iCs/>
          <w:color w:val="000000"/>
          <w:szCs w:val="18"/>
        </w:rPr>
      </w:pPr>
    </w:p>
    <w:p w14:paraId="1059609F" w14:textId="77777777" w:rsidR="00EF771D" w:rsidRPr="004830F0" w:rsidRDefault="004343CB" w:rsidP="004830F0">
      <w:pPr>
        <w:pStyle w:val="03-SubttulodeNota"/>
        <w:spacing w:line="276" w:lineRule="auto"/>
        <w:rPr>
          <w:b w:val="0"/>
          <w:bCs/>
          <w:color w:val="000000" w:themeColor="text1"/>
          <w:u w:val="single"/>
        </w:rPr>
      </w:pPr>
      <w:r w:rsidRPr="004830F0">
        <w:rPr>
          <w:b w:val="0"/>
          <w:bCs/>
          <w:color w:val="000000" w:themeColor="text1"/>
          <w:u w:val="single"/>
          <w:lang w:val="en-US"/>
        </w:rPr>
        <w:t>Organizational Climate</w:t>
      </w:r>
    </w:p>
    <w:p w14:paraId="4FDC7D57" w14:textId="77777777" w:rsidR="00EF771D" w:rsidRDefault="004343CB" w:rsidP="00EF771D">
      <w:pPr>
        <w:spacing w:before="120" w:after="120"/>
        <w:jc w:val="both"/>
        <w:rPr>
          <w:rFonts w:cs="Arial"/>
          <w:color w:val="000000"/>
          <w:szCs w:val="18"/>
        </w:rPr>
      </w:pPr>
      <w:r>
        <w:rPr>
          <w:rFonts w:cs="Arial"/>
          <w:color w:val="000000"/>
          <w:szCs w:val="18"/>
          <w:lang w:val="en-US"/>
        </w:rPr>
        <w:t>BB Seguridade has carried out, at least once a year, climate and satisfaction surveys, in order to diagnose the points to be improved and address them through actions related to people management practices.</w:t>
      </w:r>
    </w:p>
    <w:p w14:paraId="58C15AAE" w14:textId="77777777" w:rsidR="00EF771D" w:rsidRDefault="004343CB" w:rsidP="00EF771D">
      <w:pPr>
        <w:spacing w:before="120" w:after="120"/>
        <w:jc w:val="both"/>
        <w:rPr>
          <w:rFonts w:cs="Arial"/>
          <w:color w:val="000000"/>
          <w:szCs w:val="18"/>
        </w:rPr>
      </w:pPr>
      <w:r>
        <w:rPr>
          <w:rFonts w:cs="Arial"/>
          <w:color w:val="000000"/>
          <w:szCs w:val="18"/>
          <w:lang w:val="en-US"/>
        </w:rPr>
        <w:t>In 2021, on a quarterly basis, the Climate Pulse was made available, which consists of the e-NPS (</w:t>
      </w:r>
      <w:r>
        <w:rPr>
          <w:rFonts w:cs="Arial"/>
          <w:i/>
          <w:color w:val="000000"/>
          <w:szCs w:val="18"/>
          <w:lang w:val="en-US"/>
        </w:rPr>
        <w:t>Employee Net Promoter Score</w:t>
      </w:r>
      <w:r>
        <w:rPr>
          <w:rFonts w:cs="Arial"/>
          <w:color w:val="000000"/>
          <w:szCs w:val="18"/>
          <w:lang w:val="en-US"/>
        </w:rPr>
        <w:t>) question and an additional question related to various topics, whose main objective is identifying, in the short term, possible factors of satisfaction and/or dissatisfaction of the employees.</w:t>
      </w:r>
    </w:p>
    <w:p w14:paraId="0CC0AA84" w14:textId="77777777" w:rsidR="00EF771D" w:rsidRDefault="004343CB" w:rsidP="00EF771D">
      <w:pPr>
        <w:spacing w:before="120" w:after="120"/>
        <w:jc w:val="both"/>
        <w:rPr>
          <w:rFonts w:cs="Arial"/>
          <w:color w:val="000000"/>
          <w:szCs w:val="18"/>
        </w:rPr>
      </w:pPr>
      <w:r>
        <w:rPr>
          <w:rFonts w:cs="Arial"/>
          <w:color w:val="000000"/>
          <w:szCs w:val="18"/>
          <w:lang w:val="en-US"/>
        </w:rPr>
        <w:t>Based on the survey of employees' perceptions through these instruments, the Company has been carrying out actions to increase employee engagement and the Company's organizational climate.</w:t>
      </w:r>
    </w:p>
    <w:p w14:paraId="565A539B" w14:textId="77777777" w:rsidR="00EF771D" w:rsidRDefault="004343CB" w:rsidP="00EF771D">
      <w:pPr>
        <w:spacing w:before="120" w:after="120"/>
        <w:jc w:val="both"/>
      </w:pPr>
      <w:r>
        <w:rPr>
          <w:rFonts w:cs="Arial"/>
          <w:color w:val="000000"/>
          <w:szCs w:val="18"/>
          <w:lang w:val="en-US"/>
        </w:rPr>
        <w:t>In 2021, the company's turnover, considering employees who return to Banco do Brasil or are assigned to one of our affiliates, was 6.58%, which represents a decrease of 1.4 p.p. compared to 2020.</w:t>
      </w:r>
    </w:p>
    <w:p w14:paraId="6246505A" w14:textId="77777777" w:rsidR="00C81A16" w:rsidRDefault="00C81A16" w:rsidP="00C81A16">
      <w:pPr>
        <w:pStyle w:val="01-Textonormal"/>
      </w:pPr>
    </w:p>
    <w:p w14:paraId="3E856DE1" w14:textId="77777777" w:rsidR="00C81A16" w:rsidRDefault="004343CB" w:rsidP="004830F0">
      <w:pPr>
        <w:pStyle w:val="03-SubttulodeNota"/>
        <w:spacing w:line="276" w:lineRule="auto"/>
        <w:rPr>
          <w:color w:val="1F4E79" w:themeColor="accent1" w:themeShade="80"/>
        </w:rPr>
      </w:pPr>
      <w:r>
        <w:rPr>
          <w:color w:val="1F4E79" w:themeColor="accent1" w:themeShade="80"/>
          <w:lang w:val="en-US"/>
        </w:rPr>
        <w:t>Social and Environmental Responsibility</w:t>
      </w:r>
    </w:p>
    <w:p w14:paraId="1FD51AC5" w14:textId="77777777" w:rsidR="00C81A16" w:rsidRPr="00CB4344" w:rsidRDefault="004343CB" w:rsidP="00C81A16">
      <w:pPr>
        <w:spacing w:before="120" w:after="120"/>
        <w:jc w:val="both"/>
        <w:rPr>
          <w:rFonts w:eastAsia="Times New Roman" w:cs="Arial"/>
          <w:spacing w:val="-2"/>
          <w:szCs w:val="18"/>
          <w:lang w:eastAsia="pt-BR"/>
        </w:rPr>
      </w:pPr>
      <w:r>
        <w:rPr>
          <w:rFonts w:eastAsia="Times New Roman" w:cs="Arial"/>
          <w:spacing w:val="-2"/>
          <w:szCs w:val="18"/>
          <w:lang w:val="en-US" w:eastAsia="pt-BR"/>
        </w:rPr>
        <w:t>Below are the main sustainability practices adopted by BB Seguridade's invested companies in 2021.</w:t>
      </w:r>
    </w:p>
    <w:p w14:paraId="4D70BCBA" w14:textId="77777777" w:rsidR="00C81A16" w:rsidRPr="000838E1" w:rsidRDefault="004343CB" w:rsidP="000838E1">
      <w:pPr>
        <w:pStyle w:val="03-SubttulodeNota"/>
        <w:spacing w:line="276" w:lineRule="auto"/>
        <w:rPr>
          <w:b w:val="0"/>
          <w:bCs/>
          <w:color w:val="000000" w:themeColor="text1"/>
          <w:u w:val="single"/>
        </w:rPr>
      </w:pPr>
      <w:r w:rsidRPr="000838E1">
        <w:rPr>
          <w:b w:val="0"/>
          <w:bCs/>
          <w:color w:val="000000" w:themeColor="text1"/>
          <w:u w:val="single"/>
          <w:lang w:val="en-US"/>
        </w:rPr>
        <w:t>Brasilseg</w:t>
      </w:r>
    </w:p>
    <w:p w14:paraId="7904F825" w14:textId="77777777" w:rsidR="004E0039" w:rsidRDefault="004343CB" w:rsidP="004E0039">
      <w:pPr>
        <w:pStyle w:val="05-Textonormal"/>
        <w:numPr>
          <w:ilvl w:val="0"/>
          <w:numId w:val="22"/>
        </w:numPr>
        <w:rPr>
          <w:rFonts w:cs="Arial"/>
          <w:b/>
        </w:rPr>
      </w:pPr>
      <w:r>
        <w:rPr>
          <w:rFonts w:cs="Arial"/>
          <w:b/>
          <w:lang w:val="en-US"/>
        </w:rPr>
        <w:t>ISO 14001:2015:</w:t>
      </w:r>
      <w:r>
        <w:rPr>
          <w:rFonts w:cs="Arial"/>
          <w:bCs/>
          <w:lang w:val="en-US"/>
        </w:rPr>
        <w:t xml:space="preserve"> Brasilseg is certified to ISO 14001:2015, which attests to the international standard of the company's Environmental Management System (EMS). This system is based on the analysis of significant environmental aspects and impacts, direct and indirect, associated with the processes at the company's head office. Caring for the environment is a daily practice in the company, which sets goals and challenges in its sustainable management, with an impact on the entire value chain.</w:t>
      </w:r>
    </w:p>
    <w:p w14:paraId="4EB095B5" w14:textId="77777777" w:rsidR="004E0039" w:rsidRDefault="004343CB" w:rsidP="004E0039">
      <w:pPr>
        <w:pStyle w:val="05-Textonormal"/>
        <w:numPr>
          <w:ilvl w:val="0"/>
          <w:numId w:val="22"/>
        </w:numPr>
        <w:rPr>
          <w:rFonts w:cs="Arial"/>
          <w:bCs/>
        </w:rPr>
      </w:pPr>
      <w:r>
        <w:rPr>
          <w:rFonts w:cs="Arial"/>
          <w:b/>
          <w:bCs/>
          <w:lang w:val="en-US"/>
        </w:rPr>
        <w:t>Global Compact Brazil Network –</w:t>
      </w:r>
      <w:r>
        <w:rPr>
          <w:rFonts w:cs="Arial"/>
          <w:bCs/>
          <w:lang w:val="en-US"/>
        </w:rPr>
        <w:t xml:space="preserve"> Brasilseg became, in 2019, a signatory of the Global Compact, aiming at contributing to building a more inclusive and equitable global market. </w:t>
      </w:r>
    </w:p>
    <w:p w14:paraId="676C1ABE" w14:textId="77777777" w:rsidR="004E0039" w:rsidRDefault="004343CB" w:rsidP="004E0039">
      <w:pPr>
        <w:pStyle w:val="05-Textonormal"/>
        <w:numPr>
          <w:ilvl w:val="0"/>
          <w:numId w:val="22"/>
        </w:numPr>
        <w:rPr>
          <w:rFonts w:cs="Arial"/>
          <w:bCs/>
        </w:rPr>
      </w:pPr>
      <w:r>
        <w:rPr>
          <w:rFonts w:cs="Arial"/>
          <w:b/>
          <w:bCs/>
          <w:lang w:val="en-US"/>
        </w:rPr>
        <w:t>Brazilian GHG Protocol Program –</w:t>
      </w:r>
      <w:r>
        <w:rPr>
          <w:rFonts w:cs="Arial"/>
          <w:lang w:val="en-US"/>
        </w:rPr>
        <w:t xml:space="preserve"> the company measures greenhouse gas emissions at its administrative head office and in Franca, through the GHG Protocol Carbon Management Tool, to offset emissions. The process covers all associates and, in the calculation of emissions, takes into account energy consumption, waste generated, the trip of associates to the company and travel on business trips. In 2021, 531 tons of CO2 equivalent were offset through the voluntary cancellation of carbon credits within the scope of the Clean Development Mechanism (CDM).</w:t>
      </w:r>
    </w:p>
    <w:p w14:paraId="394ACAA2" w14:textId="77777777" w:rsidR="004E0039" w:rsidRDefault="004343CB" w:rsidP="004E0039">
      <w:pPr>
        <w:pStyle w:val="PargrafodaLista"/>
        <w:numPr>
          <w:ilvl w:val="0"/>
          <w:numId w:val="22"/>
        </w:numPr>
        <w:spacing w:before="120" w:after="120"/>
        <w:jc w:val="both"/>
        <w:rPr>
          <w:rFonts w:ascii="Arial" w:eastAsia="Times New Roman" w:hAnsi="Arial" w:cs="Arial"/>
          <w:bCs/>
          <w:spacing w:val="-2"/>
          <w:sz w:val="18"/>
          <w:szCs w:val="18"/>
          <w:lang w:eastAsia="pt-BR"/>
        </w:rPr>
      </w:pPr>
      <w:r>
        <w:rPr>
          <w:rFonts w:ascii="Arial" w:eastAsia="Times New Roman" w:hAnsi="Arial" w:cs="Arial"/>
          <w:b/>
          <w:bCs/>
          <w:spacing w:val="-2"/>
          <w:sz w:val="18"/>
          <w:szCs w:val="18"/>
          <w:lang w:val="en-US" w:eastAsia="pt-BR"/>
        </w:rPr>
        <w:t>Sustainable Development Goals – SDGs –</w:t>
      </w:r>
      <w:r>
        <w:rPr>
          <w:rFonts w:ascii="Arial" w:eastAsia="Times New Roman" w:hAnsi="Arial" w:cs="Arial"/>
          <w:bCs/>
          <w:spacing w:val="-2"/>
          <w:sz w:val="18"/>
          <w:szCs w:val="18"/>
          <w:lang w:val="en-US" w:eastAsia="pt-BR"/>
        </w:rPr>
        <w:t xml:space="preserve"> Brasilseg operates in line with the SDGs through a set of commitments, programs and goals in areas such as diversity, inclusion, customer relations and compliance. Additionally, it promotes employee engagement with the cause through educational actions within the company itself. </w:t>
      </w:r>
    </w:p>
    <w:p w14:paraId="054C7A01" w14:textId="77777777" w:rsidR="004E0039" w:rsidRDefault="004343CB" w:rsidP="004E0039">
      <w:pPr>
        <w:pStyle w:val="05-Textonormal"/>
        <w:numPr>
          <w:ilvl w:val="0"/>
          <w:numId w:val="22"/>
        </w:numPr>
        <w:rPr>
          <w:rFonts w:cs="Arial"/>
          <w:bCs/>
        </w:rPr>
      </w:pPr>
      <w:r>
        <w:rPr>
          <w:rFonts w:cs="Arial"/>
          <w:b/>
          <w:lang w:val="en-US"/>
        </w:rPr>
        <w:t>Principles for Sustainable Insurance (PSI):</w:t>
      </w:r>
      <w:r>
        <w:rPr>
          <w:rFonts w:cs="Arial"/>
          <w:bCs/>
          <w:lang w:val="en-US"/>
        </w:rPr>
        <w:t xml:space="preserve"> since 2019, the company has formally signed the PSI and has been developing actions, projects and investments to comply with them.</w:t>
      </w:r>
    </w:p>
    <w:p w14:paraId="61F120F9" w14:textId="77777777" w:rsidR="004E0039" w:rsidRDefault="004343CB" w:rsidP="004E0039">
      <w:pPr>
        <w:pStyle w:val="05-Textonormal"/>
        <w:numPr>
          <w:ilvl w:val="0"/>
          <w:numId w:val="22"/>
        </w:numPr>
        <w:rPr>
          <w:rFonts w:cs="Arial"/>
          <w:bCs/>
        </w:rPr>
      </w:pPr>
      <w:r>
        <w:rPr>
          <w:rFonts w:cs="Arial"/>
          <w:b/>
          <w:lang w:val="en-US"/>
        </w:rPr>
        <w:t>Incentive Projects</w:t>
      </w:r>
      <w:r>
        <w:rPr>
          <w:rFonts w:cs="Arial"/>
          <w:bCs/>
          <w:lang w:val="en-US"/>
        </w:rPr>
        <w:t>: in 2021, 20 sociocultural projects were carried out through the Culture Incentive Law, the Sports Incentive Law, the Childhood and Adolescence Fund and the Elderly Fund, with more than 64,857 thousand people assisted.</w:t>
      </w:r>
    </w:p>
    <w:p w14:paraId="7A8ADB87" w14:textId="77777777" w:rsidR="00C81A16" w:rsidRPr="009F6EC6" w:rsidRDefault="004343CB" w:rsidP="00C81A16">
      <w:pPr>
        <w:pStyle w:val="05-Textonormal"/>
        <w:rPr>
          <w:rFonts w:cs="Arial"/>
          <w:bCs/>
          <w:color w:val="FF0000"/>
        </w:rPr>
      </w:pPr>
      <w:r w:rsidRPr="009F6EC6">
        <w:rPr>
          <w:rFonts w:cs="Arial"/>
          <w:bCs/>
          <w:lang w:val="en-US"/>
        </w:rPr>
        <w:t xml:space="preserve">Committed to the principles of accountability and greater transparency in relation to Environmental, Social and Governance practices, Brasilseg began to publish, as of 2019, its Sustainability Report following the guidelines of the Global Reporting Initiative (GRI), available on the company website </w:t>
      </w:r>
      <w:hyperlink r:id="rId15" w:history="1">
        <w:r w:rsidR="000838E1" w:rsidRPr="00741546">
          <w:rPr>
            <w:rStyle w:val="Hyperlink"/>
            <w:rFonts w:cs="Arial"/>
            <w:bCs/>
            <w:lang w:val="en-US"/>
          </w:rPr>
          <w:t>https://www.bbseguros.com.br/seguradora/seguros/quem-somos/sustentabilidade</w:t>
        </w:r>
      </w:hyperlink>
      <w:r w:rsidRPr="009F6EC6">
        <w:rPr>
          <w:rFonts w:cs="Arial"/>
          <w:bCs/>
          <w:lang w:val="en-US"/>
        </w:rPr>
        <w:t>.</w:t>
      </w:r>
    </w:p>
    <w:p w14:paraId="3C14B989" w14:textId="77777777" w:rsidR="00C81A16" w:rsidRPr="00985AC5" w:rsidRDefault="00C81A16" w:rsidP="00C81A16">
      <w:pPr>
        <w:spacing w:line="256" w:lineRule="auto"/>
        <w:rPr>
          <w:rFonts w:eastAsia="Times New Roman" w:cs="Arial"/>
          <w:bCs/>
          <w:spacing w:val="-2"/>
          <w:szCs w:val="18"/>
          <w:highlight w:val="yellow"/>
          <w:lang w:eastAsia="pt-BR"/>
        </w:rPr>
      </w:pPr>
    </w:p>
    <w:p w14:paraId="021EA167" w14:textId="77777777" w:rsidR="00C81A16" w:rsidRPr="000838E1" w:rsidRDefault="004343CB" w:rsidP="000838E1">
      <w:pPr>
        <w:pStyle w:val="03-SubttulodeNota"/>
        <w:spacing w:line="276" w:lineRule="auto"/>
        <w:rPr>
          <w:b w:val="0"/>
          <w:bCs/>
          <w:color w:val="000000" w:themeColor="text1"/>
          <w:u w:val="single"/>
        </w:rPr>
      </w:pPr>
      <w:r w:rsidRPr="000838E1">
        <w:rPr>
          <w:b w:val="0"/>
          <w:bCs/>
          <w:color w:val="000000" w:themeColor="text1"/>
          <w:u w:val="single"/>
          <w:lang w:val="en-US"/>
        </w:rPr>
        <w:t>Brasilprev</w:t>
      </w:r>
    </w:p>
    <w:p w14:paraId="6C229DB8" w14:textId="77777777" w:rsidR="003252A8" w:rsidRPr="00D12410" w:rsidRDefault="004343CB" w:rsidP="003252A8">
      <w:pPr>
        <w:pStyle w:val="05-Textonormal"/>
        <w:numPr>
          <w:ilvl w:val="0"/>
          <w:numId w:val="9"/>
        </w:numPr>
        <w:ind w:left="714" w:hanging="357"/>
        <w:rPr>
          <w:rFonts w:cs="Arial"/>
        </w:rPr>
      </w:pPr>
      <w:r w:rsidRPr="00D12410">
        <w:rPr>
          <w:rFonts w:cs="Arial"/>
          <w:b/>
          <w:lang w:val="en-US"/>
        </w:rPr>
        <w:t>Principles for Responsible Investment (PRI):</w:t>
      </w:r>
      <w:r w:rsidRPr="00D12410">
        <w:rPr>
          <w:rFonts w:cs="Arial"/>
          <w:lang w:val="en-US"/>
        </w:rPr>
        <w:t xml:space="preserve"> Brasilprev integrates and subscribes to voluntary commitments and agreements with institutions and organizations with which it shares principles and values in order to exercise its role as a transforming agent in society. Among them are the Principles for Responsible Investment (PRI), since 2017. The PRI is recognized for setting global standards related to responsible investing, encouraging investors to incorporate environmental, social and governance (ESG) aspects into their investment processes.</w:t>
      </w:r>
    </w:p>
    <w:p w14:paraId="0709899F" w14:textId="77777777" w:rsidR="003252A8" w:rsidRDefault="004343CB" w:rsidP="003252A8">
      <w:pPr>
        <w:numPr>
          <w:ilvl w:val="0"/>
          <w:numId w:val="9"/>
        </w:numPr>
        <w:spacing w:before="120" w:after="120" w:line="276" w:lineRule="auto"/>
        <w:jc w:val="both"/>
        <w:rPr>
          <w:rFonts w:eastAsia="Times New Roman" w:cs="Arial"/>
          <w:spacing w:val="-2"/>
          <w:szCs w:val="18"/>
          <w:lang w:eastAsia="pt-BR"/>
        </w:rPr>
      </w:pPr>
      <w:r w:rsidRPr="00B2703A">
        <w:rPr>
          <w:rFonts w:eastAsia="Times New Roman" w:cs="Arial"/>
          <w:b/>
          <w:bCs/>
          <w:spacing w:val="-2"/>
          <w:szCs w:val="18"/>
          <w:lang w:val="en-US" w:eastAsia="pt-BR"/>
        </w:rPr>
        <w:lastRenderedPageBreak/>
        <w:t>Expansion of ESG Investment Strategies:</w:t>
      </w:r>
      <w:r w:rsidRPr="00B2703A">
        <w:rPr>
          <w:rFonts w:eastAsia="Times New Roman" w:cs="Arial"/>
          <w:spacing w:val="-2"/>
          <w:szCs w:val="18"/>
          <w:lang w:val="en-US" w:eastAsia="pt-BR"/>
        </w:rPr>
        <w:t xml:space="preserve"> Brasilprev launched, in February 2019, the Brasilprev TOP ASG fund, with allocation to ETFs (Index Fund) regarding ESG abroad. Up to December 2021, the fund had an equity of R$757.0 million and a cumulative profitability of 8.7% (vs. 4.4% of CDI). </w:t>
      </w:r>
    </w:p>
    <w:p w14:paraId="13F140DA" w14:textId="77777777" w:rsidR="003252A8" w:rsidRPr="002A12F7" w:rsidRDefault="004343CB" w:rsidP="003252A8">
      <w:pPr>
        <w:spacing w:before="120" w:after="120" w:line="276" w:lineRule="auto"/>
        <w:ind w:left="720"/>
        <w:jc w:val="both"/>
        <w:rPr>
          <w:rFonts w:eastAsia="Times New Roman" w:cs="Arial"/>
          <w:spacing w:val="-2"/>
          <w:szCs w:val="18"/>
          <w:lang w:eastAsia="pt-BR"/>
        </w:rPr>
      </w:pPr>
      <w:r w:rsidRPr="00D7329A">
        <w:rPr>
          <w:rFonts w:eastAsia="Times New Roman" w:cs="Arial"/>
          <w:spacing w:val="-2"/>
          <w:szCs w:val="18"/>
          <w:lang w:val="en-US" w:eastAsia="pt-BR"/>
        </w:rPr>
        <w:t>In December/2020, the ESG strategy gave rise to two new products aimed at private customers, which, in addition to ETFs abroad, also invest in Brazilian stocks that follow good ESG practices. Brasilprev Private ASG FIC Multimercado ended 2021 with an equity of R$125.3 million and profitability of -10.6%, while Brasilprev Top ASG Brasil FI Ações accumulated an equity of R$108.4 million in the year and profitability of -10.6% (vs. Ibovespa's -11.9%).</w:t>
      </w:r>
    </w:p>
    <w:p w14:paraId="2951A57E" w14:textId="77777777" w:rsidR="003252A8" w:rsidRPr="002A12F7" w:rsidRDefault="004343CB" w:rsidP="003252A8">
      <w:pPr>
        <w:numPr>
          <w:ilvl w:val="0"/>
          <w:numId w:val="9"/>
        </w:numPr>
        <w:spacing w:before="120" w:after="120" w:line="276" w:lineRule="auto"/>
        <w:jc w:val="both"/>
        <w:rPr>
          <w:rFonts w:eastAsia="Times New Roman" w:cs="Arial"/>
          <w:spacing w:val="-2"/>
          <w:szCs w:val="18"/>
          <w:lang w:eastAsia="pt-BR"/>
        </w:rPr>
      </w:pPr>
      <w:r w:rsidRPr="002A12F7">
        <w:rPr>
          <w:rFonts w:eastAsia="Times New Roman" w:cs="Arial"/>
          <w:b/>
          <w:bCs/>
          <w:spacing w:val="-2"/>
          <w:szCs w:val="18"/>
          <w:lang w:val="en-US" w:eastAsia="pt-BR"/>
        </w:rPr>
        <w:t>Green Bond Statement:</w:t>
      </w:r>
      <w:r w:rsidRPr="002A12F7">
        <w:rPr>
          <w:rFonts w:eastAsia="Times New Roman" w:cs="Arial"/>
          <w:spacing w:val="-2"/>
          <w:szCs w:val="18"/>
          <w:lang w:val="en-US" w:eastAsia="pt-BR"/>
        </w:rPr>
        <w:t xml:space="preserve"> Brasilprev has been a signatory since 2017, together with other investors representing approximately R$ 1.8 trillion in assets under management. In the statement, the signatories commit to dialogue with entities, government or not, to stimulate the development of a robust Brazilian green bond market that truly contributes to addressing climate change. (Source: </w:t>
      </w:r>
      <w:hyperlink r:id="rId16" w:history="1">
        <w:r w:rsidRPr="007E7571">
          <w:rPr>
            <w:rStyle w:val="Hyperlink"/>
            <w:rFonts w:eastAsia="Times New Roman" w:cs="Arial"/>
            <w:spacing w:val="-2"/>
            <w:szCs w:val="18"/>
            <w:lang w:val="en-US" w:eastAsia="pt-BR"/>
          </w:rPr>
          <w:t>https://www.climatebonds.net/market/country/brasil/declaracao-de-investidores</w:t>
        </w:r>
      </w:hyperlink>
      <w:r w:rsidRPr="002A12F7">
        <w:rPr>
          <w:rFonts w:eastAsia="Times New Roman" w:cs="Arial"/>
          <w:spacing w:val="-2"/>
          <w:szCs w:val="18"/>
          <w:lang w:val="en-US" w:eastAsia="pt-BR"/>
        </w:rPr>
        <w:t xml:space="preserve">) </w:t>
      </w:r>
    </w:p>
    <w:p w14:paraId="3C469263" w14:textId="77777777" w:rsidR="003252A8" w:rsidRPr="00D12410" w:rsidRDefault="004343CB" w:rsidP="003252A8">
      <w:pPr>
        <w:numPr>
          <w:ilvl w:val="0"/>
          <w:numId w:val="9"/>
        </w:numPr>
        <w:spacing w:before="120" w:after="120" w:line="276" w:lineRule="auto"/>
        <w:jc w:val="both"/>
        <w:rPr>
          <w:rFonts w:eastAsia="Times New Roman" w:cs="Arial"/>
          <w:spacing w:val="-2"/>
          <w:szCs w:val="18"/>
          <w:lang w:eastAsia="pt-BR"/>
        </w:rPr>
      </w:pPr>
      <w:r w:rsidRPr="00D12410">
        <w:rPr>
          <w:rFonts w:eastAsia="Times New Roman" w:cs="Arial"/>
          <w:b/>
          <w:bCs/>
          <w:i/>
          <w:iCs/>
          <w:spacing w:val="-2"/>
          <w:szCs w:val="18"/>
          <w:lang w:val="en-US" w:eastAsia="pt-BR"/>
        </w:rPr>
        <w:t>Carbon Disclosure Project</w:t>
      </w:r>
      <w:r w:rsidRPr="00D12410">
        <w:rPr>
          <w:rFonts w:eastAsia="Times New Roman" w:cs="Arial"/>
          <w:spacing w:val="-2"/>
          <w:szCs w:val="18"/>
          <w:lang w:val="en-US" w:eastAsia="pt-BR"/>
        </w:rPr>
        <w:t xml:space="preserve"> </w:t>
      </w:r>
      <w:r w:rsidRPr="00D12410">
        <w:rPr>
          <w:rFonts w:eastAsia="Times New Roman" w:cs="Arial"/>
          <w:b/>
          <w:bCs/>
          <w:spacing w:val="-2"/>
          <w:szCs w:val="18"/>
          <w:lang w:val="en-US" w:eastAsia="pt-BR"/>
        </w:rPr>
        <w:t>(CDP):</w:t>
      </w:r>
      <w:r w:rsidRPr="00D12410">
        <w:rPr>
          <w:rFonts w:eastAsia="Times New Roman" w:cs="Arial"/>
          <w:spacing w:val="-2"/>
          <w:szCs w:val="18"/>
          <w:lang w:val="en-US" w:eastAsia="pt-BR"/>
        </w:rPr>
        <w:t xml:space="preserve"> Brasilprev participates in the CDP as a signatory investor, having access to its global database with information about the commitment of companies, whether potential or already invested, in relation to carbon emissions and sustainability actions.</w:t>
      </w:r>
    </w:p>
    <w:p w14:paraId="7A6AC1F8" w14:textId="77777777" w:rsidR="003252A8" w:rsidRPr="002E7E5B" w:rsidRDefault="004343CB" w:rsidP="003252A8">
      <w:pPr>
        <w:numPr>
          <w:ilvl w:val="0"/>
          <w:numId w:val="9"/>
        </w:numPr>
        <w:spacing w:before="120" w:after="120" w:line="276" w:lineRule="auto"/>
        <w:ind w:left="714" w:hanging="357"/>
        <w:jc w:val="both"/>
        <w:rPr>
          <w:rFonts w:eastAsia="Times New Roman" w:cs="Arial"/>
          <w:spacing w:val="-2"/>
          <w:szCs w:val="18"/>
          <w:lang w:eastAsia="pt-BR"/>
        </w:rPr>
      </w:pPr>
      <w:r w:rsidRPr="002E7E5B">
        <w:rPr>
          <w:rFonts w:eastAsia="Times New Roman" w:cs="Arial"/>
          <w:b/>
          <w:spacing w:val="-2"/>
          <w:szCs w:val="18"/>
          <w:lang w:val="en-US" w:eastAsia="pt-BR"/>
        </w:rPr>
        <w:t>Incentive projects:</w:t>
      </w:r>
      <w:r w:rsidRPr="002E7E5B">
        <w:rPr>
          <w:rFonts w:eastAsia="Times New Roman" w:cs="Arial"/>
          <w:spacing w:val="-2"/>
          <w:szCs w:val="18"/>
          <w:lang w:val="en-US" w:eastAsia="pt-BR"/>
        </w:rPr>
        <w:t xml:space="preserve"> in 2021, 9 social projects were supported through Incentive Laws (Elderly and Fumcad Pronas and Pronon), benefiting more than 85,600 Brazilians. </w:t>
      </w:r>
    </w:p>
    <w:p w14:paraId="6CA03769" w14:textId="77777777" w:rsidR="003252A8" w:rsidRDefault="004343CB" w:rsidP="003252A8">
      <w:pPr>
        <w:pStyle w:val="05-Textonormal"/>
        <w:spacing w:after="0" w:line="240" w:lineRule="auto"/>
        <w:rPr>
          <w:rFonts w:cs="Arial"/>
        </w:rPr>
      </w:pPr>
      <w:r w:rsidRPr="00D12410">
        <w:rPr>
          <w:rFonts w:cs="Arial"/>
          <w:lang w:val="en-US"/>
        </w:rPr>
        <w:t>Information related to the topic is available on the company's website (</w:t>
      </w:r>
      <w:hyperlink r:id="rId17" w:history="1">
        <w:r w:rsidRPr="00D12410">
          <w:rPr>
            <w:rStyle w:val="Hyperlink"/>
            <w:rFonts w:cs="Arial"/>
            <w:lang w:val="en-US"/>
          </w:rPr>
          <w:t>https://www1.brasilprev.com.br/quem-somos.html</w:t>
        </w:r>
      </w:hyperlink>
      <w:r w:rsidRPr="00D12410">
        <w:rPr>
          <w:rFonts w:cs="Arial"/>
          <w:lang w:val="en-US"/>
        </w:rPr>
        <w:t>).</w:t>
      </w:r>
    </w:p>
    <w:p w14:paraId="597A9BC6" w14:textId="77777777" w:rsidR="00C81A16" w:rsidRPr="00985AC5" w:rsidRDefault="00C81A16" w:rsidP="00C81A16">
      <w:pPr>
        <w:pStyle w:val="05-Textonormal"/>
        <w:spacing w:after="0" w:line="240" w:lineRule="auto"/>
        <w:rPr>
          <w:rFonts w:cs="Arial"/>
          <w:highlight w:val="yellow"/>
        </w:rPr>
      </w:pPr>
    </w:p>
    <w:p w14:paraId="4FB6D2AC" w14:textId="77777777" w:rsidR="00C81A16" w:rsidRPr="000838E1" w:rsidRDefault="004343CB" w:rsidP="000838E1">
      <w:pPr>
        <w:pStyle w:val="03-SubttulodeNota"/>
        <w:spacing w:line="276" w:lineRule="auto"/>
        <w:rPr>
          <w:b w:val="0"/>
          <w:bCs/>
          <w:color w:val="000000" w:themeColor="text1"/>
          <w:u w:val="single"/>
        </w:rPr>
      </w:pPr>
      <w:r w:rsidRPr="000838E1">
        <w:rPr>
          <w:b w:val="0"/>
          <w:bCs/>
          <w:color w:val="000000" w:themeColor="text1"/>
          <w:u w:val="single"/>
          <w:lang w:val="en-US"/>
        </w:rPr>
        <w:t>Brasilcap</w:t>
      </w:r>
    </w:p>
    <w:p w14:paraId="33BCDEDC" w14:textId="66BF4B9E" w:rsidR="00313C3B" w:rsidRPr="00DA7665" w:rsidRDefault="004343CB" w:rsidP="000F3AD5">
      <w:pPr>
        <w:pStyle w:val="05-Textonormal"/>
        <w:numPr>
          <w:ilvl w:val="0"/>
          <w:numId w:val="28"/>
        </w:numPr>
        <w:spacing w:after="0" w:line="240" w:lineRule="auto"/>
        <w:ind w:left="709"/>
        <w:rPr>
          <w:bCs/>
        </w:rPr>
      </w:pPr>
      <w:r w:rsidRPr="00DA7665">
        <w:rPr>
          <w:b/>
          <w:lang w:val="en-US"/>
        </w:rPr>
        <w:t>Principles for Sustainable Insurance (PSI):</w:t>
      </w:r>
      <w:r w:rsidRPr="00DA7665">
        <w:rPr>
          <w:bCs/>
          <w:lang w:val="en-US"/>
        </w:rPr>
        <w:t xml:space="preserve"> Brasilcap was the first </w:t>
      </w:r>
      <w:r w:rsidR="00ED1B20">
        <w:rPr>
          <w:bCs/>
          <w:lang w:val="en-US"/>
        </w:rPr>
        <w:t>premium bonds</w:t>
      </w:r>
      <w:r w:rsidRPr="00DA7665">
        <w:rPr>
          <w:bCs/>
          <w:lang w:val="en-US"/>
        </w:rPr>
        <w:t xml:space="preserve"> company to become a signatory to the Principles for Sustainable Insurance (PSI), a commitment to which it has been a part since 2015. This adhesion reinforces the Company's commitment to being an important voice in seeking for a more conscious and fair society, in addition to contributing to the continuous evolution of ESG issues, mitigating risks and providing transparency in the rendering of accounts to all stakeholders. </w:t>
      </w:r>
    </w:p>
    <w:p w14:paraId="6FBE779C" w14:textId="77777777" w:rsidR="00313C3B" w:rsidRDefault="004343CB" w:rsidP="00313C3B">
      <w:pPr>
        <w:pStyle w:val="05-Textonormal"/>
        <w:numPr>
          <w:ilvl w:val="0"/>
          <w:numId w:val="28"/>
        </w:numPr>
        <w:rPr>
          <w:rFonts w:cs="Arial"/>
        </w:rPr>
      </w:pPr>
      <w:r>
        <w:rPr>
          <w:rFonts w:cs="Arial"/>
          <w:b/>
          <w:lang w:val="en-US"/>
        </w:rPr>
        <w:t>Ethos Institute:</w:t>
      </w:r>
      <w:r>
        <w:rPr>
          <w:rFonts w:cs="Arial"/>
          <w:lang w:val="en-US"/>
        </w:rPr>
        <w:t xml:space="preserve"> Brasilcap is a member of the Ethos Institute, entitled to participate in forums related to ESG issues and using the Ethos Tool – which enables the management of indicators and monitoring of the ESG evolution and the company's overall sustainability index.</w:t>
      </w:r>
    </w:p>
    <w:p w14:paraId="78FF85C4" w14:textId="77777777" w:rsidR="00313C3B" w:rsidRDefault="004343CB" w:rsidP="00313C3B">
      <w:pPr>
        <w:pStyle w:val="05-Textonormal"/>
        <w:numPr>
          <w:ilvl w:val="0"/>
          <w:numId w:val="28"/>
        </w:numPr>
        <w:rPr>
          <w:rFonts w:cs="Arial"/>
          <w:bCs/>
        </w:rPr>
      </w:pPr>
      <w:r>
        <w:rPr>
          <w:b/>
          <w:bCs/>
          <w:lang w:val="en-US"/>
        </w:rPr>
        <w:t>Actions against Covid-19:</w:t>
      </w:r>
      <w:r>
        <w:rPr>
          <w:rFonts w:cs="Arial"/>
          <w:lang w:val="en-US"/>
        </w:rPr>
        <w:t xml:space="preserve"> Brasilcap expanded its activities in social responsibility in response to the health crisis triggered by Covid-19, having supported, among others, the actions “Adote um Leito ICU – Na Luta Contra o Coronavirus” (Adopt an ICU Bed – The Fight Against the Coronavirus), with the donation of resources that contributed to the acquisition of respirators, incubators, an electric bed for ICU, cardioverter, heart monitor, hospital supplies such as PPE (masks, aprons and surgical instruments), as well as expenses related to the services of physicians, nurses and assistants. Another point that is worth mentioning was the Brasilcap's Solidarity Program, which completed 10 years of history, reaffirming the solidarity and transformative approach present in the Company's trajectory. In this sense, the partnership between Brasilcap and Instituto da Criança (Children's Institute) made it possible to support the Educação + Digital project, aiming at minimizing the economic and social impact of the pandemic on the lives of young people in situations of social vulnerability, who relied on digital connection to carry out their studies. All of Brasilcap's donations - with the participation of volunteer associates - were intended for funding 2GB of internet for 12 months for students and teachers of the public education network in Rio de Janeiro, for use in tablets previously donated by the Educação + Digital project.</w:t>
      </w:r>
    </w:p>
    <w:p w14:paraId="7DBBB832" w14:textId="77777777" w:rsidR="00313C3B" w:rsidRDefault="00313C3B" w:rsidP="00313C3B">
      <w:pPr>
        <w:pStyle w:val="05-Textonormal"/>
        <w:ind w:left="360"/>
        <w:rPr>
          <w:rFonts w:cs="Arial"/>
          <w:bCs/>
        </w:rPr>
      </w:pPr>
    </w:p>
    <w:p w14:paraId="25964A14" w14:textId="77777777" w:rsidR="00313C3B" w:rsidRDefault="004343CB" w:rsidP="00313C3B">
      <w:pPr>
        <w:pStyle w:val="05-Textonormal"/>
        <w:spacing w:after="0" w:line="240" w:lineRule="auto"/>
        <w:rPr>
          <w:rFonts w:cs="Arial"/>
        </w:rPr>
      </w:pPr>
      <w:r>
        <w:rPr>
          <w:rFonts w:cs="Arial"/>
          <w:lang w:val="en-US"/>
        </w:rPr>
        <w:t>More information related to the topic is available on the company's website (https://www.brasilcap.com.br/brasilcap/brasilcap/responsabilidade-socioambiental/responsabilidade-socioambiental.html).</w:t>
      </w:r>
    </w:p>
    <w:p w14:paraId="11A4BB1C" w14:textId="77777777" w:rsidR="00C81A16" w:rsidRDefault="00C81A16" w:rsidP="00C81A16">
      <w:pPr>
        <w:pStyle w:val="05-Textonormal"/>
        <w:ind w:left="720"/>
      </w:pPr>
    </w:p>
    <w:p w14:paraId="77AACC7A"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t>KEY TAKE-AWAYS</w:t>
      </w:r>
    </w:p>
    <w:p w14:paraId="6E736412" w14:textId="77777777" w:rsidR="00C81A16" w:rsidRPr="00CB4344" w:rsidRDefault="004343CB" w:rsidP="00C81A16">
      <w:pPr>
        <w:pStyle w:val="PargrafodaLista"/>
        <w:spacing w:before="120" w:after="120"/>
        <w:ind w:left="0"/>
        <w:jc w:val="both"/>
        <w:rPr>
          <w:rFonts w:ascii="Arial" w:hAnsi="Arial" w:cs="Arial"/>
          <w:sz w:val="18"/>
          <w:szCs w:val="18"/>
        </w:rPr>
      </w:pPr>
      <w:r w:rsidRPr="00CB4344">
        <w:rPr>
          <w:rFonts w:ascii="Arial" w:hAnsi="Arial" w:cs="Arial"/>
          <w:sz w:val="18"/>
          <w:szCs w:val="18"/>
          <w:lang w:val="en-US"/>
        </w:rPr>
        <w:t>Below are the main awards and recognitions received in 2021 by the companies that are part of the BB Seguridade Group:</w:t>
      </w:r>
    </w:p>
    <w:p w14:paraId="5BD2FB33" w14:textId="77777777" w:rsidR="00C81A16" w:rsidRPr="00985AC5" w:rsidRDefault="00C81A16" w:rsidP="00C81A16">
      <w:pPr>
        <w:pStyle w:val="PargrafodaLista"/>
        <w:spacing w:before="120" w:after="120"/>
        <w:ind w:left="0"/>
        <w:jc w:val="both"/>
        <w:rPr>
          <w:rFonts w:ascii="Arial" w:eastAsia="Times New Roman" w:hAnsi="Arial" w:cs="Arial"/>
          <w:b/>
          <w:sz w:val="18"/>
          <w:szCs w:val="18"/>
          <w:highlight w:val="yellow"/>
          <w:lang w:eastAsia="pt-BR"/>
        </w:rPr>
      </w:pPr>
    </w:p>
    <w:p w14:paraId="47FBCCB0" w14:textId="77777777" w:rsidR="00C81A16" w:rsidRPr="00F86F99" w:rsidRDefault="004343CB" w:rsidP="000838E1">
      <w:pPr>
        <w:pStyle w:val="03-SubttulodeNota"/>
        <w:spacing w:line="276" w:lineRule="auto"/>
        <w:rPr>
          <w:b w:val="0"/>
          <w:color w:val="1F4E79" w:themeColor="accent1" w:themeShade="80"/>
        </w:rPr>
      </w:pPr>
      <w:r w:rsidRPr="000838E1">
        <w:rPr>
          <w:b w:val="0"/>
          <w:bCs/>
          <w:color w:val="000000" w:themeColor="text1"/>
          <w:u w:val="single"/>
          <w:lang w:val="en-US"/>
        </w:rPr>
        <w:t>Brasilseg</w:t>
      </w:r>
    </w:p>
    <w:p w14:paraId="21E84AC4" w14:textId="77777777" w:rsidR="00C81A16" w:rsidRPr="00985AC5" w:rsidRDefault="00C81A16" w:rsidP="00C81A16">
      <w:pPr>
        <w:pStyle w:val="PargrafodaLista"/>
        <w:spacing w:before="120" w:after="120"/>
        <w:ind w:left="360"/>
        <w:jc w:val="both"/>
        <w:rPr>
          <w:rFonts w:ascii="Arial" w:eastAsia="Times New Roman" w:hAnsi="Arial" w:cs="Arial"/>
          <w:b/>
          <w:sz w:val="18"/>
          <w:szCs w:val="18"/>
          <w:highlight w:val="yellow"/>
          <w:lang w:eastAsia="pt-BR"/>
        </w:rPr>
      </w:pPr>
    </w:p>
    <w:p w14:paraId="6788F7F9" w14:textId="77777777" w:rsidR="00F86F99" w:rsidRPr="00323AEB" w:rsidRDefault="004343CB" w:rsidP="00F86F99">
      <w:pPr>
        <w:pStyle w:val="PargrafodaLista"/>
        <w:numPr>
          <w:ilvl w:val="0"/>
          <w:numId w:val="13"/>
        </w:numPr>
        <w:spacing w:after="0"/>
        <w:ind w:left="714" w:hanging="357"/>
        <w:jc w:val="both"/>
        <w:rPr>
          <w:rFonts w:ascii="Arial" w:hAnsi="Arial" w:cs="Arial"/>
          <w:b/>
          <w:bCs/>
          <w:sz w:val="18"/>
          <w:szCs w:val="18"/>
        </w:rPr>
      </w:pPr>
      <w:r w:rsidRPr="00323AEB">
        <w:rPr>
          <w:rFonts w:cs="Arial"/>
          <w:b/>
          <w:bCs/>
          <w:szCs w:val="18"/>
          <w:lang w:val="en-US"/>
        </w:rPr>
        <w:t>Ranking 100 Open Corps 2021:</w:t>
      </w:r>
      <w:r w:rsidRPr="00323AEB">
        <w:rPr>
          <w:rFonts w:ascii="Arial" w:hAnsi="Arial" w:cs="Arial"/>
          <w:sz w:val="18"/>
          <w:szCs w:val="18"/>
          <w:lang w:val="en-US"/>
        </w:rPr>
        <w:t xml:space="preserve"> One of the leading corporations in open innovation with startups by the Ranking 100 Open Corps 2021, ranking TOP 3 among insurance companies. The ranking recognizes the companies leading </w:t>
      </w:r>
      <w:r w:rsidRPr="00F86F99">
        <w:rPr>
          <w:rFonts w:ascii="Arial" w:hAnsi="Arial" w:cs="Arial"/>
          <w:i/>
          <w:iCs/>
          <w:sz w:val="18"/>
          <w:szCs w:val="18"/>
          <w:lang w:val="en-US"/>
        </w:rPr>
        <w:t>open innovation</w:t>
      </w:r>
      <w:r w:rsidRPr="00323AEB">
        <w:rPr>
          <w:rFonts w:ascii="Arial" w:hAnsi="Arial" w:cs="Arial"/>
          <w:sz w:val="18"/>
          <w:szCs w:val="18"/>
          <w:lang w:val="en-US"/>
        </w:rPr>
        <w:t xml:space="preserve"> with startups in Brazil, in order to promote business and connections. The </w:t>
      </w:r>
      <w:r w:rsidRPr="00323AEB">
        <w:rPr>
          <w:rFonts w:ascii="Arial" w:hAnsi="Arial" w:cs="Arial"/>
          <w:sz w:val="18"/>
          <w:szCs w:val="18"/>
          <w:lang w:val="en-US"/>
        </w:rPr>
        <w:lastRenderedPageBreak/>
        <w:t>company was awarded for Impulso Open, a Brasilseg program that seeks innovative partnerships capable of transforming the insurance market, simplifying processes and achieving excellence in customer relationships.</w:t>
      </w:r>
    </w:p>
    <w:p w14:paraId="0C9E0332" w14:textId="77777777" w:rsidR="00F86F99" w:rsidRPr="00323AEB" w:rsidRDefault="00F86F99" w:rsidP="00F86F99">
      <w:pPr>
        <w:pStyle w:val="PargrafodaLista"/>
        <w:rPr>
          <w:rFonts w:ascii="Arial" w:hAnsi="Arial" w:cs="Arial"/>
          <w:b/>
          <w:bCs/>
          <w:sz w:val="18"/>
          <w:szCs w:val="18"/>
        </w:rPr>
      </w:pPr>
    </w:p>
    <w:p w14:paraId="24ED52AF" w14:textId="77777777" w:rsidR="00F86F99" w:rsidRPr="00323AEB" w:rsidRDefault="004343CB" w:rsidP="00F86F99">
      <w:pPr>
        <w:pStyle w:val="PargrafodaLista"/>
        <w:numPr>
          <w:ilvl w:val="0"/>
          <w:numId w:val="13"/>
        </w:numPr>
        <w:spacing w:after="0"/>
        <w:ind w:left="714" w:hanging="357"/>
        <w:jc w:val="both"/>
        <w:rPr>
          <w:rFonts w:ascii="Arial" w:hAnsi="Arial" w:cs="Arial"/>
          <w:b/>
          <w:bCs/>
          <w:sz w:val="18"/>
          <w:szCs w:val="18"/>
        </w:rPr>
      </w:pPr>
      <w:r w:rsidRPr="00323AEB">
        <w:rPr>
          <w:rFonts w:ascii="Arial" w:hAnsi="Arial" w:cs="Arial"/>
          <w:b/>
          <w:bCs/>
          <w:sz w:val="18"/>
          <w:szCs w:val="18"/>
          <w:lang w:val="en-US"/>
        </w:rPr>
        <w:t>Prêmio Clientes S/A:</w:t>
      </w:r>
      <w:r w:rsidRPr="00323AEB">
        <w:rPr>
          <w:rFonts w:ascii="Arial" w:hAnsi="Arial" w:cs="Arial"/>
          <w:sz w:val="18"/>
          <w:szCs w:val="18"/>
          <w:lang w:val="en-US"/>
        </w:rPr>
        <w:t xml:space="preserve"> The Voice of the Customer Program </w:t>
      </w:r>
      <w:r w:rsidRPr="00F86F99">
        <w:rPr>
          <w:rFonts w:ascii="Arial" w:hAnsi="Arial" w:cs="Arial"/>
          <w:i/>
          <w:iCs/>
          <w:sz w:val="18"/>
          <w:szCs w:val="18"/>
          <w:lang w:val="en-US"/>
        </w:rPr>
        <w:t>case</w:t>
      </w:r>
      <w:r w:rsidRPr="00323AEB">
        <w:rPr>
          <w:rFonts w:ascii="Arial" w:hAnsi="Arial" w:cs="Arial"/>
          <w:sz w:val="18"/>
          <w:szCs w:val="18"/>
          <w:lang w:val="en-US"/>
        </w:rPr>
        <w:t xml:space="preserve"> won in the Customer/CRM/CX/CS/CSM Project Leader category of Prêmio Clientes S/A, occupying the 3rd position of the award, which identifies and makes projections to the best practices in customer relationship, in Brazil.</w:t>
      </w:r>
    </w:p>
    <w:p w14:paraId="3F89BBEC" w14:textId="77777777" w:rsidR="00F86F99" w:rsidRPr="00323AEB" w:rsidRDefault="00F86F99" w:rsidP="00F86F99">
      <w:pPr>
        <w:pStyle w:val="PargrafodaLista"/>
        <w:rPr>
          <w:rFonts w:ascii="Arial" w:hAnsi="Arial" w:cs="Arial"/>
          <w:b/>
          <w:bCs/>
          <w:sz w:val="18"/>
          <w:szCs w:val="18"/>
        </w:rPr>
      </w:pPr>
    </w:p>
    <w:p w14:paraId="21FB16FE" w14:textId="77777777" w:rsidR="00F86F99" w:rsidRPr="00B726D8" w:rsidRDefault="004343CB" w:rsidP="009416B9">
      <w:pPr>
        <w:pStyle w:val="PargrafodaLista"/>
        <w:numPr>
          <w:ilvl w:val="0"/>
          <w:numId w:val="13"/>
        </w:numPr>
        <w:spacing w:after="0"/>
        <w:ind w:left="714" w:hanging="357"/>
        <w:jc w:val="both"/>
        <w:rPr>
          <w:rFonts w:ascii="Arial" w:hAnsi="Arial" w:cs="Arial"/>
          <w:sz w:val="18"/>
          <w:szCs w:val="18"/>
        </w:rPr>
      </w:pPr>
      <w:r w:rsidRPr="00B726D8">
        <w:rPr>
          <w:rFonts w:ascii="Arial" w:hAnsi="Arial" w:cs="Arial"/>
          <w:b/>
          <w:sz w:val="18"/>
          <w:szCs w:val="18"/>
          <w:lang w:val="en-US"/>
        </w:rPr>
        <w:t>Ranking Inovação Brasil - Valor Econômico:</w:t>
      </w:r>
      <w:r w:rsidR="00B726D8">
        <w:rPr>
          <w:rFonts w:ascii="Arial" w:hAnsi="Arial" w:cs="Arial"/>
          <w:sz w:val="18"/>
          <w:szCs w:val="18"/>
          <w:lang w:val="en-US"/>
        </w:rPr>
        <w:t xml:space="preserve"> Brasilseg was one of the four most innovative insurance companies in the country by the Valor Econômico's ranking Inovação Brasil, the most important vehicle for economics, finance and business in Brazil. In the general ranking, the company was among the 100 companies in the country that invest in and support innovation the most.</w:t>
      </w:r>
    </w:p>
    <w:p w14:paraId="5DF92991" w14:textId="77777777" w:rsidR="00BB15B8" w:rsidRPr="00323AEB" w:rsidRDefault="00BB15B8" w:rsidP="00F86F99">
      <w:pPr>
        <w:pStyle w:val="PargrafodaLista"/>
        <w:rPr>
          <w:rFonts w:ascii="Arial" w:hAnsi="Arial" w:cs="Arial"/>
          <w:sz w:val="18"/>
          <w:szCs w:val="18"/>
        </w:rPr>
      </w:pPr>
    </w:p>
    <w:p w14:paraId="7CF75408" w14:textId="77777777" w:rsidR="00F86F99" w:rsidRPr="000838E1" w:rsidRDefault="004343CB" w:rsidP="000838E1">
      <w:pPr>
        <w:pStyle w:val="03-SubttulodeNota"/>
        <w:spacing w:line="276" w:lineRule="auto"/>
        <w:rPr>
          <w:b w:val="0"/>
          <w:bCs/>
          <w:color w:val="000000" w:themeColor="text1"/>
          <w:u w:val="single"/>
        </w:rPr>
      </w:pPr>
      <w:r w:rsidRPr="000838E1">
        <w:rPr>
          <w:b w:val="0"/>
          <w:bCs/>
          <w:color w:val="000000" w:themeColor="text1"/>
          <w:u w:val="single"/>
          <w:lang w:val="en-US"/>
        </w:rPr>
        <w:t>Brasilprev</w:t>
      </w:r>
    </w:p>
    <w:p w14:paraId="375FAA4C" w14:textId="77777777" w:rsidR="00F86F99" w:rsidRDefault="00F86F99" w:rsidP="00F86F99">
      <w:pPr>
        <w:spacing w:after="0"/>
        <w:jc w:val="both"/>
        <w:rPr>
          <w:rFonts w:eastAsia="Times New Roman" w:cs="Times New Roman"/>
          <w:b/>
          <w:color w:val="1F4E79" w:themeColor="accent1" w:themeShade="80"/>
          <w:spacing w:val="-2"/>
          <w:sz w:val="20"/>
          <w:szCs w:val="20"/>
          <w:lang w:eastAsia="pt-BR"/>
        </w:rPr>
      </w:pPr>
    </w:p>
    <w:p w14:paraId="6C14F4F5" w14:textId="77777777" w:rsidR="00F86F99" w:rsidRPr="00B62F9D" w:rsidRDefault="004343CB" w:rsidP="00F86F99">
      <w:pPr>
        <w:pStyle w:val="PargrafodaLista"/>
        <w:numPr>
          <w:ilvl w:val="0"/>
          <w:numId w:val="25"/>
        </w:numPr>
        <w:jc w:val="both"/>
        <w:rPr>
          <w:rFonts w:ascii="Arial" w:hAnsi="Arial" w:cs="Arial"/>
          <w:sz w:val="18"/>
          <w:szCs w:val="18"/>
        </w:rPr>
      </w:pPr>
      <w:r w:rsidRPr="00B62F9D">
        <w:rPr>
          <w:rFonts w:ascii="Arial" w:hAnsi="Arial" w:cs="Arial"/>
          <w:b/>
          <w:bCs/>
          <w:sz w:val="18"/>
          <w:szCs w:val="18"/>
          <w:lang w:val="en-US"/>
        </w:rPr>
        <w:t>Guia de Previdência Valor/FGV 2021:</w:t>
      </w:r>
      <w:r w:rsidRPr="00B62F9D">
        <w:rPr>
          <w:rFonts w:ascii="Arial" w:hAnsi="Arial" w:cs="Arial"/>
          <w:sz w:val="18"/>
          <w:szCs w:val="18"/>
          <w:lang w:val="en-US"/>
        </w:rPr>
        <w:t xml:space="preserve"> Brasilprev was recognized as the best company in the sector, in 4 categories, in the special edition of Guia de Previdência Valor/FGV 2021.  The study is carried out by the Valor Econômico newspaper in partnership with Fundação Getúlio Vargas (FGV). (Nov/2021). Below are all the categories:</w:t>
      </w:r>
    </w:p>
    <w:p w14:paraId="7B06428D" w14:textId="77777777" w:rsidR="00F86F99" w:rsidRPr="00B62F9D" w:rsidRDefault="004343CB" w:rsidP="00F86F99">
      <w:pPr>
        <w:pStyle w:val="PargrafodaLista"/>
        <w:numPr>
          <w:ilvl w:val="1"/>
          <w:numId w:val="25"/>
        </w:numPr>
        <w:jc w:val="both"/>
        <w:rPr>
          <w:rFonts w:ascii="Arial" w:hAnsi="Arial" w:cs="Arial"/>
          <w:sz w:val="18"/>
          <w:szCs w:val="18"/>
        </w:rPr>
      </w:pPr>
      <w:r w:rsidRPr="00B62F9D">
        <w:rPr>
          <w:rFonts w:ascii="Arial" w:hAnsi="Arial" w:cs="Arial"/>
          <w:sz w:val="18"/>
          <w:szCs w:val="18"/>
          <w:lang w:val="en-US"/>
        </w:rPr>
        <w:t>Best Manager in the 5-year period</w:t>
      </w:r>
    </w:p>
    <w:p w14:paraId="3A341CA0" w14:textId="77777777" w:rsidR="00F86F99" w:rsidRPr="00B62F9D" w:rsidRDefault="004343CB" w:rsidP="00F86F99">
      <w:pPr>
        <w:pStyle w:val="PargrafodaLista"/>
        <w:numPr>
          <w:ilvl w:val="1"/>
          <w:numId w:val="25"/>
        </w:numPr>
        <w:jc w:val="both"/>
        <w:rPr>
          <w:rFonts w:ascii="Arial" w:hAnsi="Arial" w:cs="Arial"/>
          <w:sz w:val="18"/>
          <w:szCs w:val="18"/>
        </w:rPr>
      </w:pPr>
      <w:r w:rsidRPr="00B62F9D">
        <w:rPr>
          <w:rFonts w:ascii="Arial" w:hAnsi="Arial" w:cs="Arial"/>
          <w:sz w:val="18"/>
          <w:szCs w:val="18"/>
          <w:lang w:val="en-US"/>
        </w:rPr>
        <w:t>Best Manager in the 7-year period</w:t>
      </w:r>
    </w:p>
    <w:p w14:paraId="7C3AF446" w14:textId="77777777" w:rsidR="00F86F99" w:rsidRPr="00B62F9D" w:rsidRDefault="004343CB" w:rsidP="00F86F99">
      <w:pPr>
        <w:pStyle w:val="PargrafodaLista"/>
        <w:numPr>
          <w:ilvl w:val="1"/>
          <w:numId w:val="25"/>
        </w:numPr>
        <w:jc w:val="both"/>
        <w:rPr>
          <w:rFonts w:ascii="Arial" w:hAnsi="Arial" w:cs="Arial"/>
          <w:sz w:val="18"/>
          <w:szCs w:val="18"/>
        </w:rPr>
      </w:pPr>
      <w:r w:rsidRPr="00B62F9D">
        <w:rPr>
          <w:rFonts w:ascii="Arial" w:hAnsi="Arial" w:cs="Arial"/>
          <w:sz w:val="18"/>
          <w:szCs w:val="18"/>
          <w:lang w:val="en-US"/>
        </w:rPr>
        <w:t>Best Pension Plan Manager Target Date</w:t>
      </w:r>
    </w:p>
    <w:p w14:paraId="7CBA0C93" w14:textId="77777777" w:rsidR="00F86F99" w:rsidRPr="00B62F9D" w:rsidRDefault="004343CB" w:rsidP="00F86F99">
      <w:pPr>
        <w:pStyle w:val="PargrafodaLista"/>
        <w:numPr>
          <w:ilvl w:val="1"/>
          <w:numId w:val="25"/>
        </w:numPr>
        <w:jc w:val="both"/>
        <w:rPr>
          <w:rFonts w:ascii="Arial" w:hAnsi="Arial" w:cs="Arial"/>
          <w:sz w:val="18"/>
          <w:szCs w:val="18"/>
        </w:rPr>
      </w:pPr>
      <w:r w:rsidRPr="00B62F9D">
        <w:rPr>
          <w:rFonts w:ascii="Arial" w:hAnsi="Arial" w:cs="Arial"/>
          <w:sz w:val="18"/>
          <w:szCs w:val="18"/>
          <w:lang w:val="en-US"/>
        </w:rPr>
        <w:t>Pension Plans Balanced from 15-30</w:t>
      </w:r>
    </w:p>
    <w:p w14:paraId="08815A04" w14:textId="77777777" w:rsidR="00F86F99" w:rsidRPr="00B62F9D" w:rsidRDefault="00F86F99" w:rsidP="00F86F99">
      <w:pPr>
        <w:pStyle w:val="PargrafodaLista"/>
        <w:ind w:left="1692"/>
        <w:jc w:val="both"/>
        <w:rPr>
          <w:rFonts w:ascii="Arial" w:hAnsi="Arial" w:cs="Arial"/>
          <w:sz w:val="18"/>
          <w:szCs w:val="18"/>
        </w:rPr>
      </w:pPr>
    </w:p>
    <w:p w14:paraId="6567139B" w14:textId="77777777" w:rsidR="00F86F99" w:rsidRPr="00B62F9D" w:rsidRDefault="004343CB" w:rsidP="00F86F99">
      <w:pPr>
        <w:pStyle w:val="PargrafodaLista"/>
        <w:numPr>
          <w:ilvl w:val="0"/>
          <w:numId w:val="25"/>
        </w:numPr>
        <w:jc w:val="both"/>
        <w:rPr>
          <w:rFonts w:ascii="Arial" w:hAnsi="Arial" w:cs="Arial"/>
          <w:sz w:val="18"/>
          <w:szCs w:val="18"/>
        </w:rPr>
      </w:pPr>
      <w:r w:rsidRPr="00B62F9D">
        <w:rPr>
          <w:rFonts w:ascii="Arial" w:hAnsi="Arial" w:cs="Arial"/>
          <w:b/>
          <w:bCs/>
          <w:sz w:val="18"/>
          <w:szCs w:val="18"/>
          <w:lang w:val="en-US"/>
        </w:rPr>
        <w:t>Empresas Mais do Estadão:</w:t>
      </w:r>
      <w:r w:rsidRPr="00B62F9D">
        <w:rPr>
          <w:rFonts w:ascii="Arial" w:hAnsi="Arial" w:cs="Arial"/>
          <w:sz w:val="18"/>
          <w:szCs w:val="18"/>
          <w:lang w:val="en-US"/>
        </w:rPr>
        <w:t xml:space="preserve"> for the second consecutive year, Brasilprev was ranked first in the insurance segment of “Empresas Mais do Estadão”, an award that assesses the economic criteria and the performance of each company in the areas of Corporate Governance and Innovation, indicating the companies with the best management and results in the country. The ranking is created by Estadão with partnerships of Fia and Austin Rating. (Nov/2021).</w:t>
      </w:r>
    </w:p>
    <w:p w14:paraId="3E681E70" w14:textId="77777777" w:rsidR="00F86F99" w:rsidRPr="00F86F99" w:rsidRDefault="00F86F99" w:rsidP="00F86F99">
      <w:pPr>
        <w:spacing w:after="0"/>
        <w:jc w:val="both"/>
        <w:rPr>
          <w:rFonts w:cs="Arial"/>
          <w:szCs w:val="18"/>
        </w:rPr>
      </w:pPr>
    </w:p>
    <w:p w14:paraId="3B649591" w14:textId="77777777" w:rsidR="00C81A16" w:rsidRPr="000838E1" w:rsidRDefault="004343CB" w:rsidP="000838E1">
      <w:pPr>
        <w:pStyle w:val="03-SubttulodeNota"/>
        <w:spacing w:line="276" w:lineRule="auto"/>
        <w:rPr>
          <w:b w:val="0"/>
          <w:bCs/>
          <w:color w:val="000000" w:themeColor="text1"/>
          <w:u w:val="single"/>
        </w:rPr>
      </w:pPr>
      <w:r w:rsidRPr="000838E1">
        <w:rPr>
          <w:b w:val="0"/>
          <w:bCs/>
          <w:color w:val="000000" w:themeColor="text1"/>
          <w:u w:val="single"/>
          <w:lang w:val="en-US"/>
        </w:rPr>
        <w:t>Brasilcap</w:t>
      </w:r>
    </w:p>
    <w:p w14:paraId="1CCA9E37" w14:textId="77777777" w:rsidR="00C81A16" w:rsidRPr="00985AC5" w:rsidRDefault="00C81A16" w:rsidP="00C81A16">
      <w:pPr>
        <w:pStyle w:val="PargrafodaLista"/>
        <w:spacing w:after="0" w:line="240" w:lineRule="auto"/>
        <w:jc w:val="both"/>
        <w:rPr>
          <w:rFonts w:ascii="Arial" w:hAnsi="Arial" w:cs="Arial"/>
          <w:b/>
          <w:bCs/>
          <w:sz w:val="18"/>
          <w:szCs w:val="18"/>
          <w:highlight w:val="yellow"/>
        </w:rPr>
      </w:pPr>
    </w:p>
    <w:p w14:paraId="242462D9" w14:textId="77777777" w:rsidR="00F86F99" w:rsidRDefault="004343CB" w:rsidP="00F86F99">
      <w:pPr>
        <w:pStyle w:val="PargrafodaLista"/>
        <w:numPr>
          <w:ilvl w:val="0"/>
          <w:numId w:val="26"/>
        </w:numPr>
        <w:spacing w:after="0"/>
        <w:ind w:left="714" w:hanging="357"/>
        <w:jc w:val="both"/>
        <w:rPr>
          <w:rFonts w:ascii="Arial" w:hAnsi="Arial" w:cs="Arial"/>
          <w:sz w:val="18"/>
          <w:szCs w:val="18"/>
        </w:rPr>
      </w:pPr>
      <w:r>
        <w:rPr>
          <w:rFonts w:ascii="Arial" w:hAnsi="Arial" w:cs="Arial"/>
          <w:b/>
          <w:bCs/>
          <w:sz w:val="18"/>
          <w:szCs w:val="18"/>
          <w:lang w:val="en-US"/>
        </w:rPr>
        <w:t>Certificado de Empresa Cidadã (Citizen Company Certificate):</w:t>
      </w:r>
      <w:r>
        <w:rPr>
          <w:rFonts w:ascii="Arial" w:hAnsi="Arial" w:cs="Arial"/>
          <w:sz w:val="18"/>
          <w:szCs w:val="18"/>
          <w:lang w:val="en-US"/>
        </w:rPr>
        <w:t xml:space="preserve"> for the eleventh consecutive year, Brasilcap was awarded the Citizen Company Certificate. In its 19th edition, the initiative of the Regional Accounting Council of Rio de Janeiro (CRCRJ) aims at encouraging excellence in the quality of accounting and socio-environmental information, published in the annual reports of companies of all sizes and segments in the country; </w:t>
      </w:r>
    </w:p>
    <w:p w14:paraId="22F0E185" w14:textId="77777777" w:rsidR="00F86F99" w:rsidRDefault="00F86F99" w:rsidP="00F86F99">
      <w:pPr>
        <w:spacing w:after="0"/>
        <w:ind w:left="714" w:hanging="357"/>
        <w:jc w:val="both"/>
        <w:rPr>
          <w:rFonts w:cs="Arial"/>
          <w:b/>
          <w:bCs/>
          <w:szCs w:val="18"/>
        </w:rPr>
      </w:pPr>
    </w:p>
    <w:p w14:paraId="0E08781F" w14:textId="43B00D63" w:rsidR="00F86F99" w:rsidRDefault="004343CB" w:rsidP="00F86F99">
      <w:pPr>
        <w:pStyle w:val="PargrafodaLista"/>
        <w:numPr>
          <w:ilvl w:val="0"/>
          <w:numId w:val="26"/>
        </w:numPr>
        <w:spacing w:after="0"/>
        <w:ind w:left="709" w:hanging="357"/>
        <w:jc w:val="both"/>
        <w:rPr>
          <w:rFonts w:ascii="Arial" w:hAnsi="Arial" w:cs="Arial"/>
          <w:sz w:val="18"/>
          <w:szCs w:val="18"/>
        </w:rPr>
      </w:pPr>
      <w:r>
        <w:rPr>
          <w:rFonts w:ascii="Arial" w:hAnsi="Arial" w:cs="Arial"/>
          <w:b/>
          <w:bCs/>
          <w:sz w:val="18"/>
          <w:szCs w:val="18"/>
          <w:lang w:val="en-US"/>
        </w:rPr>
        <w:t xml:space="preserve">Modern Consumer Award: </w:t>
      </w:r>
      <w:r>
        <w:rPr>
          <w:rFonts w:ascii="Arial" w:hAnsi="Arial" w:cs="Arial"/>
          <w:sz w:val="18"/>
          <w:szCs w:val="18"/>
          <w:lang w:val="en-US"/>
        </w:rPr>
        <w:t xml:space="preserve">Brasilcap was the winner, for the second consecutive year, of the 22nd edition of the “Modern Consumer Award for Excellence in Customer Service” in the Pension Plan and </w:t>
      </w:r>
      <w:r w:rsidR="00ED1B20">
        <w:rPr>
          <w:rFonts w:ascii="Arial" w:hAnsi="Arial" w:cs="Arial"/>
          <w:sz w:val="18"/>
          <w:szCs w:val="18"/>
          <w:lang w:val="en-US"/>
        </w:rPr>
        <w:t>Premium bonds</w:t>
      </w:r>
      <w:r>
        <w:rPr>
          <w:rFonts w:ascii="Arial" w:hAnsi="Arial" w:cs="Arial"/>
          <w:sz w:val="18"/>
          <w:szCs w:val="18"/>
          <w:lang w:val="en-US"/>
        </w:rPr>
        <w:t xml:space="preserve"> segment. The Award is an initiative of the Consumidor Moderno magazine, in partnership with the Standard Intelligence Center (CIP) and OnYou. The analysis process involved three phases, with different approaches, which ensured the assessment of different aspects of the service provided by the Company. This award is recognized as the Brazilian “Oscar” for corporate excellence in customer and consumer management.</w:t>
      </w:r>
    </w:p>
    <w:p w14:paraId="75F4F7B4" w14:textId="77777777" w:rsidR="00F86F99" w:rsidRDefault="00F86F99" w:rsidP="00F86F99">
      <w:pPr>
        <w:pStyle w:val="PargrafodaLista"/>
        <w:rPr>
          <w:rFonts w:ascii="Arial" w:hAnsi="Arial" w:cs="Arial"/>
          <w:sz w:val="18"/>
          <w:szCs w:val="18"/>
        </w:rPr>
      </w:pPr>
    </w:p>
    <w:p w14:paraId="51CFA84E" w14:textId="60ABA828" w:rsidR="00F86F99" w:rsidRDefault="004343CB" w:rsidP="00F86F99">
      <w:pPr>
        <w:pStyle w:val="PargrafodaLista"/>
        <w:numPr>
          <w:ilvl w:val="0"/>
          <w:numId w:val="26"/>
        </w:numPr>
        <w:spacing w:after="150"/>
        <w:ind w:left="714" w:hanging="357"/>
        <w:jc w:val="both"/>
        <w:rPr>
          <w:rFonts w:ascii="Arial" w:hAnsi="Arial" w:cs="Arial"/>
          <w:sz w:val="18"/>
          <w:szCs w:val="18"/>
        </w:rPr>
      </w:pPr>
      <w:r>
        <w:rPr>
          <w:rFonts w:ascii="Arial" w:hAnsi="Arial" w:cs="Arial"/>
          <w:b/>
          <w:bCs/>
          <w:sz w:val="18"/>
          <w:szCs w:val="18"/>
          <w:lang w:val="en-US"/>
        </w:rPr>
        <w:t>Empresas Mais:</w:t>
      </w:r>
      <w:r>
        <w:rPr>
          <w:rFonts w:ascii="Arial" w:hAnsi="Arial" w:cs="Arial"/>
          <w:sz w:val="18"/>
          <w:szCs w:val="18"/>
          <w:lang w:val="en-US"/>
        </w:rPr>
        <w:t xml:space="preserve"> Brasilcap was among the top three in the “Financial Services – </w:t>
      </w:r>
      <w:r w:rsidR="00ED1B20">
        <w:rPr>
          <w:rFonts w:ascii="Arial" w:hAnsi="Arial" w:cs="Arial"/>
          <w:sz w:val="18"/>
          <w:szCs w:val="18"/>
          <w:lang w:val="en-US"/>
        </w:rPr>
        <w:t>Premium bonds</w:t>
      </w:r>
      <w:r>
        <w:rPr>
          <w:rFonts w:ascii="Arial" w:hAnsi="Arial" w:cs="Arial"/>
          <w:sz w:val="18"/>
          <w:szCs w:val="18"/>
          <w:lang w:val="en-US"/>
        </w:rPr>
        <w:t>” category of the Empresas Mais award, made by the newspaper O Estado de São Paulo. The award goal is to value the best innovation and governance practices. This is the fifth consecutive year that Brasilcap has received this award.</w:t>
      </w:r>
    </w:p>
    <w:p w14:paraId="277E3155" w14:textId="59D88BF6" w:rsidR="00361B70" w:rsidRDefault="00361B70">
      <w:pPr>
        <w:rPr>
          <w:rFonts w:cs="Arial"/>
          <w:sz w:val="22"/>
        </w:rPr>
      </w:pPr>
      <w:r>
        <w:rPr>
          <w:rFonts w:cs="Arial"/>
          <w:sz w:val="22"/>
        </w:rPr>
        <w:br w:type="page"/>
      </w:r>
    </w:p>
    <w:p w14:paraId="7A8C9A04" w14:textId="77777777" w:rsidR="00C81A16" w:rsidRDefault="004343CB" w:rsidP="00C81A16">
      <w:pPr>
        <w:pStyle w:val="01-TtulodeNota"/>
        <w:numPr>
          <w:ilvl w:val="0"/>
          <w:numId w:val="16"/>
        </w:numPr>
        <w:ind w:left="357" w:hanging="357"/>
        <w:rPr>
          <w:color w:val="1F4E79" w:themeColor="accent1" w:themeShade="80"/>
        </w:rPr>
      </w:pPr>
      <w:r>
        <w:rPr>
          <w:color w:val="1F4E79" w:themeColor="accent1" w:themeShade="80"/>
          <w:lang w:val="en-US"/>
        </w:rPr>
        <w:lastRenderedPageBreak/>
        <w:t>LEGAL INFORMATION</w:t>
      </w:r>
    </w:p>
    <w:p w14:paraId="7EFD8B34" w14:textId="77777777" w:rsidR="00C81A16" w:rsidRDefault="00C81A16" w:rsidP="00C81A16">
      <w:pPr>
        <w:pStyle w:val="01-Textonormal"/>
      </w:pPr>
    </w:p>
    <w:p w14:paraId="5FD23E8D" w14:textId="2F374FF0" w:rsidR="00C81A16" w:rsidRPr="00DB0FF9" w:rsidRDefault="004343CB" w:rsidP="00C81A16">
      <w:pPr>
        <w:pStyle w:val="05-Textonormal"/>
        <w:rPr>
          <w:rFonts w:cs="Arial"/>
        </w:rPr>
      </w:pPr>
      <w:r w:rsidRPr="00DB0FF9">
        <w:rPr>
          <w:rFonts w:cs="Arial"/>
          <w:lang w:val="en-US"/>
        </w:rPr>
        <w:t xml:space="preserve">At the end of 2021, BB Seguridade did not record financial indebtedness in its financial statements. The source of funding consisted of </w:t>
      </w:r>
      <w:r w:rsidR="00271ED1">
        <w:rPr>
          <w:rFonts w:cs="Arial"/>
          <w:lang w:val="en-US"/>
        </w:rPr>
        <w:t>shareholder’s</w:t>
      </w:r>
      <w:r w:rsidRPr="00DB0FF9">
        <w:rPr>
          <w:rFonts w:cs="Arial"/>
          <w:lang w:val="en-US"/>
        </w:rPr>
        <w:t xml:space="preserve"> </w:t>
      </w:r>
      <w:r w:rsidR="00271ED1">
        <w:rPr>
          <w:rFonts w:cs="Arial"/>
          <w:lang w:val="en-US"/>
        </w:rPr>
        <w:t>equity.</w:t>
      </w:r>
    </w:p>
    <w:p w14:paraId="1FB6A062" w14:textId="77777777" w:rsidR="00C81A16" w:rsidRPr="00DB0FF9" w:rsidRDefault="004343CB" w:rsidP="00C81A16">
      <w:pPr>
        <w:pStyle w:val="05-Textonormal"/>
        <w:rPr>
          <w:rFonts w:cs="Arial"/>
        </w:rPr>
      </w:pPr>
      <w:r w:rsidRPr="00DB0FF9">
        <w:rPr>
          <w:rFonts w:cs="Arial"/>
          <w:lang w:val="en-US"/>
        </w:rPr>
        <w:t>The investments of its invested companies will follow their normal flow of execution, according to individual plans structured by each company.</w:t>
      </w:r>
    </w:p>
    <w:p w14:paraId="3C339E6D" w14:textId="77777777" w:rsidR="00C81A16" w:rsidRPr="00DB0FF9" w:rsidRDefault="004343CB" w:rsidP="00C81A16">
      <w:pPr>
        <w:pStyle w:val="05-Textonormal"/>
        <w:rPr>
          <w:rFonts w:cs="Arial"/>
        </w:rPr>
      </w:pPr>
      <w:r w:rsidRPr="00DB0FF9">
        <w:rPr>
          <w:rFonts w:cs="Arial"/>
          <w:lang w:val="en-US"/>
        </w:rPr>
        <w:t>In accordance with CVM Instruction No. 381/03, we inform that, throughout 2021, BB Seguridade used the independent audit services of Deloitte Touche Tohmatsu Auditores Independentes (“Deloitte”), through a contract signed by its parent company, Banco do Brasil S.A.</w:t>
      </w:r>
    </w:p>
    <w:p w14:paraId="235198BC" w14:textId="77777777" w:rsidR="00C81A16" w:rsidRPr="00DB0FF9" w:rsidRDefault="004343CB" w:rsidP="00C81A16">
      <w:pPr>
        <w:pStyle w:val="05-Textonormal"/>
        <w:rPr>
          <w:rFonts w:cs="Arial"/>
        </w:rPr>
      </w:pPr>
      <w:r w:rsidRPr="00DB0FF9">
        <w:rPr>
          <w:rFonts w:cs="Arial"/>
          <w:lang w:val="en-US"/>
        </w:rPr>
        <w:t xml:space="preserve">Also, BB Seguridade and its subsidiaries inform that Deloitte Touche Tohmatsu Auditores Independente did not provide, in 2021, services that could affect its independence in relation to the audit work, proven by means of a Letter of Independence presented to BB Seguridade. </w:t>
      </w:r>
    </w:p>
    <w:p w14:paraId="0C5D35AC" w14:textId="77777777" w:rsidR="00C81A16" w:rsidRPr="00DB0FF9" w:rsidRDefault="004343CB" w:rsidP="00C81A16">
      <w:pPr>
        <w:pStyle w:val="05-Textonormal"/>
        <w:rPr>
          <w:rFonts w:cs="Arial"/>
        </w:rPr>
      </w:pPr>
      <w:r w:rsidRPr="00DB0FF9">
        <w:rPr>
          <w:rFonts w:cs="Arial"/>
          <w:lang w:val="en-US"/>
        </w:rPr>
        <w:t>When contracting services not related to external audit, BB Seguridade adopts procedures that are based on the applicable legislation and internationally accepted principles that preserve the auditor's independence. These principles consist of: (i) the auditor must not audit its own work; and (ii) the auditor must not act managerially towards its client, nor promote its interests.</w:t>
      </w:r>
    </w:p>
    <w:p w14:paraId="6EE0C4FF" w14:textId="7C9079CF" w:rsidR="009D41A2" w:rsidRDefault="009D41A2">
      <w:pPr>
        <w:rPr>
          <w:rFonts w:eastAsia="Times New Roman" w:cs="Arial"/>
          <w:spacing w:val="-2"/>
          <w:szCs w:val="18"/>
          <w:highlight w:val="yellow"/>
          <w:lang w:eastAsia="pt-BR"/>
        </w:rPr>
      </w:pPr>
    </w:p>
    <w:p w14:paraId="3FF26FB6" w14:textId="77777777" w:rsidR="00C81A16" w:rsidRPr="00DB0FF9" w:rsidRDefault="004343CB" w:rsidP="00C81A16">
      <w:pPr>
        <w:pStyle w:val="05-Textonormal"/>
        <w:rPr>
          <w:rFonts w:cs="Arial"/>
        </w:rPr>
      </w:pPr>
      <w:r w:rsidRPr="00DB0FF9">
        <w:rPr>
          <w:rFonts w:cs="Arial"/>
          <w:lang w:val="en-US"/>
        </w:rPr>
        <w:t>The table below shows the list of service contracts that were in force during 2021 between Deloitte and the invested companies and parent company of BB Seguridade:</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592918" w14:paraId="2E5A9EEA" w14:textId="77777777" w:rsidTr="0059291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2B4635F" w14:textId="77777777" w:rsidR="00C81A16" w:rsidRPr="00DE647D" w:rsidRDefault="004343CB">
            <w:pPr>
              <w:pStyle w:val="08-Tabelageral"/>
              <w:jc w:val="center"/>
              <w:rPr>
                <w:rFonts w:cs="Arial"/>
                <w:szCs w:val="14"/>
                <w:lang w:eastAsia="en-US"/>
              </w:rPr>
            </w:pPr>
            <w:r w:rsidRPr="00DE647D">
              <w:rPr>
                <w:rFonts w:cs="Arial"/>
                <w:bCs w:val="0"/>
                <w:szCs w:val="14"/>
                <w:lang w:val="en-US" w:eastAsia="en-US"/>
              </w:rPr>
              <w:t>Contracting Party</w:t>
            </w:r>
          </w:p>
        </w:tc>
        <w:tc>
          <w:tcPr>
            <w:tcW w:w="2031"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6D550D93" w14:textId="77777777" w:rsidR="00C81A16" w:rsidRPr="00DE647D" w:rsidRDefault="004343C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Contract Dates</w:t>
            </w:r>
          </w:p>
        </w:tc>
        <w:tc>
          <w:tcPr>
            <w:tcW w:w="364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2F6A6FA" w14:textId="77777777" w:rsidR="00C81A16" w:rsidRPr="00DE647D" w:rsidRDefault="004343C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Nature of the Service</w:t>
            </w:r>
          </w:p>
        </w:tc>
        <w:tc>
          <w:tcPr>
            <w:tcW w:w="127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B70B848" w14:textId="77777777" w:rsidR="00C81A16" w:rsidRPr="00DE647D" w:rsidRDefault="004343C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Total amount of fees (R$)</w:t>
            </w:r>
          </w:p>
        </w:tc>
      </w:tr>
      <w:tr w:rsidR="00592918" w14:paraId="2B0F5F08" w14:textId="77777777" w:rsidTr="0059291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8EAADB" w:themeColor="accent5" w:themeTint="99"/>
              <w:right w:val="nil"/>
            </w:tcBorders>
            <w:vAlign w:val="center"/>
            <w:hideMark/>
          </w:tcPr>
          <w:p w14:paraId="658F3B1E" w14:textId="77777777" w:rsidR="00C81A16" w:rsidRPr="00DE647D" w:rsidRDefault="00C81A16">
            <w:pPr>
              <w:rPr>
                <w:rFonts w:eastAsia="Times New Roman" w:cs="Arial"/>
                <w:spacing w:val="-2"/>
                <w:sz w:val="14"/>
                <w:szCs w:val="14"/>
              </w:rPr>
            </w:pPr>
          </w:p>
        </w:tc>
        <w:tc>
          <w:tcPr>
            <w:tcW w:w="1015" w:type="dxa"/>
            <w:tcBorders>
              <w:top w:val="nil"/>
              <w:left w:val="nil"/>
              <w:bottom w:val="single" w:sz="2" w:space="0" w:color="8EAADB" w:themeColor="accent5" w:themeTint="99"/>
              <w:right w:val="nil"/>
            </w:tcBorders>
            <w:hideMark/>
          </w:tcPr>
          <w:p w14:paraId="42DBCC02" w14:textId="77777777" w:rsidR="00C81A16" w:rsidRPr="00DE647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DE647D">
              <w:rPr>
                <w:rFonts w:cs="Arial"/>
                <w:b/>
                <w:szCs w:val="14"/>
                <w:lang w:val="en-US" w:eastAsia="en-US"/>
              </w:rPr>
              <w:t>Start</w:t>
            </w:r>
          </w:p>
        </w:tc>
        <w:tc>
          <w:tcPr>
            <w:tcW w:w="1016" w:type="dxa"/>
            <w:tcBorders>
              <w:top w:val="nil"/>
              <w:left w:val="nil"/>
              <w:bottom w:val="single" w:sz="2" w:space="0" w:color="8EAADB" w:themeColor="accent5" w:themeTint="99"/>
              <w:right w:val="nil"/>
            </w:tcBorders>
            <w:hideMark/>
          </w:tcPr>
          <w:p w14:paraId="052E47F7" w14:textId="77777777" w:rsidR="00C81A16" w:rsidRPr="00DE647D" w:rsidRDefault="004343C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E647D">
              <w:rPr>
                <w:rFonts w:cs="Arial"/>
                <w:b/>
                <w:szCs w:val="14"/>
                <w:lang w:val="en-US" w:eastAsia="en-US"/>
              </w:rPr>
              <w:t>End</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5B8B7D09" w14:textId="77777777" w:rsidR="00C81A16" w:rsidRPr="00DE647D" w:rsidRDefault="00C81A16">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1148A5DA" w14:textId="77777777" w:rsidR="00C81A16" w:rsidRPr="00DE647D" w:rsidRDefault="00C81A16">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r>
      <w:tr w:rsidR="00592918" w14:paraId="550786B5" w14:textId="77777777" w:rsidTr="00592918">
        <w:trPr>
          <w:trHeight w:hRule="exact" w:val="976"/>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07BD90A6" w14:textId="77777777" w:rsidR="00C81A16" w:rsidRPr="00DE647D" w:rsidRDefault="004343CB">
            <w:pPr>
              <w:pStyle w:val="08-Tabelageral"/>
              <w:jc w:val="left"/>
              <w:rPr>
                <w:rFonts w:cs="Arial"/>
                <w:snapToGrid w:val="0"/>
                <w:szCs w:val="14"/>
                <w:lang w:eastAsia="en-US"/>
              </w:rPr>
            </w:pPr>
            <w:r w:rsidRPr="00DE647D">
              <w:rPr>
                <w:rFonts w:cs="Arial"/>
                <w:b w:val="0"/>
                <w:szCs w:val="14"/>
                <w:lang w:val="en-US" w:eastAsia="en-US"/>
              </w:rPr>
              <w:t>Banco do Brasil S.A.</w:t>
            </w:r>
          </w:p>
        </w:tc>
        <w:tc>
          <w:tcPr>
            <w:tcW w:w="1015" w:type="dxa"/>
            <w:tcBorders>
              <w:top w:val="nil"/>
              <w:left w:val="nil"/>
              <w:bottom w:val="nil"/>
              <w:right w:val="nil"/>
            </w:tcBorders>
            <w:vAlign w:val="center"/>
            <w:hideMark/>
          </w:tcPr>
          <w:p w14:paraId="0E62E283" w14:textId="77777777" w:rsidR="00C81A16" w:rsidRPr="00DE647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03/22/2019</w:t>
            </w:r>
          </w:p>
        </w:tc>
        <w:tc>
          <w:tcPr>
            <w:tcW w:w="1016" w:type="dxa"/>
            <w:tcBorders>
              <w:top w:val="nil"/>
              <w:left w:val="nil"/>
              <w:bottom w:val="nil"/>
              <w:right w:val="nil"/>
            </w:tcBorders>
            <w:vAlign w:val="center"/>
            <w:hideMark/>
          </w:tcPr>
          <w:p w14:paraId="02986388" w14:textId="77777777" w:rsidR="00C81A16" w:rsidRPr="00DE647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03/22/2022</w:t>
            </w:r>
          </w:p>
        </w:tc>
        <w:tc>
          <w:tcPr>
            <w:tcW w:w="3640" w:type="dxa"/>
            <w:tcBorders>
              <w:top w:val="nil"/>
              <w:left w:val="nil"/>
              <w:bottom w:val="nil"/>
              <w:right w:val="nil"/>
            </w:tcBorders>
            <w:vAlign w:val="center"/>
            <w:hideMark/>
          </w:tcPr>
          <w:p w14:paraId="2B2F04C4" w14:textId="77777777" w:rsidR="00C81A16" w:rsidRPr="00DE647D"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Accounting audit services on the financial statements of the Banco do Brasil Conglomerate, prepared in accordance with accounting practices adopted in Brazil and with international financial reporting standards (IFRS) and other related services</w:t>
            </w:r>
          </w:p>
        </w:tc>
        <w:tc>
          <w:tcPr>
            <w:tcW w:w="1274" w:type="dxa"/>
            <w:tcBorders>
              <w:top w:val="nil"/>
              <w:left w:val="nil"/>
              <w:bottom w:val="nil"/>
              <w:right w:val="nil"/>
            </w:tcBorders>
            <w:vAlign w:val="center"/>
            <w:hideMark/>
          </w:tcPr>
          <w:p w14:paraId="45D69B10" w14:textId="77777777" w:rsidR="00C81A16" w:rsidRPr="00DE647D" w:rsidRDefault="004343CB">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DE647D">
              <w:rPr>
                <w:rFonts w:cs="Arial"/>
                <w:sz w:val="14"/>
                <w:szCs w:val="14"/>
                <w:lang w:val="en-US"/>
              </w:rPr>
              <w:t>18,182,758.13</w:t>
            </w:r>
          </w:p>
        </w:tc>
      </w:tr>
      <w:tr w:rsidR="00592918" w14:paraId="57A5F60D" w14:textId="77777777" w:rsidTr="00592918">
        <w:trPr>
          <w:cnfStyle w:val="000000100000" w:firstRow="0" w:lastRow="0" w:firstColumn="0" w:lastColumn="0" w:oddVBand="0" w:evenVBand="0" w:oddHBand="1" w:evenHBand="0" w:firstRowFirstColumn="0" w:firstRowLastColumn="0" w:lastRowFirstColumn="0" w:lastRowLastColumn="0"/>
          <w:trHeight w:hRule="exact" w:val="456"/>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1CC7BC0D" w14:textId="77777777" w:rsidR="00C81A16" w:rsidRPr="00DE647D" w:rsidRDefault="004343CB">
            <w:pPr>
              <w:pStyle w:val="08-Tabelageral"/>
              <w:jc w:val="left"/>
              <w:rPr>
                <w:rFonts w:cs="Arial"/>
                <w:snapToGrid w:val="0"/>
                <w:szCs w:val="14"/>
                <w:lang w:eastAsia="en-US"/>
              </w:rPr>
            </w:pPr>
            <w:r w:rsidRPr="00DE647D">
              <w:rPr>
                <w:rFonts w:cs="Arial"/>
                <w:b w:val="0"/>
                <w:szCs w:val="14"/>
                <w:lang w:val="en-US" w:eastAsia="en-US"/>
              </w:rPr>
              <w:t>Brasilcap Capitalização S.A.</w:t>
            </w:r>
          </w:p>
        </w:tc>
        <w:tc>
          <w:tcPr>
            <w:tcW w:w="1015" w:type="dxa"/>
            <w:tcBorders>
              <w:top w:val="nil"/>
              <w:left w:val="nil"/>
              <w:bottom w:val="nil"/>
              <w:right w:val="nil"/>
            </w:tcBorders>
            <w:vAlign w:val="center"/>
            <w:hideMark/>
          </w:tcPr>
          <w:p w14:paraId="35860096" w14:textId="77777777" w:rsidR="00C81A16" w:rsidRPr="00DE647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val="en-US" w:eastAsia="en-US"/>
              </w:rPr>
              <w:t>04/26/2021</w:t>
            </w:r>
          </w:p>
        </w:tc>
        <w:tc>
          <w:tcPr>
            <w:tcW w:w="1016" w:type="dxa"/>
            <w:tcBorders>
              <w:top w:val="nil"/>
              <w:left w:val="nil"/>
              <w:bottom w:val="nil"/>
              <w:right w:val="nil"/>
            </w:tcBorders>
            <w:vAlign w:val="center"/>
            <w:hideMark/>
          </w:tcPr>
          <w:p w14:paraId="70D1475E" w14:textId="77777777" w:rsidR="00C81A16" w:rsidRPr="00DE647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val="en-US" w:eastAsia="en-US"/>
              </w:rPr>
              <w:t>04/25/2023</w:t>
            </w:r>
          </w:p>
        </w:tc>
        <w:tc>
          <w:tcPr>
            <w:tcW w:w="3640" w:type="dxa"/>
            <w:tcBorders>
              <w:top w:val="nil"/>
              <w:left w:val="nil"/>
              <w:bottom w:val="nil"/>
              <w:right w:val="nil"/>
            </w:tcBorders>
            <w:vAlign w:val="center"/>
            <w:hideMark/>
          </w:tcPr>
          <w:p w14:paraId="27ABC8ED" w14:textId="77777777" w:rsidR="00C81A16" w:rsidRPr="00DE647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sidRPr="00DE647D">
              <w:rPr>
                <w:rFonts w:cs="Arial"/>
                <w:color w:val="000000"/>
                <w:szCs w:val="14"/>
                <w:lang w:val="en-US" w:eastAsia="en-US"/>
              </w:rPr>
              <w:t>Accounting audit on the financial statements for the 2021 and 2022 fiscal years</w:t>
            </w:r>
          </w:p>
        </w:tc>
        <w:tc>
          <w:tcPr>
            <w:tcW w:w="1274" w:type="dxa"/>
            <w:tcBorders>
              <w:top w:val="nil"/>
              <w:left w:val="nil"/>
              <w:bottom w:val="nil"/>
              <w:right w:val="nil"/>
            </w:tcBorders>
            <w:vAlign w:val="center"/>
            <w:hideMark/>
          </w:tcPr>
          <w:p w14:paraId="0447F59B" w14:textId="77777777" w:rsidR="00C81A16" w:rsidRPr="00DE647D" w:rsidRDefault="004343CB">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lang w:val="en-US"/>
              </w:rPr>
              <w:t>814,000.00</w:t>
            </w:r>
          </w:p>
        </w:tc>
      </w:tr>
      <w:tr w:rsidR="00592918" w14:paraId="6A5478DB" w14:textId="77777777" w:rsidTr="00592918">
        <w:trPr>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hideMark/>
          </w:tcPr>
          <w:p w14:paraId="14DD3A26" w14:textId="77777777" w:rsidR="00C81A16" w:rsidRPr="00B953D1" w:rsidRDefault="004343CB">
            <w:pPr>
              <w:pStyle w:val="08-Tabelageral"/>
              <w:jc w:val="left"/>
              <w:rPr>
                <w:rFonts w:cs="Arial"/>
                <w:szCs w:val="14"/>
                <w:lang w:eastAsia="en-US"/>
              </w:rPr>
            </w:pPr>
            <w:r w:rsidRPr="00B953D1">
              <w:rPr>
                <w:rFonts w:cs="Arial"/>
                <w:b w:val="0"/>
                <w:szCs w:val="14"/>
                <w:lang w:val="en-US" w:eastAsia="en-US"/>
              </w:rPr>
              <w:t>Brasilprev Seguros e Previdência S.A.</w:t>
            </w:r>
          </w:p>
        </w:tc>
        <w:tc>
          <w:tcPr>
            <w:tcW w:w="1015" w:type="dxa"/>
            <w:tcBorders>
              <w:top w:val="nil"/>
              <w:left w:val="nil"/>
              <w:bottom w:val="single" w:sz="2" w:space="0" w:color="9CC2E5" w:themeColor="accent1" w:themeTint="99"/>
              <w:right w:val="nil"/>
            </w:tcBorders>
            <w:vAlign w:val="center"/>
            <w:hideMark/>
          </w:tcPr>
          <w:p w14:paraId="060C8D17" w14:textId="77777777" w:rsidR="00C81A16" w:rsidRPr="00B953D1"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val="en-US" w:eastAsia="en-US"/>
              </w:rPr>
              <w:t>03/01/2020</w:t>
            </w:r>
          </w:p>
        </w:tc>
        <w:tc>
          <w:tcPr>
            <w:tcW w:w="1016" w:type="dxa"/>
            <w:tcBorders>
              <w:top w:val="nil"/>
              <w:left w:val="nil"/>
              <w:bottom w:val="single" w:sz="2" w:space="0" w:color="9CC2E5" w:themeColor="accent1" w:themeTint="99"/>
              <w:right w:val="nil"/>
            </w:tcBorders>
            <w:vAlign w:val="center"/>
            <w:hideMark/>
          </w:tcPr>
          <w:p w14:paraId="2A8D5132" w14:textId="77777777" w:rsidR="00C81A16" w:rsidRPr="00B953D1"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val="en-US" w:eastAsia="en-US"/>
              </w:rPr>
              <w:t>04/30/2025</w:t>
            </w:r>
          </w:p>
        </w:tc>
        <w:tc>
          <w:tcPr>
            <w:tcW w:w="3640" w:type="dxa"/>
            <w:tcBorders>
              <w:top w:val="nil"/>
              <w:left w:val="nil"/>
              <w:bottom w:val="single" w:sz="2" w:space="0" w:color="9CC2E5" w:themeColor="accent1" w:themeTint="99"/>
              <w:right w:val="nil"/>
            </w:tcBorders>
            <w:vAlign w:val="center"/>
            <w:hideMark/>
          </w:tcPr>
          <w:p w14:paraId="0A70BA97" w14:textId="77777777" w:rsidR="00C81A16" w:rsidRPr="00B953D1" w:rsidRDefault="004343C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val="en-US" w:eastAsia="en-US"/>
              </w:rPr>
              <w:t>Audit contract covering the Accounting and Actuarial Audit for the semesters ended on 06/30/2020 to 12/31/2024</w:t>
            </w:r>
          </w:p>
        </w:tc>
        <w:tc>
          <w:tcPr>
            <w:tcW w:w="1274" w:type="dxa"/>
            <w:tcBorders>
              <w:top w:val="nil"/>
              <w:left w:val="nil"/>
              <w:bottom w:val="single" w:sz="2" w:space="0" w:color="9CC2E5" w:themeColor="accent1" w:themeTint="99"/>
              <w:right w:val="nil"/>
            </w:tcBorders>
            <w:vAlign w:val="center"/>
            <w:hideMark/>
          </w:tcPr>
          <w:p w14:paraId="21B2FB03" w14:textId="77777777" w:rsidR="00C81A16" w:rsidRPr="00B953D1" w:rsidRDefault="004343CB">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B953D1">
              <w:rPr>
                <w:rFonts w:cs="Arial"/>
                <w:sz w:val="14"/>
                <w:szCs w:val="14"/>
                <w:lang w:val="en-US"/>
              </w:rPr>
              <w:t>827,637.23</w:t>
            </w:r>
          </w:p>
        </w:tc>
      </w:tr>
      <w:tr w:rsidR="00592918" w14:paraId="349A1815" w14:textId="77777777" w:rsidTr="00592918">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hideMark/>
          </w:tcPr>
          <w:p w14:paraId="45AD506F" w14:textId="77777777" w:rsidR="00C81A16" w:rsidRPr="00DE647D" w:rsidRDefault="004343CB">
            <w:pPr>
              <w:pStyle w:val="08-Tabelageral"/>
              <w:jc w:val="left"/>
              <w:rPr>
                <w:rFonts w:cs="Arial"/>
                <w:szCs w:val="14"/>
                <w:lang w:eastAsia="en-US"/>
              </w:rPr>
            </w:pPr>
            <w:r w:rsidRPr="00DE647D">
              <w:rPr>
                <w:rFonts w:cs="Arial"/>
                <w:b w:val="0"/>
                <w:szCs w:val="14"/>
                <w:lang w:val="en-US" w:eastAsia="en-US"/>
              </w:rPr>
              <w:t>Brasilseg Companhia de Seguros</w:t>
            </w:r>
          </w:p>
          <w:p w14:paraId="24F39B3A" w14:textId="77777777" w:rsidR="00C81A16" w:rsidRPr="00DE647D" w:rsidRDefault="004343CB">
            <w:pPr>
              <w:pStyle w:val="08-Tabelageral"/>
              <w:jc w:val="left"/>
              <w:rPr>
                <w:rFonts w:cs="Arial"/>
                <w:snapToGrid w:val="0"/>
                <w:szCs w:val="14"/>
                <w:lang w:eastAsia="en-US"/>
              </w:rPr>
            </w:pPr>
            <w:r w:rsidRPr="00DE647D">
              <w:rPr>
                <w:rFonts w:cs="Arial"/>
                <w:b w:val="0"/>
                <w:szCs w:val="14"/>
                <w:lang w:val="en-US" w:eastAsia="en-US"/>
              </w:rPr>
              <w:t>Aliança do Brasil Seguros S/A</w:t>
            </w:r>
          </w:p>
        </w:tc>
        <w:tc>
          <w:tcPr>
            <w:tcW w:w="1015" w:type="dxa"/>
            <w:tcBorders>
              <w:top w:val="nil"/>
              <w:left w:val="nil"/>
              <w:bottom w:val="single" w:sz="2" w:space="0" w:color="9CC2E5" w:themeColor="accent1" w:themeTint="99"/>
              <w:right w:val="nil"/>
            </w:tcBorders>
            <w:vAlign w:val="center"/>
            <w:hideMark/>
          </w:tcPr>
          <w:p w14:paraId="3096BEF0" w14:textId="77777777" w:rsidR="00C81A16" w:rsidRPr="00DE647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val="en-US" w:eastAsia="en-US"/>
              </w:rPr>
              <w:t>10/15/2021</w:t>
            </w:r>
          </w:p>
        </w:tc>
        <w:tc>
          <w:tcPr>
            <w:tcW w:w="1016" w:type="dxa"/>
            <w:tcBorders>
              <w:top w:val="nil"/>
              <w:left w:val="nil"/>
              <w:bottom w:val="single" w:sz="2" w:space="0" w:color="9CC2E5" w:themeColor="accent1" w:themeTint="99"/>
              <w:right w:val="nil"/>
            </w:tcBorders>
            <w:vAlign w:val="center"/>
            <w:hideMark/>
          </w:tcPr>
          <w:p w14:paraId="2227BFE0" w14:textId="77777777" w:rsidR="00C81A16" w:rsidRPr="00DE647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val="en-US" w:eastAsia="en-US"/>
              </w:rPr>
              <w:t>10/14/2022</w:t>
            </w:r>
          </w:p>
        </w:tc>
        <w:tc>
          <w:tcPr>
            <w:tcW w:w="3640" w:type="dxa"/>
            <w:tcBorders>
              <w:top w:val="nil"/>
              <w:left w:val="nil"/>
              <w:bottom w:val="single" w:sz="2" w:space="0" w:color="9CC2E5" w:themeColor="accent1" w:themeTint="99"/>
              <w:right w:val="nil"/>
            </w:tcBorders>
            <w:vAlign w:val="center"/>
            <w:hideMark/>
          </w:tcPr>
          <w:p w14:paraId="69F8C12D" w14:textId="77777777" w:rsidR="00C81A16" w:rsidRPr="00DE647D" w:rsidRDefault="004343C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val="en-US" w:eastAsia="en-US"/>
              </w:rPr>
              <w:t>Actuarial Audit for the 2021 fiscal year</w:t>
            </w:r>
          </w:p>
        </w:tc>
        <w:tc>
          <w:tcPr>
            <w:tcW w:w="1274" w:type="dxa"/>
            <w:tcBorders>
              <w:top w:val="nil"/>
              <w:left w:val="nil"/>
              <w:bottom w:val="single" w:sz="2" w:space="0" w:color="9CC2E5" w:themeColor="accent1" w:themeTint="99"/>
              <w:right w:val="nil"/>
            </w:tcBorders>
            <w:vAlign w:val="center"/>
            <w:hideMark/>
          </w:tcPr>
          <w:p w14:paraId="0717BC29" w14:textId="77777777" w:rsidR="00C81A16" w:rsidRPr="00DE647D" w:rsidRDefault="004343CB">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lang w:val="en-US"/>
              </w:rPr>
              <w:t>237,500.00</w:t>
            </w:r>
          </w:p>
        </w:tc>
      </w:tr>
    </w:tbl>
    <w:p w14:paraId="169AB765" w14:textId="77777777" w:rsidR="00C81A16" w:rsidRPr="000A0843" w:rsidRDefault="00C81A16" w:rsidP="00C81A16">
      <w:pPr>
        <w:pStyle w:val="07-Legenda"/>
        <w:rPr>
          <w:rFonts w:cs="Arial"/>
          <w:color w:val="FF0000"/>
          <w:highlight w:val="yellow"/>
        </w:rPr>
      </w:pPr>
    </w:p>
    <w:p w14:paraId="487A6865" w14:textId="77777777" w:rsidR="00C81A16" w:rsidRDefault="004343CB" w:rsidP="00C81A16">
      <w:pPr>
        <w:pStyle w:val="05-Textonormal"/>
        <w:rPr>
          <w:rFonts w:cs="Arial"/>
        </w:rPr>
      </w:pPr>
      <w:r w:rsidRPr="00B953D1">
        <w:rPr>
          <w:rFonts w:cs="Arial"/>
          <w:lang w:val="en-US"/>
        </w:rPr>
        <w:t>BB Seguridade, its shareholders, managers and members of the Supervisory Board undertake to resolve any disputes or controversies related to the Novo Mercado Listing Regulations through the B3 – Brasil, Bolsa, Balcão Market Arbitration Chamber, pursuant to the arbitration clause provided for in BB Seguridade's Articles of Incorporation, article 52.</w:t>
      </w:r>
    </w:p>
    <w:p w14:paraId="7B2440BD" w14:textId="77777777" w:rsidR="00C81A16" w:rsidRDefault="00C81A16" w:rsidP="00C81A16">
      <w:pPr>
        <w:rPr>
          <w:rFonts w:eastAsia="Times New Roman" w:cs="Arial"/>
          <w:szCs w:val="20"/>
          <w:lang w:eastAsia="pt-BR"/>
        </w:rPr>
      </w:pPr>
    </w:p>
    <w:p w14:paraId="38D4884C" w14:textId="77777777" w:rsidR="00C81A16" w:rsidRDefault="004343CB"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val="en-US" w:eastAsia="pt-BR"/>
        </w:rPr>
        <w:t>Acknowledgments</w:t>
      </w:r>
    </w:p>
    <w:p w14:paraId="4C7DAC57" w14:textId="77777777" w:rsidR="00C81A16" w:rsidRDefault="004343CB" w:rsidP="00C81A16">
      <w:pPr>
        <w:pStyle w:val="05-Textonormal"/>
        <w:rPr>
          <w:rFonts w:cs="Arial"/>
        </w:rPr>
      </w:pPr>
      <w:r w:rsidRPr="00DE647D">
        <w:rPr>
          <w:rFonts w:cs="Arial"/>
          <w:lang w:val="en-US"/>
        </w:rPr>
        <w:t>We are grateful for the dedication and commitment of our employees and associates and the distribution network of Banco do Brasil and other partners, essential for maintaining a quality customer service and process compliance in a year as challenging as 2021, as well as the trust placed by shareholders, customers and society in general.</w:t>
      </w:r>
    </w:p>
    <w:p w14:paraId="0C49728E" w14:textId="77777777" w:rsidR="00C81A16" w:rsidRDefault="00C81A16" w:rsidP="00C81A16">
      <w:pPr>
        <w:pStyle w:val="05-Textonormal"/>
        <w:rPr>
          <w:rFonts w:cs="Arial"/>
        </w:rPr>
      </w:pPr>
    </w:p>
    <w:p w14:paraId="78BC691B" w14:textId="77777777" w:rsidR="00C81A16" w:rsidRDefault="004343CB"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val="en-US" w:eastAsia="pt-BR"/>
        </w:rPr>
        <w:t>Brasília, 2022</w:t>
      </w:r>
    </w:p>
    <w:p w14:paraId="6F192180"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
    <w:p w14:paraId="32270C89" w14:textId="77777777" w:rsidR="00C81A16" w:rsidRDefault="004343CB"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val="en-US" w:eastAsia="pt-BR"/>
        </w:rPr>
        <w:t>The Management</w:t>
      </w:r>
    </w:p>
    <w:p w14:paraId="1F189FF0" w14:textId="77777777" w:rsidR="00DC6373" w:rsidRPr="00C81A16" w:rsidRDefault="00DC6373" w:rsidP="00C81A16"/>
    <w:sectPr w:rsidR="00DC6373" w:rsidRPr="00C81A16" w:rsidSect="0096592B">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851" w:left="1134" w:header="851"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A8F7A" w14:textId="77777777" w:rsidR="00A22043" w:rsidRDefault="00A22043">
      <w:pPr>
        <w:spacing w:after="0" w:line="240" w:lineRule="auto"/>
      </w:pPr>
      <w:r>
        <w:separator/>
      </w:r>
    </w:p>
  </w:endnote>
  <w:endnote w:type="continuationSeparator" w:id="0">
    <w:p w14:paraId="373B61A8" w14:textId="77777777" w:rsidR="00A22043" w:rsidRDefault="00A2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3A3CC" w14:textId="77777777" w:rsidR="00BB15B8" w:rsidRDefault="00BB15B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928AF" w14:textId="77777777" w:rsidR="00BB15B8" w:rsidRDefault="00BB15B8"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0271D" w14:textId="77777777" w:rsidR="00BB15B8" w:rsidRDefault="00BB15B8">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E0FAC" w14:textId="77777777" w:rsidR="00A22043" w:rsidRDefault="00A22043">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33A6E" w14:textId="77777777" w:rsidR="00A22043" w:rsidRPr="0018454B" w:rsidRDefault="00A22043" w:rsidP="00EE26B1">
    <w:pPr>
      <w:pStyle w:val="Rodap"/>
      <w:spacing w:line="130" w:lineRule="exact"/>
      <w:ind w:right="-57"/>
      <w:rPr>
        <w:rFonts w:asciiTheme="minorHAnsi" w:eastAsia="Verdana" w:hAnsiTheme="minorHAnsi" w:cstheme="minorHAnsi"/>
        <w:sz w:val="11"/>
        <w:szCs w:val="11"/>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EF41C" w14:textId="77777777" w:rsidR="00A22043" w:rsidRDefault="00A2204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C8E8F" w14:textId="77777777" w:rsidR="00A22043" w:rsidRDefault="00A22043" w:rsidP="001170F1">
      <w:pPr>
        <w:spacing w:after="0" w:line="240" w:lineRule="auto"/>
      </w:pPr>
      <w:r>
        <w:separator/>
      </w:r>
    </w:p>
  </w:footnote>
  <w:footnote w:type="continuationSeparator" w:id="0">
    <w:p w14:paraId="4352BF5A" w14:textId="77777777" w:rsidR="00A22043" w:rsidRDefault="00A22043" w:rsidP="001170F1">
      <w:pPr>
        <w:spacing w:after="0" w:line="240" w:lineRule="auto"/>
      </w:pPr>
      <w:r>
        <w:continuationSeparator/>
      </w:r>
    </w:p>
  </w:footnote>
  <w:footnote w:id="1">
    <w:p w14:paraId="30E425A1" w14:textId="3AE4ADE4" w:rsidR="00E969EE" w:rsidRDefault="00E969EE">
      <w:pPr>
        <w:pStyle w:val="Textodenotaderodap"/>
      </w:pPr>
      <w:r>
        <w:rPr>
          <w:rStyle w:val="Refdenotaderodap"/>
        </w:rPr>
        <w:footnoteRef/>
      </w:r>
      <w:r>
        <w:t xml:space="preserve"> </w:t>
      </w:r>
      <w:r w:rsidRPr="00E969EE">
        <w:t xml:space="preserve">Total variation in the sum of premiums written, pension contributions and </w:t>
      </w:r>
      <w:r>
        <w:t>premium bonds</w:t>
      </w:r>
      <w:r w:rsidRPr="00E969EE">
        <w:t xml:space="preserve"> collection. Does not include health insurance</w:t>
      </w:r>
      <w:r>
        <w:t>. Source: Susep (data: November,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29CA9" w14:textId="77777777" w:rsidR="00BB15B8" w:rsidRDefault="00BB15B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D73C9" w14:textId="77777777" w:rsidR="00BB15B8" w:rsidRPr="008540AD" w:rsidRDefault="00BB15B8" w:rsidP="006B2DA2">
    <w:pPr>
      <w:pStyle w:val="Cabealho"/>
      <w:tabs>
        <w:tab w:val="clear" w:pos="4252"/>
        <w:tab w:val="clear" w:pos="8504"/>
        <w:tab w:val="left" w:pos="3576"/>
      </w:tabs>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7E965" w14:textId="77777777" w:rsidR="00BB15B8" w:rsidRDefault="00BB15B8">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D9C16" w14:textId="77777777" w:rsidR="00A22043" w:rsidRDefault="00A22043">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80501" w14:textId="6F4EA36D" w:rsidR="00A22043" w:rsidRDefault="00BB15B8" w:rsidP="004A70E2">
    <w:pPr>
      <w:pStyle w:val="Cabealho"/>
      <w:tabs>
        <w:tab w:val="clear" w:pos="4252"/>
        <w:tab w:val="clear" w:pos="8504"/>
        <w:tab w:val="left" w:pos="1452"/>
        <w:tab w:val="left" w:pos="1944"/>
      </w:tabs>
    </w:pPr>
    <w:r>
      <w:rPr>
        <w:noProof/>
        <w:sz w:val="20"/>
        <w:szCs w:val="20"/>
        <w:lang w:eastAsia="pt-BR"/>
      </w:rPr>
      <mc:AlternateContent>
        <mc:Choice Requires="wps">
          <w:drawing>
            <wp:anchor distT="0" distB="0" distL="114300" distR="114300" simplePos="0" relativeHeight="251657215" behindDoc="0" locked="0" layoutInCell="0" allowOverlap="1" wp14:anchorId="36E090FF" wp14:editId="05C67DA2">
              <wp:simplePos x="0" y="0"/>
              <wp:positionH relativeFrom="page">
                <wp:posOffset>0</wp:posOffset>
              </wp:positionH>
              <wp:positionV relativeFrom="page">
                <wp:posOffset>190500</wp:posOffset>
              </wp:positionV>
              <wp:extent cx="7560310" cy="273050"/>
              <wp:effectExtent l="0" t="0" r="0" b="12700"/>
              <wp:wrapNone/>
              <wp:docPr id="7" name="MSIPCM322845a79e89bffdd3a1fa27" descr="{&quot;HashCode&quot;:344086827,&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737C94" w14:textId="70CE0292" w:rsidR="00BB15B8" w:rsidRPr="00471D0C" w:rsidRDefault="00471D0C" w:rsidP="00471D0C">
                          <w:pPr>
                            <w:spacing w:after="0"/>
                            <w:jc w:val="right"/>
                            <w:rPr>
                              <w:rFonts w:ascii="Calibri" w:hAnsi="Calibri" w:cs="Calibri"/>
                              <w:color w:val="000000"/>
                              <w:sz w:val="20"/>
                            </w:rPr>
                          </w:pPr>
                          <w:r w:rsidRPr="00471D0C">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6E090FF" id="_x0000_t202" coordsize="21600,21600" o:spt="202" path="m,l,21600r21600,l21600,xe">
              <v:stroke joinstyle="miter"/>
              <v:path gradientshapeok="t" o:connecttype="rect"/>
            </v:shapetype>
            <v:shape id="MSIPCM322845a79e89bffdd3a1fa27" o:spid="_x0000_s1065" type="#_x0000_t202" alt="{&quot;HashCode&quot;:344086827,&quot;Height&quot;:841.0,&quot;Width&quot;:595.0,&quot;Placement&quot;:&quot;Header&quot;,&quot;Index&quot;:&quot;Primary&quot;,&quot;Section&quot;:2,&quot;Top&quot;:0.0,&quot;Left&quot;:0.0}" style="position:absolute;margin-left:0;margin-top:15pt;width:595.3pt;height:21.5pt;z-index:25165721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" o:allowincell="f" filled="f" stroked="f" strokeweight=".5pt">
              <v:fill o:detectmouseclick="t"/>
              <v:textbox inset=",0,20pt,0">
                <w:txbxContent>
                  <w:p w14:paraId="61737C94" w14:textId="70CE0292" w:rsidR="00BB15B8" w:rsidRPr="00471D0C" w:rsidRDefault="00471D0C" w:rsidP="00471D0C">
                    <w:pPr>
                      <w:spacing w:after="0"/>
                      <w:jc w:val="right"/>
                      <w:rPr>
                        <w:rFonts w:ascii="Calibri" w:hAnsi="Calibri" w:cs="Calibri"/>
                        <w:color w:val="000000"/>
                        <w:sz w:val="20"/>
                      </w:rPr>
                    </w:pPr>
                    <w:r w:rsidRPr="00471D0C">
                      <w:rPr>
                        <w:rFonts w:ascii="Calibri" w:hAnsi="Calibri" w:cs="Calibri"/>
                        <w:color w:val="000000"/>
                        <w:sz w:val="20"/>
                      </w:rPr>
                      <w:t>#Pública</w:t>
                    </w:r>
                  </w:p>
                </w:txbxContent>
              </v:textbox>
              <w10:wrap anchorx="page" anchory="page"/>
            </v:shape>
          </w:pict>
        </mc:Fallback>
      </mc:AlternateContent>
    </w:r>
    <w:r w:rsidR="00A22043">
      <w:rPr>
        <w:noProof/>
        <w:sz w:val="20"/>
        <w:szCs w:val="20"/>
        <w:lang w:eastAsia="pt-BR"/>
      </w:rPr>
      <mc:AlternateContent>
        <mc:Choice Requires="wps">
          <w:drawing>
            <wp:anchor distT="0" distB="0" distL="114300" distR="114300" simplePos="0" relativeHeight="251668480" behindDoc="0" locked="0" layoutInCell="0" allowOverlap="1" wp14:anchorId="754E44B9" wp14:editId="16CA2B52">
              <wp:simplePos x="0" y="0"/>
              <wp:positionH relativeFrom="page">
                <wp:posOffset>0</wp:posOffset>
              </wp:positionH>
              <wp:positionV relativeFrom="page">
                <wp:posOffset>190500</wp:posOffset>
              </wp:positionV>
              <wp:extent cx="7560310" cy="273050"/>
              <wp:effectExtent l="0" t="0" r="0" b="12700"/>
              <wp:wrapNone/>
              <wp:docPr id="1" name="MSIPCM71bd4893844c53803037be0c" descr="{&quot;HashCode&quot;:3440868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A5733A" w14:textId="4ACB1EEE" w:rsidR="00A22043" w:rsidRPr="00471D0C" w:rsidRDefault="00471D0C" w:rsidP="00471D0C">
                          <w:pPr>
                            <w:spacing w:after="0"/>
                            <w:jc w:val="right"/>
                            <w:rPr>
                              <w:rFonts w:ascii="Calibri" w:hAnsi="Calibri" w:cs="Calibri"/>
                              <w:color w:val="000000"/>
                              <w:sz w:val="20"/>
                            </w:rPr>
                          </w:pPr>
                          <w:r>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 w14:anchorId="754E44B9" id="MSIPCM71bd4893844c53803037be0c" o:spid="_x0000_s1066" type="#_x0000_t202" alt="{&quot;HashCode&quot;:344086827,&quot;Height&quot;:841.0,&quot;Width&quot;:595.0,&quot;Placement&quot;:&quot;Header&quot;,&quot;Index&quot;:&quot;Primary&quot;,&quot;Section&quot;:1,&quot;Top&quot;:0.0,&quot;Left&quot;:0.0}" style="position:absolute;margin-left:0;margin-top:15pt;width:595.3pt;height:21.5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" o:allowincell="f" filled="f" stroked="f" strokeweight=".5pt">
              <v:textbox inset=",0,20pt,0">
                <w:txbxContent>
                  <w:p w14:paraId="78A5733A" w14:textId="4ACB1EEE" w:rsidR="00A22043" w:rsidRPr="00471D0C" w:rsidRDefault="00471D0C" w:rsidP="00471D0C">
                    <w:pPr>
                      <w:spacing w:after="0"/>
                      <w:jc w:val="right"/>
                      <w:rPr>
                        <w:rFonts w:ascii="Calibri" w:hAnsi="Calibri" w:cs="Calibri"/>
                        <w:color w:val="000000"/>
                        <w:sz w:val="20"/>
                      </w:rPr>
                    </w:pPr>
                    <w:r>
                      <w:rPr>
                        <w:rFonts w:ascii="Calibri" w:hAnsi="Calibri" w:cs="Calibri"/>
                        <w:color w:val="000000"/>
                        <w:sz w:val="20"/>
                      </w:rPr>
                      <w:t>#Pública</w:t>
                    </w:r>
                  </w:p>
                </w:txbxContent>
              </v:textbox>
              <w10:wrap anchorx="page" anchory="page"/>
            </v:shape>
          </w:pict>
        </mc:Fallback>
      </mc:AlternateContent>
    </w:r>
    <w:r w:rsidR="00A22043">
      <w:rPr>
        <w:noProof/>
        <w:sz w:val="20"/>
        <w:szCs w:val="20"/>
        <w:lang w:eastAsia="pt-BR"/>
      </w:rPr>
      <mc:AlternateContent>
        <mc:Choice Requires="wps">
          <w:drawing>
            <wp:anchor distT="0" distB="0" distL="114300" distR="114300" simplePos="0" relativeHeight="251662336" behindDoc="0" locked="0" layoutInCell="1" allowOverlap="1" wp14:anchorId="22EE27EE" wp14:editId="257E8A10">
              <wp:simplePos x="0" y="0"/>
              <wp:positionH relativeFrom="column">
                <wp:posOffset>1746885</wp:posOffset>
              </wp:positionH>
              <wp:positionV relativeFrom="paragraph">
                <wp:posOffset>-464185</wp:posOffset>
              </wp:positionV>
              <wp:extent cx="4882515" cy="402590"/>
              <wp:effectExtent l="0" t="0" r="0" b="0"/>
              <wp:wrapNone/>
              <wp:docPr id="34" name="Caixa de Texto 34"/>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5629D151" w14:textId="77777777" w:rsidR="00A22043" w:rsidRPr="00E16BE7" w:rsidRDefault="00A22043" w:rsidP="00E30BC8">
                          <w:pPr>
                            <w:jc w:val="right"/>
                            <w:rPr>
                              <w:rFonts w:cs="Arial"/>
                              <w:color w:val="FFFFFF" w:themeColor="background1"/>
                              <w:szCs w:val="18"/>
                            </w:rPr>
                          </w:pPr>
                          <w:r>
                            <w:rPr>
                              <w:rFonts w:cs="Arial"/>
                              <w:color w:val="FFFFFF" w:themeColor="background1"/>
                              <w:szCs w:val="18"/>
                              <w:lang w:val="en-US"/>
                            </w:rPr>
                            <w:t>Annual Management Report – Year 2021</w:t>
                          </w:r>
                          <w:r>
                            <w:rPr>
                              <w:rFonts w:cs="Arial"/>
                              <w:color w:val="FFFFFF" w:themeColor="background1"/>
                              <w:szCs w:val="18"/>
                              <w:lang w:val="en-US"/>
                            </w:rPr>
                            <w:br/>
                            <w:t xml:space="preserve"> BB Seguridade Participações S.A.</w:t>
                          </w:r>
                        </w:p>
                        <w:p w14:paraId="1D4FFC8D" w14:textId="77777777" w:rsidR="00A22043" w:rsidRPr="00E16BE7" w:rsidRDefault="00A22043"/>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22EE27EE" id="Caixa de Texto 34" o:spid="_x0000_s1027" type="#_x0000_t202" style="position:absolute;margin-left:137.55pt;margin-top:-36.55pt;width:384.45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" filled="f" stroked="f" strokeweight=".5pt">
              <v:textbox>
                <w:txbxContent>
                  <w:p w14:paraId="5629D151" w14:textId="77777777" w:rsidR="00DE647D" w:rsidRPr="00E16BE7" w:rsidRDefault="004343CB" w:rsidP="00E30BC8">
                    <w:pPr>
                      <w:jc w:val="right"/>
                      <w:rPr>
                        <w:rFonts w:cs="Arial"/>
                        <w:color w:val="FFFFFF" w:themeColor="background1"/>
                        <w:szCs w:val="18"/>
                      </w:rPr>
                    </w:pPr>
                    <w:r>
                      <w:rPr>
                        <w:rFonts w:cs="Arial"/>
                        <w:color w:val="FFFFFF" w:themeColor="background1"/>
                        <w:szCs w:val="18"/>
                        <w:lang w:val="en-US"/>
                      </w:rPr>
                      <w:t>Annual Management Report – Year 2021</w:t>
                    </w:r>
                    <w:r>
                      <w:rPr>
                        <w:rFonts w:cs="Arial"/>
                        <w:color w:val="FFFFFF" w:themeColor="background1"/>
                        <w:szCs w:val="18"/>
                        <w:lang w:val="en-US"/>
                      </w:rPr>
                      <w:br/>
                      <w:t xml:space="preserve"> BB </w:t>
                    </w:r>
                    <w:proofErr w:type="spellStart"/>
                    <w:r>
                      <w:rPr>
                        <w:rFonts w:cs="Arial"/>
                        <w:color w:val="FFFFFF" w:themeColor="background1"/>
                        <w:szCs w:val="18"/>
                        <w:lang w:val="en-US"/>
                      </w:rPr>
                      <w:t>Seguridade</w:t>
                    </w:r>
                    <w:proofErr w:type="spellEnd"/>
                    <w:r>
                      <w:rPr>
                        <w:rFonts w:cs="Arial"/>
                        <w:color w:val="FFFFFF" w:themeColor="background1"/>
                        <w:szCs w:val="18"/>
                        <w:lang w:val="en-US"/>
                      </w:rPr>
                      <w:t xml:space="preserve"> </w:t>
                    </w:r>
                    <w:proofErr w:type="spellStart"/>
                    <w:r>
                      <w:rPr>
                        <w:rFonts w:cs="Arial"/>
                        <w:color w:val="FFFFFF" w:themeColor="background1"/>
                        <w:szCs w:val="18"/>
                        <w:lang w:val="en-US"/>
                      </w:rPr>
                      <w:t>Participações</w:t>
                    </w:r>
                    <w:proofErr w:type="spellEnd"/>
                    <w:r>
                      <w:rPr>
                        <w:rFonts w:cs="Arial"/>
                        <w:color w:val="FFFFFF" w:themeColor="background1"/>
                        <w:szCs w:val="18"/>
                        <w:lang w:val="en-US"/>
                      </w:rPr>
                      <w:t xml:space="preserve"> S.A.</w:t>
                    </w:r>
                  </w:p>
                  <w:p w14:paraId="1D4FFC8D" w14:textId="77777777" w:rsidR="00DE647D" w:rsidRPr="00E16BE7" w:rsidRDefault="00DE647D"/>
                </w:txbxContent>
              </v:textbox>
            </v:shape>
          </w:pict>
        </mc:Fallback>
      </mc:AlternateContent>
    </w:r>
    <w:r w:rsidR="00A22043" w:rsidRPr="005D303B">
      <w:rPr>
        <w:b/>
        <w:noProof/>
        <w:color w:val="1F4E79" w:themeColor="accent1" w:themeShade="80"/>
        <w:lang w:eastAsia="pt-BR"/>
      </w:rPr>
      <mc:AlternateContent>
        <mc:Choice Requires="wps">
          <w:drawing>
            <wp:anchor distT="0" distB="0" distL="114300" distR="114300" simplePos="0" relativeHeight="251663360" behindDoc="0" locked="0" layoutInCell="1" allowOverlap="1" wp14:anchorId="02834EEC" wp14:editId="027775AD">
              <wp:simplePos x="0" y="0"/>
              <wp:positionH relativeFrom="page">
                <wp:posOffset>-327660</wp:posOffset>
              </wp:positionH>
              <wp:positionV relativeFrom="paragraph">
                <wp:posOffset>-64135</wp:posOffset>
              </wp:positionV>
              <wp:extent cx="10691446" cy="52754"/>
              <wp:effectExtent l="0" t="0" r="0" b="4445"/>
              <wp:wrapNone/>
              <wp:docPr id="35" name="Retângulo 35"/>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id="Retângulo 35" o:spid="_x0000_s2051" style="width:841.85pt;height:4.15pt;margin-top:-5.05pt;margin-left:-25.8pt;flip:y;mso-height-percent:0;mso-height-relative:margin;mso-position-horizontal-relative:page;mso-width-percent:0;mso-width-relative:margin;mso-wrap-distance-bottom:0;mso-wrap-distance-left:9pt;mso-wrap-distance-right:9pt;mso-wrap-distance-top:0;mso-wrap-style:square;position:absolute;v-text-anchor:middle;visibility:visible;z-index:251664384" fillcolor="#f9dd16" stroked="f" strokeweight="1pt"/>
          </w:pict>
        </mc:Fallback>
      </mc:AlternateContent>
    </w:r>
    <w:r w:rsidR="00A22043">
      <w:rPr>
        <w:noProof/>
        <w:sz w:val="20"/>
        <w:szCs w:val="20"/>
        <w:lang w:eastAsia="pt-BR"/>
      </w:rPr>
      <w:drawing>
        <wp:anchor distT="0" distB="0" distL="114300" distR="114300" simplePos="0" relativeHeight="251660288" behindDoc="0" locked="0" layoutInCell="1" allowOverlap="1" wp14:anchorId="3BEA1B55" wp14:editId="1F27602C">
          <wp:simplePos x="0" y="0"/>
          <wp:positionH relativeFrom="margin">
            <wp:posOffset>-453606</wp:posOffset>
          </wp:positionH>
          <wp:positionV relativeFrom="paragraph">
            <wp:posOffset>-380365</wp:posOffset>
          </wp:positionV>
          <wp:extent cx="967740" cy="198755"/>
          <wp:effectExtent l="0" t="0" r="3810"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00A22043" w:rsidRPr="0069353A">
      <w:rPr>
        <w:noProof/>
        <w:sz w:val="20"/>
        <w:szCs w:val="20"/>
        <w:lang w:eastAsia="pt-BR"/>
      </w:rPr>
      <mc:AlternateContent>
        <mc:Choice Requires="wps">
          <w:drawing>
            <wp:anchor distT="0" distB="0" distL="114300" distR="114300" simplePos="0" relativeHeight="251658240" behindDoc="1" locked="0" layoutInCell="1" allowOverlap="1" wp14:anchorId="44A13114" wp14:editId="76E4B5D6">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36" name="Retângulo 36"/>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1609D97" w14:textId="77777777" w:rsidR="00A22043" w:rsidRDefault="00A22043" w:rsidP="00E30BC8">
                          <w:pPr>
                            <w:ind w:left="708"/>
                            <w:jc w:val="right"/>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44A13114" id="Retângulo 36" o:spid="_x0000_s1028" style="position:absolute;margin-left:0;margin-top:-42.55pt;width:594.75pt;height:39.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" fillcolor="#002d4b" stroked="f" strokeweight="1pt">
              <v:textbox>
                <w:txbxContent>
                  <w:p w14:paraId="11609D97" w14:textId="77777777" w:rsidR="00DE647D" w:rsidRDefault="00DE647D" w:rsidP="00E30BC8">
                    <w:pPr>
                      <w:ind w:left="708"/>
                      <w:jc w:val="right"/>
                    </w:pPr>
                  </w:p>
                </w:txbxContent>
              </v:textbox>
              <w10:wrap type="through" anchorx="page"/>
            </v:rect>
          </w:pict>
        </mc:Fallback>
      </mc:AlternateContent>
    </w:r>
    <w:r w:rsidR="00A22043">
      <w:tab/>
    </w:r>
    <w:r w:rsidR="00A22043">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BA620" w14:textId="77777777" w:rsidR="00A22043" w:rsidRDefault="00A2204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76BFD"/>
    <w:multiLevelType w:val="hybridMultilevel"/>
    <w:tmpl w:val="4CAA9572"/>
    <w:lvl w:ilvl="0" w:tplc="F238DEE4">
      <w:start w:val="1"/>
      <w:numFmt w:val="bullet"/>
      <w:lvlText w:val=""/>
      <w:lvlJc w:val="left"/>
      <w:pPr>
        <w:ind w:left="720" w:hanging="360"/>
      </w:pPr>
      <w:rPr>
        <w:rFonts w:ascii="Wingdings" w:hAnsi="Wingdings" w:hint="default"/>
      </w:rPr>
    </w:lvl>
    <w:lvl w:ilvl="1" w:tplc="78F84112" w:tentative="1">
      <w:start w:val="1"/>
      <w:numFmt w:val="bullet"/>
      <w:lvlText w:val="o"/>
      <w:lvlJc w:val="left"/>
      <w:pPr>
        <w:ind w:left="1440" w:hanging="360"/>
      </w:pPr>
      <w:rPr>
        <w:rFonts w:ascii="Courier New" w:hAnsi="Courier New" w:cs="Courier New" w:hint="default"/>
      </w:rPr>
    </w:lvl>
    <w:lvl w:ilvl="2" w:tplc="C8621608" w:tentative="1">
      <w:start w:val="1"/>
      <w:numFmt w:val="bullet"/>
      <w:lvlText w:val=""/>
      <w:lvlJc w:val="left"/>
      <w:pPr>
        <w:ind w:left="2160" w:hanging="360"/>
      </w:pPr>
      <w:rPr>
        <w:rFonts w:ascii="Wingdings" w:hAnsi="Wingdings" w:hint="default"/>
      </w:rPr>
    </w:lvl>
    <w:lvl w:ilvl="3" w:tplc="A002FFD2" w:tentative="1">
      <w:start w:val="1"/>
      <w:numFmt w:val="bullet"/>
      <w:lvlText w:val=""/>
      <w:lvlJc w:val="left"/>
      <w:pPr>
        <w:ind w:left="2880" w:hanging="360"/>
      </w:pPr>
      <w:rPr>
        <w:rFonts w:ascii="Symbol" w:hAnsi="Symbol" w:hint="default"/>
      </w:rPr>
    </w:lvl>
    <w:lvl w:ilvl="4" w:tplc="DA406026" w:tentative="1">
      <w:start w:val="1"/>
      <w:numFmt w:val="bullet"/>
      <w:lvlText w:val="o"/>
      <w:lvlJc w:val="left"/>
      <w:pPr>
        <w:ind w:left="3600" w:hanging="360"/>
      </w:pPr>
      <w:rPr>
        <w:rFonts w:ascii="Courier New" w:hAnsi="Courier New" w:cs="Courier New" w:hint="default"/>
      </w:rPr>
    </w:lvl>
    <w:lvl w:ilvl="5" w:tplc="2D821D2C" w:tentative="1">
      <w:start w:val="1"/>
      <w:numFmt w:val="bullet"/>
      <w:lvlText w:val=""/>
      <w:lvlJc w:val="left"/>
      <w:pPr>
        <w:ind w:left="4320" w:hanging="360"/>
      </w:pPr>
      <w:rPr>
        <w:rFonts w:ascii="Wingdings" w:hAnsi="Wingdings" w:hint="default"/>
      </w:rPr>
    </w:lvl>
    <w:lvl w:ilvl="6" w:tplc="60480144" w:tentative="1">
      <w:start w:val="1"/>
      <w:numFmt w:val="bullet"/>
      <w:lvlText w:val=""/>
      <w:lvlJc w:val="left"/>
      <w:pPr>
        <w:ind w:left="5040" w:hanging="360"/>
      </w:pPr>
      <w:rPr>
        <w:rFonts w:ascii="Symbol" w:hAnsi="Symbol" w:hint="default"/>
      </w:rPr>
    </w:lvl>
    <w:lvl w:ilvl="7" w:tplc="F3A8FD12" w:tentative="1">
      <w:start w:val="1"/>
      <w:numFmt w:val="bullet"/>
      <w:lvlText w:val="o"/>
      <w:lvlJc w:val="left"/>
      <w:pPr>
        <w:ind w:left="5760" w:hanging="360"/>
      </w:pPr>
      <w:rPr>
        <w:rFonts w:ascii="Courier New" w:hAnsi="Courier New" w:cs="Courier New" w:hint="default"/>
      </w:rPr>
    </w:lvl>
    <w:lvl w:ilvl="8" w:tplc="2056D3E8" w:tentative="1">
      <w:start w:val="1"/>
      <w:numFmt w:val="bullet"/>
      <w:lvlText w:val=""/>
      <w:lvlJc w:val="left"/>
      <w:pPr>
        <w:ind w:left="6480" w:hanging="360"/>
      </w:pPr>
      <w:rPr>
        <w:rFonts w:ascii="Wingdings" w:hAnsi="Wingdings" w:hint="default"/>
      </w:rPr>
    </w:lvl>
  </w:abstractNum>
  <w:abstractNum w:abstractNumId="1"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BE7E32"/>
    <w:multiLevelType w:val="hybridMultilevel"/>
    <w:tmpl w:val="91ACD6DC"/>
    <w:lvl w:ilvl="0" w:tplc="06EAAE84">
      <w:start w:val="1"/>
      <w:numFmt w:val="bullet"/>
      <w:lvlText w:val=""/>
      <w:lvlJc w:val="left"/>
      <w:pPr>
        <w:ind w:left="720" w:hanging="360"/>
      </w:pPr>
      <w:rPr>
        <w:rFonts w:ascii="Symbol" w:hAnsi="Symbol" w:hint="default"/>
      </w:rPr>
    </w:lvl>
    <w:lvl w:ilvl="1" w:tplc="9670CC44" w:tentative="1">
      <w:start w:val="1"/>
      <w:numFmt w:val="lowerLetter"/>
      <w:lvlText w:val="%2."/>
      <w:lvlJc w:val="left"/>
      <w:pPr>
        <w:ind w:left="1440" w:hanging="360"/>
      </w:pPr>
    </w:lvl>
    <w:lvl w:ilvl="2" w:tplc="E20096C0" w:tentative="1">
      <w:start w:val="1"/>
      <w:numFmt w:val="lowerRoman"/>
      <w:lvlText w:val="%3."/>
      <w:lvlJc w:val="right"/>
      <w:pPr>
        <w:ind w:left="2160" w:hanging="180"/>
      </w:pPr>
    </w:lvl>
    <w:lvl w:ilvl="3" w:tplc="E4E856E0" w:tentative="1">
      <w:start w:val="1"/>
      <w:numFmt w:val="decimal"/>
      <w:lvlText w:val="%4."/>
      <w:lvlJc w:val="left"/>
      <w:pPr>
        <w:ind w:left="2880" w:hanging="360"/>
      </w:pPr>
    </w:lvl>
    <w:lvl w:ilvl="4" w:tplc="2A30E6BC" w:tentative="1">
      <w:start w:val="1"/>
      <w:numFmt w:val="lowerLetter"/>
      <w:lvlText w:val="%5."/>
      <w:lvlJc w:val="left"/>
      <w:pPr>
        <w:ind w:left="3600" w:hanging="360"/>
      </w:pPr>
    </w:lvl>
    <w:lvl w:ilvl="5" w:tplc="7944CA16" w:tentative="1">
      <w:start w:val="1"/>
      <w:numFmt w:val="lowerRoman"/>
      <w:lvlText w:val="%6."/>
      <w:lvlJc w:val="right"/>
      <w:pPr>
        <w:ind w:left="4320" w:hanging="180"/>
      </w:pPr>
    </w:lvl>
    <w:lvl w:ilvl="6" w:tplc="3DE025AA" w:tentative="1">
      <w:start w:val="1"/>
      <w:numFmt w:val="decimal"/>
      <w:lvlText w:val="%7."/>
      <w:lvlJc w:val="left"/>
      <w:pPr>
        <w:ind w:left="5040" w:hanging="360"/>
      </w:pPr>
    </w:lvl>
    <w:lvl w:ilvl="7" w:tplc="2C9CCE06" w:tentative="1">
      <w:start w:val="1"/>
      <w:numFmt w:val="lowerLetter"/>
      <w:lvlText w:val="%8."/>
      <w:lvlJc w:val="left"/>
      <w:pPr>
        <w:ind w:left="5760" w:hanging="360"/>
      </w:pPr>
    </w:lvl>
    <w:lvl w:ilvl="8" w:tplc="3F9CAD8A" w:tentative="1">
      <w:start w:val="1"/>
      <w:numFmt w:val="lowerRoman"/>
      <w:lvlText w:val="%9."/>
      <w:lvlJc w:val="right"/>
      <w:pPr>
        <w:ind w:left="6480" w:hanging="180"/>
      </w:pPr>
    </w:lvl>
  </w:abstractNum>
  <w:abstractNum w:abstractNumId="3" w15:restartNumberingAfterBreak="0">
    <w:nsid w:val="2CEE5FC0"/>
    <w:multiLevelType w:val="hybridMultilevel"/>
    <w:tmpl w:val="24D8F240"/>
    <w:lvl w:ilvl="0" w:tplc="DAEC37E6">
      <w:start w:val="1"/>
      <w:numFmt w:val="bullet"/>
      <w:lvlText w:val=""/>
      <w:lvlJc w:val="left"/>
      <w:pPr>
        <w:ind w:left="720" w:hanging="360"/>
      </w:pPr>
      <w:rPr>
        <w:rFonts w:ascii="Symbol" w:hAnsi="Symbol" w:hint="default"/>
      </w:rPr>
    </w:lvl>
    <w:lvl w:ilvl="1" w:tplc="D81677E4" w:tentative="1">
      <w:start w:val="1"/>
      <w:numFmt w:val="bullet"/>
      <w:lvlText w:val="o"/>
      <w:lvlJc w:val="left"/>
      <w:pPr>
        <w:ind w:left="1440" w:hanging="360"/>
      </w:pPr>
      <w:rPr>
        <w:rFonts w:ascii="Courier New" w:hAnsi="Courier New" w:cs="Courier New" w:hint="default"/>
      </w:rPr>
    </w:lvl>
    <w:lvl w:ilvl="2" w:tplc="D6A4F63A" w:tentative="1">
      <w:start w:val="1"/>
      <w:numFmt w:val="bullet"/>
      <w:lvlText w:val=""/>
      <w:lvlJc w:val="left"/>
      <w:pPr>
        <w:ind w:left="2160" w:hanging="360"/>
      </w:pPr>
      <w:rPr>
        <w:rFonts w:ascii="Wingdings" w:hAnsi="Wingdings" w:hint="default"/>
      </w:rPr>
    </w:lvl>
    <w:lvl w:ilvl="3" w:tplc="A6B040F0" w:tentative="1">
      <w:start w:val="1"/>
      <w:numFmt w:val="bullet"/>
      <w:lvlText w:val=""/>
      <w:lvlJc w:val="left"/>
      <w:pPr>
        <w:ind w:left="2880" w:hanging="360"/>
      </w:pPr>
      <w:rPr>
        <w:rFonts w:ascii="Symbol" w:hAnsi="Symbol" w:hint="default"/>
      </w:rPr>
    </w:lvl>
    <w:lvl w:ilvl="4" w:tplc="C57EE7A6" w:tentative="1">
      <w:start w:val="1"/>
      <w:numFmt w:val="bullet"/>
      <w:lvlText w:val="o"/>
      <w:lvlJc w:val="left"/>
      <w:pPr>
        <w:ind w:left="3600" w:hanging="360"/>
      </w:pPr>
      <w:rPr>
        <w:rFonts w:ascii="Courier New" w:hAnsi="Courier New" w:cs="Courier New" w:hint="default"/>
      </w:rPr>
    </w:lvl>
    <w:lvl w:ilvl="5" w:tplc="6818CB04" w:tentative="1">
      <w:start w:val="1"/>
      <w:numFmt w:val="bullet"/>
      <w:lvlText w:val=""/>
      <w:lvlJc w:val="left"/>
      <w:pPr>
        <w:ind w:left="4320" w:hanging="360"/>
      </w:pPr>
      <w:rPr>
        <w:rFonts w:ascii="Wingdings" w:hAnsi="Wingdings" w:hint="default"/>
      </w:rPr>
    </w:lvl>
    <w:lvl w:ilvl="6" w:tplc="F4AC0F20" w:tentative="1">
      <w:start w:val="1"/>
      <w:numFmt w:val="bullet"/>
      <w:lvlText w:val=""/>
      <w:lvlJc w:val="left"/>
      <w:pPr>
        <w:ind w:left="5040" w:hanging="360"/>
      </w:pPr>
      <w:rPr>
        <w:rFonts w:ascii="Symbol" w:hAnsi="Symbol" w:hint="default"/>
      </w:rPr>
    </w:lvl>
    <w:lvl w:ilvl="7" w:tplc="AF84FEF8" w:tentative="1">
      <w:start w:val="1"/>
      <w:numFmt w:val="bullet"/>
      <w:lvlText w:val="o"/>
      <w:lvlJc w:val="left"/>
      <w:pPr>
        <w:ind w:left="5760" w:hanging="360"/>
      </w:pPr>
      <w:rPr>
        <w:rFonts w:ascii="Courier New" w:hAnsi="Courier New" w:cs="Courier New" w:hint="default"/>
      </w:rPr>
    </w:lvl>
    <w:lvl w:ilvl="8" w:tplc="2E6679E0" w:tentative="1">
      <w:start w:val="1"/>
      <w:numFmt w:val="bullet"/>
      <w:lvlText w:val=""/>
      <w:lvlJc w:val="left"/>
      <w:pPr>
        <w:ind w:left="6480" w:hanging="360"/>
      </w:pPr>
      <w:rPr>
        <w:rFonts w:ascii="Wingdings" w:hAnsi="Wingdings" w:hint="default"/>
      </w:rPr>
    </w:lvl>
  </w:abstractNum>
  <w:abstractNum w:abstractNumId="4" w15:restartNumberingAfterBreak="0">
    <w:nsid w:val="2F7E3048"/>
    <w:multiLevelType w:val="hybridMultilevel"/>
    <w:tmpl w:val="F43A00B8"/>
    <w:lvl w:ilvl="0" w:tplc="53C076E0">
      <w:start w:val="1"/>
      <w:numFmt w:val="bullet"/>
      <w:lvlText w:val=""/>
      <w:lvlJc w:val="left"/>
      <w:pPr>
        <w:ind w:left="720" w:hanging="360"/>
      </w:pPr>
      <w:rPr>
        <w:rFonts w:ascii="Symbol" w:hAnsi="Symbol" w:hint="default"/>
      </w:rPr>
    </w:lvl>
    <w:lvl w:ilvl="1" w:tplc="054C7E18" w:tentative="1">
      <w:start w:val="1"/>
      <w:numFmt w:val="bullet"/>
      <w:lvlText w:val="o"/>
      <w:lvlJc w:val="left"/>
      <w:pPr>
        <w:ind w:left="1440" w:hanging="360"/>
      </w:pPr>
      <w:rPr>
        <w:rFonts w:ascii="Courier New" w:hAnsi="Courier New" w:cs="Courier New" w:hint="default"/>
      </w:rPr>
    </w:lvl>
    <w:lvl w:ilvl="2" w:tplc="D5943E96" w:tentative="1">
      <w:start w:val="1"/>
      <w:numFmt w:val="bullet"/>
      <w:lvlText w:val=""/>
      <w:lvlJc w:val="left"/>
      <w:pPr>
        <w:ind w:left="2160" w:hanging="360"/>
      </w:pPr>
      <w:rPr>
        <w:rFonts w:ascii="Wingdings" w:hAnsi="Wingdings" w:hint="default"/>
      </w:rPr>
    </w:lvl>
    <w:lvl w:ilvl="3" w:tplc="7EA874B2" w:tentative="1">
      <w:start w:val="1"/>
      <w:numFmt w:val="bullet"/>
      <w:lvlText w:val=""/>
      <w:lvlJc w:val="left"/>
      <w:pPr>
        <w:ind w:left="2880" w:hanging="360"/>
      </w:pPr>
      <w:rPr>
        <w:rFonts w:ascii="Symbol" w:hAnsi="Symbol" w:hint="default"/>
      </w:rPr>
    </w:lvl>
    <w:lvl w:ilvl="4" w:tplc="469C2936" w:tentative="1">
      <w:start w:val="1"/>
      <w:numFmt w:val="bullet"/>
      <w:lvlText w:val="o"/>
      <w:lvlJc w:val="left"/>
      <w:pPr>
        <w:ind w:left="3600" w:hanging="360"/>
      </w:pPr>
      <w:rPr>
        <w:rFonts w:ascii="Courier New" w:hAnsi="Courier New" w:cs="Courier New" w:hint="default"/>
      </w:rPr>
    </w:lvl>
    <w:lvl w:ilvl="5" w:tplc="42C87BF0" w:tentative="1">
      <w:start w:val="1"/>
      <w:numFmt w:val="bullet"/>
      <w:lvlText w:val=""/>
      <w:lvlJc w:val="left"/>
      <w:pPr>
        <w:ind w:left="4320" w:hanging="360"/>
      </w:pPr>
      <w:rPr>
        <w:rFonts w:ascii="Wingdings" w:hAnsi="Wingdings" w:hint="default"/>
      </w:rPr>
    </w:lvl>
    <w:lvl w:ilvl="6" w:tplc="3050D6FC" w:tentative="1">
      <w:start w:val="1"/>
      <w:numFmt w:val="bullet"/>
      <w:lvlText w:val=""/>
      <w:lvlJc w:val="left"/>
      <w:pPr>
        <w:ind w:left="5040" w:hanging="360"/>
      </w:pPr>
      <w:rPr>
        <w:rFonts w:ascii="Symbol" w:hAnsi="Symbol" w:hint="default"/>
      </w:rPr>
    </w:lvl>
    <w:lvl w:ilvl="7" w:tplc="0D607AD2" w:tentative="1">
      <w:start w:val="1"/>
      <w:numFmt w:val="bullet"/>
      <w:lvlText w:val="o"/>
      <w:lvlJc w:val="left"/>
      <w:pPr>
        <w:ind w:left="5760" w:hanging="360"/>
      </w:pPr>
      <w:rPr>
        <w:rFonts w:ascii="Courier New" w:hAnsi="Courier New" w:cs="Courier New" w:hint="default"/>
      </w:rPr>
    </w:lvl>
    <w:lvl w:ilvl="8" w:tplc="416C33EC" w:tentative="1">
      <w:start w:val="1"/>
      <w:numFmt w:val="bullet"/>
      <w:lvlText w:val=""/>
      <w:lvlJc w:val="left"/>
      <w:pPr>
        <w:ind w:left="6480" w:hanging="360"/>
      </w:pPr>
      <w:rPr>
        <w:rFonts w:ascii="Wingdings" w:hAnsi="Wingdings" w:hint="default"/>
      </w:rPr>
    </w:lvl>
  </w:abstractNum>
  <w:abstractNum w:abstractNumId="5" w15:restartNumberingAfterBreak="0">
    <w:nsid w:val="3E1C69E8"/>
    <w:multiLevelType w:val="hybridMultilevel"/>
    <w:tmpl w:val="A63A736A"/>
    <w:lvl w:ilvl="0" w:tplc="0F50C428">
      <w:start w:val="1"/>
      <w:numFmt w:val="bullet"/>
      <w:pStyle w:val="ListaRecuadotabela"/>
      <w:lvlText w:val=""/>
      <w:lvlJc w:val="left"/>
      <w:pPr>
        <w:ind w:left="1080" w:hanging="360"/>
      </w:pPr>
      <w:rPr>
        <w:rFonts w:ascii="Wingdings" w:hAnsi="Wingdings" w:hint="default"/>
      </w:rPr>
    </w:lvl>
    <w:lvl w:ilvl="1" w:tplc="B8923972">
      <w:start w:val="1"/>
      <w:numFmt w:val="bullet"/>
      <w:lvlText w:val="o"/>
      <w:lvlJc w:val="left"/>
      <w:pPr>
        <w:ind w:left="1800" w:hanging="360"/>
      </w:pPr>
      <w:rPr>
        <w:rFonts w:ascii="Courier New" w:hAnsi="Courier New" w:cs="Courier New" w:hint="default"/>
      </w:rPr>
    </w:lvl>
    <w:lvl w:ilvl="2" w:tplc="21AC4096" w:tentative="1">
      <w:start w:val="1"/>
      <w:numFmt w:val="bullet"/>
      <w:lvlText w:val=""/>
      <w:lvlJc w:val="left"/>
      <w:pPr>
        <w:ind w:left="2520" w:hanging="360"/>
      </w:pPr>
      <w:rPr>
        <w:rFonts w:ascii="Wingdings" w:hAnsi="Wingdings" w:hint="default"/>
      </w:rPr>
    </w:lvl>
    <w:lvl w:ilvl="3" w:tplc="18388278" w:tentative="1">
      <w:start w:val="1"/>
      <w:numFmt w:val="bullet"/>
      <w:lvlText w:val=""/>
      <w:lvlJc w:val="left"/>
      <w:pPr>
        <w:ind w:left="3240" w:hanging="360"/>
      </w:pPr>
      <w:rPr>
        <w:rFonts w:ascii="Symbol" w:hAnsi="Symbol" w:hint="default"/>
      </w:rPr>
    </w:lvl>
    <w:lvl w:ilvl="4" w:tplc="9E442F26" w:tentative="1">
      <w:start w:val="1"/>
      <w:numFmt w:val="bullet"/>
      <w:lvlText w:val="o"/>
      <w:lvlJc w:val="left"/>
      <w:pPr>
        <w:ind w:left="3960" w:hanging="360"/>
      </w:pPr>
      <w:rPr>
        <w:rFonts w:ascii="Courier New" w:hAnsi="Courier New" w:cs="Courier New" w:hint="default"/>
      </w:rPr>
    </w:lvl>
    <w:lvl w:ilvl="5" w:tplc="53BA8C20" w:tentative="1">
      <w:start w:val="1"/>
      <w:numFmt w:val="bullet"/>
      <w:lvlText w:val=""/>
      <w:lvlJc w:val="left"/>
      <w:pPr>
        <w:ind w:left="4680" w:hanging="360"/>
      </w:pPr>
      <w:rPr>
        <w:rFonts w:ascii="Wingdings" w:hAnsi="Wingdings" w:hint="default"/>
      </w:rPr>
    </w:lvl>
    <w:lvl w:ilvl="6" w:tplc="1FAEC65E" w:tentative="1">
      <w:start w:val="1"/>
      <w:numFmt w:val="bullet"/>
      <w:lvlText w:val=""/>
      <w:lvlJc w:val="left"/>
      <w:pPr>
        <w:ind w:left="5400" w:hanging="360"/>
      </w:pPr>
      <w:rPr>
        <w:rFonts w:ascii="Symbol" w:hAnsi="Symbol" w:hint="default"/>
      </w:rPr>
    </w:lvl>
    <w:lvl w:ilvl="7" w:tplc="8D0EB86E" w:tentative="1">
      <w:start w:val="1"/>
      <w:numFmt w:val="bullet"/>
      <w:lvlText w:val="o"/>
      <w:lvlJc w:val="left"/>
      <w:pPr>
        <w:ind w:left="6120" w:hanging="360"/>
      </w:pPr>
      <w:rPr>
        <w:rFonts w:ascii="Courier New" w:hAnsi="Courier New" w:cs="Courier New" w:hint="default"/>
      </w:rPr>
    </w:lvl>
    <w:lvl w:ilvl="8" w:tplc="DCC62C7A" w:tentative="1">
      <w:start w:val="1"/>
      <w:numFmt w:val="bullet"/>
      <w:lvlText w:val=""/>
      <w:lvlJc w:val="left"/>
      <w:pPr>
        <w:ind w:left="6840" w:hanging="360"/>
      </w:pPr>
      <w:rPr>
        <w:rFonts w:ascii="Wingdings" w:hAnsi="Wingdings" w:hint="default"/>
      </w:rPr>
    </w:lvl>
  </w:abstractNum>
  <w:abstractNum w:abstractNumId="6" w15:restartNumberingAfterBreak="0">
    <w:nsid w:val="4E513421"/>
    <w:multiLevelType w:val="hybridMultilevel"/>
    <w:tmpl w:val="4578738E"/>
    <w:lvl w:ilvl="0" w:tplc="C8C01926">
      <w:start w:val="1"/>
      <w:numFmt w:val="bullet"/>
      <w:lvlText w:val=""/>
      <w:lvlJc w:val="left"/>
      <w:pPr>
        <w:ind w:left="766" w:hanging="360"/>
      </w:pPr>
      <w:rPr>
        <w:rFonts w:ascii="Symbol" w:hAnsi="Symbol" w:hint="default"/>
      </w:rPr>
    </w:lvl>
    <w:lvl w:ilvl="1" w:tplc="47C006F2" w:tentative="1">
      <w:start w:val="1"/>
      <w:numFmt w:val="bullet"/>
      <w:lvlText w:val="o"/>
      <w:lvlJc w:val="left"/>
      <w:pPr>
        <w:ind w:left="1486" w:hanging="360"/>
      </w:pPr>
      <w:rPr>
        <w:rFonts w:ascii="Courier New" w:hAnsi="Courier New" w:cs="Courier New" w:hint="default"/>
      </w:rPr>
    </w:lvl>
    <w:lvl w:ilvl="2" w:tplc="E2624B36" w:tentative="1">
      <w:start w:val="1"/>
      <w:numFmt w:val="bullet"/>
      <w:lvlText w:val=""/>
      <w:lvlJc w:val="left"/>
      <w:pPr>
        <w:ind w:left="2206" w:hanging="360"/>
      </w:pPr>
      <w:rPr>
        <w:rFonts w:ascii="Wingdings" w:hAnsi="Wingdings" w:hint="default"/>
      </w:rPr>
    </w:lvl>
    <w:lvl w:ilvl="3" w:tplc="A9BCFE4C" w:tentative="1">
      <w:start w:val="1"/>
      <w:numFmt w:val="bullet"/>
      <w:lvlText w:val=""/>
      <w:lvlJc w:val="left"/>
      <w:pPr>
        <w:ind w:left="2926" w:hanging="360"/>
      </w:pPr>
      <w:rPr>
        <w:rFonts w:ascii="Symbol" w:hAnsi="Symbol" w:hint="default"/>
      </w:rPr>
    </w:lvl>
    <w:lvl w:ilvl="4" w:tplc="2ED2A898" w:tentative="1">
      <w:start w:val="1"/>
      <w:numFmt w:val="bullet"/>
      <w:lvlText w:val="o"/>
      <w:lvlJc w:val="left"/>
      <w:pPr>
        <w:ind w:left="3646" w:hanging="360"/>
      </w:pPr>
      <w:rPr>
        <w:rFonts w:ascii="Courier New" w:hAnsi="Courier New" w:cs="Courier New" w:hint="default"/>
      </w:rPr>
    </w:lvl>
    <w:lvl w:ilvl="5" w:tplc="70BE8608" w:tentative="1">
      <w:start w:val="1"/>
      <w:numFmt w:val="bullet"/>
      <w:lvlText w:val=""/>
      <w:lvlJc w:val="left"/>
      <w:pPr>
        <w:ind w:left="4366" w:hanging="360"/>
      </w:pPr>
      <w:rPr>
        <w:rFonts w:ascii="Wingdings" w:hAnsi="Wingdings" w:hint="default"/>
      </w:rPr>
    </w:lvl>
    <w:lvl w:ilvl="6" w:tplc="714CFD02" w:tentative="1">
      <w:start w:val="1"/>
      <w:numFmt w:val="bullet"/>
      <w:lvlText w:val=""/>
      <w:lvlJc w:val="left"/>
      <w:pPr>
        <w:ind w:left="5086" w:hanging="360"/>
      </w:pPr>
      <w:rPr>
        <w:rFonts w:ascii="Symbol" w:hAnsi="Symbol" w:hint="default"/>
      </w:rPr>
    </w:lvl>
    <w:lvl w:ilvl="7" w:tplc="02DACAF2" w:tentative="1">
      <w:start w:val="1"/>
      <w:numFmt w:val="bullet"/>
      <w:lvlText w:val="o"/>
      <w:lvlJc w:val="left"/>
      <w:pPr>
        <w:ind w:left="5806" w:hanging="360"/>
      </w:pPr>
      <w:rPr>
        <w:rFonts w:ascii="Courier New" w:hAnsi="Courier New" w:cs="Courier New" w:hint="default"/>
      </w:rPr>
    </w:lvl>
    <w:lvl w:ilvl="8" w:tplc="5E76713A" w:tentative="1">
      <w:start w:val="1"/>
      <w:numFmt w:val="bullet"/>
      <w:lvlText w:val=""/>
      <w:lvlJc w:val="left"/>
      <w:pPr>
        <w:ind w:left="6526" w:hanging="360"/>
      </w:pPr>
      <w:rPr>
        <w:rFonts w:ascii="Wingdings" w:hAnsi="Wingdings" w:hint="default"/>
      </w:rPr>
    </w:lvl>
  </w:abstractNum>
  <w:abstractNum w:abstractNumId="7" w15:restartNumberingAfterBreak="0">
    <w:nsid w:val="50395186"/>
    <w:multiLevelType w:val="hybridMultilevel"/>
    <w:tmpl w:val="460EF6C0"/>
    <w:lvl w:ilvl="0" w:tplc="68808654">
      <w:start w:val="1"/>
      <w:numFmt w:val="bullet"/>
      <w:lvlText w:val=""/>
      <w:lvlJc w:val="left"/>
      <w:pPr>
        <w:ind w:left="1440" w:hanging="360"/>
      </w:pPr>
      <w:rPr>
        <w:rFonts w:ascii="Symbol" w:hAnsi="Symbol" w:hint="default"/>
      </w:rPr>
    </w:lvl>
    <w:lvl w:ilvl="1" w:tplc="C6EE3EF2" w:tentative="1">
      <w:start w:val="1"/>
      <w:numFmt w:val="bullet"/>
      <w:lvlText w:val="o"/>
      <w:lvlJc w:val="left"/>
      <w:pPr>
        <w:ind w:left="2160" w:hanging="360"/>
      </w:pPr>
      <w:rPr>
        <w:rFonts w:ascii="Courier New" w:hAnsi="Courier New" w:cs="Courier New" w:hint="default"/>
      </w:rPr>
    </w:lvl>
    <w:lvl w:ilvl="2" w:tplc="17FCA1D2" w:tentative="1">
      <w:start w:val="1"/>
      <w:numFmt w:val="bullet"/>
      <w:lvlText w:val=""/>
      <w:lvlJc w:val="left"/>
      <w:pPr>
        <w:ind w:left="2880" w:hanging="360"/>
      </w:pPr>
      <w:rPr>
        <w:rFonts w:ascii="Wingdings" w:hAnsi="Wingdings" w:hint="default"/>
      </w:rPr>
    </w:lvl>
    <w:lvl w:ilvl="3" w:tplc="79E2367E" w:tentative="1">
      <w:start w:val="1"/>
      <w:numFmt w:val="bullet"/>
      <w:lvlText w:val=""/>
      <w:lvlJc w:val="left"/>
      <w:pPr>
        <w:ind w:left="3600" w:hanging="360"/>
      </w:pPr>
      <w:rPr>
        <w:rFonts w:ascii="Symbol" w:hAnsi="Symbol" w:hint="default"/>
      </w:rPr>
    </w:lvl>
    <w:lvl w:ilvl="4" w:tplc="F0DE22E0" w:tentative="1">
      <w:start w:val="1"/>
      <w:numFmt w:val="bullet"/>
      <w:lvlText w:val="o"/>
      <w:lvlJc w:val="left"/>
      <w:pPr>
        <w:ind w:left="4320" w:hanging="360"/>
      </w:pPr>
      <w:rPr>
        <w:rFonts w:ascii="Courier New" w:hAnsi="Courier New" w:cs="Courier New" w:hint="default"/>
      </w:rPr>
    </w:lvl>
    <w:lvl w:ilvl="5" w:tplc="680C03C2" w:tentative="1">
      <w:start w:val="1"/>
      <w:numFmt w:val="bullet"/>
      <w:lvlText w:val=""/>
      <w:lvlJc w:val="left"/>
      <w:pPr>
        <w:ind w:left="5040" w:hanging="360"/>
      </w:pPr>
      <w:rPr>
        <w:rFonts w:ascii="Wingdings" w:hAnsi="Wingdings" w:hint="default"/>
      </w:rPr>
    </w:lvl>
    <w:lvl w:ilvl="6" w:tplc="A540F5A6" w:tentative="1">
      <w:start w:val="1"/>
      <w:numFmt w:val="bullet"/>
      <w:lvlText w:val=""/>
      <w:lvlJc w:val="left"/>
      <w:pPr>
        <w:ind w:left="5760" w:hanging="360"/>
      </w:pPr>
      <w:rPr>
        <w:rFonts w:ascii="Symbol" w:hAnsi="Symbol" w:hint="default"/>
      </w:rPr>
    </w:lvl>
    <w:lvl w:ilvl="7" w:tplc="72E65E98" w:tentative="1">
      <w:start w:val="1"/>
      <w:numFmt w:val="bullet"/>
      <w:lvlText w:val="o"/>
      <w:lvlJc w:val="left"/>
      <w:pPr>
        <w:ind w:left="6480" w:hanging="360"/>
      </w:pPr>
      <w:rPr>
        <w:rFonts w:ascii="Courier New" w:hAnsi="Courier New" w:cs="Courier New" w:hint="default"/>
      </w:rPr>
    </w:lvl>
    <w:lvl w:ilvl="8" w:tplc="4A8EBB2E" w:tentative="1">
      <w:start w:val="1"/>
      <w:numFmt w:val="bullet"/>
      <w:lvlText w:val=""/>
      <w:lvlJc w:val="left"/>
      <w:pPr>
        <w:ind w:left="7200" w:hanging="360"/>
      </w:pPr>
      <w:rPr>
        <w:rFonts w:ascii="Wingdings" w:hAnsi="Wingdings" w:hint="default"/>
      </w:rPr>
    </w:lvl>
  </w:abstractNum>
  <w:abstractNum w:abstractNumId="8" w15:restartNumberingAfterBreak="0">
    <w:nsid w:val="56FC4CBD"/>
    <w:multiLevelType w:val="hybridMultilevel"/>
    <w:tmpl w:val="63924756"/>
    <w:lvl w:ilvl="0" w:tplc="A8042610">
      <w:start w:val="1"/>
      <w:numFmt w:val="bullet"/>
      <w:pStyle w:val="10-Lista2"/>
      <w:lvlText w:val=""/>
      <w:lvlJc w:val="left"/>
      <w:pPr>
        <w:ind w:left="1004" w:hanging="360"/>
      </w:pPr>
      <w:rPr>
        <w:rFonts w:ascii="Wingdings" w:hAnsi="Wingdings" w:hint="default"/>
      </w:rPr>
    </w:lvl>
    <w:lvl w:ilvl="1" w:tplc="ABBE3614" w:tentative="1">
      <w:start w:val="1"/>
      <w:numFmt w:val="bullet"/>
      <w:lvlText w:val="o"/>
      <w:lvlJc w:val="left"/>
      <w:pPr>
        <w:ind w:left="1724" w:hanging="360"/>
      </w:pPr>
      <w:rPr>
        <w:rFonts w:ascii="Courier New" w:hAnsi="Courier New" w:cs="Courier New" w:hint="default"/>
      </w:rPr>
    </w:lvl>
    <w:lvl w:ilvl="2" w:tplc="F3081442" w:tentative="1">
      <w:start w:val="1"/>
      <w:numFmt w:val="bullet"/>
      <w:lvlText w:val=""/>
      <w:lvlJc w:val="left"/>
      <w:pPr>
        <w:ind w:left="2444" w:hanging="360"/>
      </w:pPr>
      <w:rPr>
        <w:rFonts w:ascii="Wingdings" w:hAnsi="Wingdings" w:hint="default"/>
      </w:rPr>
    </w:lvl>
    <w:lvl w:ilvl="3" w:tplc="AC9A1C56" w:tentative="1">
      <w:start w:val="1"/>
      <w:numFmt w:val="bullet"/>
      <w:lvlText w:val=""/>
      <w:lvlJc w:val="left"/>
      <w:pPr>
        <w:ind w:left="3164" w:hanging="360"/>
      </w:pPr>
      <w:rPr>
        <w:rFonts w:ascii="Symbol" w:hAnsi="Symbol" w:hint="default"/>
      </w:rPr>
    </w:lvl>
    <w:lvl w:ilvl="4" w:tplc="6750CC9A" w:tentative="1">
      <w:start w:val="1"/>
      <w:numFmt w:val="bullet"/>
      <w:lvlText w:val="o"/>
      <w:lvlJc w:val="left"/>
      <w:pPr>
        <w:ind w:left="3884" w:hanging="360"/>
      </w:pPr>
      <w:rPr>
        <w:rFonts w:ascii="Courier New" w:hAnsi="Courier New" w:cs="Courier New" w:hint="default"/>
      </w:rPr>
    </w:lvl>
    <w:lvl w:ilvl="5" w:tplc="D48EC978" w:tentative="1">
      <w:start w:val="1"/>
      <w:numFmt w:val="bullet"/>
      <w:lvlText w:val=""/>
      <w:lvlJc w:val="left"/>
      <w:pPr>
        <w:ind w:left="4604" w:hanging="360"/>
      </w:pPr>
      <w:rPr>
        <w:rFonts w:ascii="Wingdings" w:hAnsi="Wingdings" w:hint="default"/>
      </w:rPr>
    </w:lvl>
    <w:lvl w:ilvl="6" w:tplc="86CE221E" w:tentative="1">
      <w:start w:val="1"/>
      <w:numFmt w:val="bullet"/>
      <w:lvlText w:val=""/>
      <w:lvlJc w:val="left"/>
      <w:pPr>
        <w:ind w:left="5324" w:hanging="360"/>
      </w:pPr>
      <w:rPr>
        <w:rFonts w:ascii="Symbol" w:hAnsi="Symbol" w:hint="default"/>
      </w:rPr>
    </w:lvl>
    <w:lvl w:ilvl="7" w:tplc="6498788E" w:tentative="1">
      <w:start w:val="1"/>
      <w:numFmt w:val="bullet"/>
      <w:lvlText w:val="o"/>
      <w:lvlJc w:val="left"/>
      <w:pPr>
        <w:ind w:left="6044" w:hanging="360"/>
      </w:pPr>
      <w:rPr>
        <w:rFonts w:ascii="Courier New" w:hAnsi="Courier New" w:cs="Courier New" w:hint="default"/>
      </w:rPr>
    </w:lvl>
    <w:lvl w:ilvl="8" w:tplc="3A2AF0DA" w:tentative="1">
      <w:start w:val="1"/>
      <w:numFmt w:val="bullet"/>
      <w:lvlText w:val=""/>
      <w:lvlJc w:val="left"/>
      <w:pPr>
        <w:ind w:left="6764" w:hanging="360"/>
      </w:pPr>
      <w:rPr>
        <w:rFonts w:ascii="Wingdings" w:hAnsi="Wingdings" w:hint="default"/>
      </w:rPr>
    </w:lvl>
  </w:abstractNum>
  <w:abstractNum w:abstractNumId="9" w15:restartNumberingAfterBreak="0">
    <w:nsid w:val="60D8161B"/>
    <w:multiLevelType w:val="hybridMultilevel"/>
    <w:tmpl w:val="C30047CE"/>
    <w:lvl w:ilvl="0" w:tplc="F6BC2D1E">
      <w:start w:val="1"/>
      <w:numFmt w:val="decimal"/>
      <w:lvlText w:val="(%1)"/>
      <w:lvlJc w:val="left"/>
      <w:pPr>
        <w:ind w:left="720" w:hanging="360"/>
      </w:pPr>
      <w:rPr>
        <w:rFonts w:hint="default"/>
      </w:rPr>
    </w:lvl>
    <w:lvl w:ilvl="1" w:tplc="4AA29C32" w:tentative="1">
      <w:start w:val="1"/>
      <w:numFmt w:val="lowerLetter"/>
      <w:lvlText w:val="%2."/>
      <w:lvlJc w:val="left"/>
      <w:pPr>
        <w:ind w:left="1440" w:hanging="360"/>
      </w:pPr>
    </w:lvl>
    <w:lvl w:ilvl="2" w:tplc="9C86348A" w:tentative="1">
      <w:start w:val="1"/>
      <w:numFmt w:val="lowerRoman"/>
      <w:lvlText w:val="%3."/>
      <w:lvlJc w:val="right"/>
      <w:pPr>
        <w:ind w:left="2160" w:hanging="180"/>
      </w:pPr>
    </w:lvl>
    <w:lvl w:ilvl="3" w:tplc="E4BEEAF4" w:tentative="1">
      <w:start w:val="1"/>
      <w:numFmt w:val="decimal"/>
      <w:lvlText w:val="%4."/>
      <w:lvlJc w:val="left"/>
      <w:pPr>
        <w:ind w:left="2880" w:hanging="360"/>
      </w:pPr>
    </w:lvl>
    <w:lvl w:ilvl="4" w:tplc="450AEA5E" w:tentative="1">
      <w:start w:val="1"/>
      <w:numFmt w:val="lowerLetter"/>
      <w:lvlText w:val="%5."/>
      <w:lvlJc w:val="left"/>
      <w:pPr>
        <w:ind w:left="3600" w:hanging="360"/>
      </w:pPr>
    </w:lvl>
    <w:lvl w:ilvl="5" w:tplc="AC4E9A9E" w:tentative="1">
      <w:start w:val="1"/>
      <w:numFmt w:val="lowerRoman"/>
      <w:lvlText w:val="%6."/>
      <w:lvlJc w:val="right"/>
      <w:pPr>
        <w:ind w:left="4320" w:hanging="180"/>
      </w:pPr>
    </w:lvl>
    <w:lvl w:ilvl="6" w:tplc="32DC9B8E" w:tentative="1">
      <w:start w:val="1"/>
      <w:numFmt w:val="decimal"/>
      <w:lvlText w:val="%7."/>
      <w:lvlJc w:val="left"/>
      <w:pPr>
        <w:ind w:left="5040" w:hanging="360"/>
      </w:pPr>
    </w:lvl>
    <w:lvl w:ilvl="7" w:tplc="1F2091CE" w:tentative="1">
      <w:start w:val="1"/>
      <w:numFmt w:val="lowerLetter"/>
      <w:lvlText w:val="%8."/>
      <w:lvlJc w:val="left"/>
      <w:pPr>
        <w:ind w:left="5760" w:hanging="360"/>
      </w:pPr>
    </w:lvl>
    <w:lvl w:ilvl="8" w:tplc="38F20CC6" w:tentative="1">
      <w:start w:val="1"/>
      <w:numFmt w:val="lowerRoman"/>
      <w:lvlText w:val="%9."/>
      <w:lvlJc w:val="right"/>
      <w:pPr>
        <w:ind w:left="6480" w:hanging="180"/>
      </w:pPr>
    </w:lvl>
  </w:abstractNum>
  <w:abstractNum w:abstractNumId="10"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11" w15:restartNumberingAfterBreak="0">
    <w:nsid w:val="652635CC"/>
    <w:multiLevelType w:val="hybridMultilevel"/>
    <w:tmpl w:val="470875DC"/>
    <w:lvl w:ilvl="0" w:tplc="37CA96C8">
      <w:start w:val="1"/>
      <w:numFmt w:val="decimal"/>
      <w:lvlText w:val="%1 -"/>
      <w:lvlJc w:val="left"/>
      <w:pPr>
        <w:ind w:left="720" w:hanging="360"/>
      </w:pPr>
      <w:rPr>
        <w:rFonts w:hint="default"/>
      </w:rPr>
    </w:lvl>
    <w:lvl w:ilvl="1" w:tplc="03F4E83A" w:tentative="1">
      <w:start w:val="1"/>
      <w:numFmt w:val="lowerLetter"/>
      <w:lvlText w:val="%2."/>
      <w:lvlJc w:val="left"/>
      <w:pPr>
        <w:ind w:left="1440" w:hanging="360"/>
      </w:pPr>
    </w:lvl>
    <w:lvl w:ilvl="2" w:tplc="759C7718" w:tentative="1">
      <w:start w:val="1"/>
      <w:numFmt w:val="lowerRoman"/>
      <w:lvlText w:val="%3."/>
      <w:lvlJc w:val="right"/>
      <w:pPr>
        <w:ind w:left="2160" w:hanging="180"/>
      </w:pPr>
    </w:lvl>
    <w:lvl w:ilvl="3" w:tplc="5EF8B292" w:tentative="1">
      <w:start w:val="1"/>
      <w:numFmt w:val="decimal"/>
      <w:lvlText w:val="%4."/>
      <w:lvlJc w:val="left"/>
      <w:pPr>
        <w:ind w:left="2880" w:hanging="360"/>
      </w:pPr>
    </w:lvl>
    <w:lvl w:ilvl="4" w:tplc="29FAE662" w:tentative="1">
      <w:start w:val="1"/>
      <w:numFmt w:val="lowerLetter"/>
      <w:lvlText w:val="%5."/>
      <w:lvlJc w:val="left"/>
      <w:pPr>
        <w:ind w:left="3600" w:hanging="360"/>
      </w:pPr>
    </w:lvl>
    <w:lvl w:ilvl="5" w:tplc="F6A0E8EC" w:tentative="1">
      <w:start w:val="1"/>
      <w:numFmt w:val="lowerRoman"/>
      <w:lvlText w:val="%6."/>
      <w:lvlJc w:val="right"/>
      <w:pPr>
        <w:ind w:left="4320" w:hanging="180"/>
      </w:pPr>
    </w:lvl>
    <w:lvl w:ilvl="6" w:tplc="3948D658" w:tentative="1">
      <w:start w:val="1"/>
      <w:numFmt w:val="decimal"/>
      <w:lvlText w:val="%7."/>
      <w:lvlJc w:val="left"/>
      <w:pPr>
        <w:ind w:left="5040" w:hanging="360"/>
      </w:pPr>
    </w:lvl>
    <w:lvl w:ilvl="7" w:tplc="A976985E" w:tentative="1">
      <w:start w:val="1"/>
      <w:numFmt w:val="lowerLetter"/>
      <w:lvlText w:val="%8."/>
      <w:lvlJc w:val="left"/>
      <w:pPr>
        <w:ind w:left="5760" w:hanging="360"/>
      </w:pPr>
    </w:lvl>
    <w:lvl w:ilvl="8" w:tplc="C3FAE8E4" w:tentative="1">
      <w:start w:val="1"/>
      <w:numFmt w:val="lowerRoman"/>
      <w:lvlText w:val="%9."/>
      <w:lvlJc w:val="right"/>
      <w:pPr>
        <w:ind w:left="6480" w:hanging="180"/>
      </w:pPr>
    </w:lvl>
  </w:abstractNum>
  <w:abstractNum w:abstractNumId="12" w15:restartNumberingAfterBreak="0">
    <w:nsid w:val="6F39303A"/>
    <w:multiLevelType w:val="hybridMultilevel"/>
    <w:tmpl w:val="B27AA880"/>
    <w:lvl w:ilvl="0" w:tplc="7FDA2B2E">
      <w:start w:val="1"/>
      <w:numFmt w:val="bullet"/>
      <w:lvlText w:val=""/>
      <w:lvlJc w:val="left"/>
      <w:pPr>
        <w:ind w:left="720" w:hanging="360"/>
      </w:pPr>
      <w:rPr>
        <w:rFonts w:ascii="Symbol" w:hAnsi="Symbol" w:hint="default"/>
      </w:rPr>
    </w:lvl>
    <w:lvl w:ilvl="1" w:tplc="12382BC4" w:tentative="1">
      <w:start w:val="1"/>
      <w:numFmt w:val="bullet"/>
      <w:lvlText w:val="o"/>
      <w:lvlJc w:val="left"/>
      <w:pPr>
        <w:ind w:left="1440" w:hanging="360"/>
      </w:pPr>
      <w:rPr>
        <w:rFonts w:ascii="Courier New" w:hAnsi="Courier New" w:cs="Courier New" w:hint="default"/>
      </w:rPr>
    </w:lvl>
    <w:lvl w:ilvl="2" w:tplc="579A3674" w:tentative="1">
      <w:start w:val="1"/>
      <w:numFmt w:val="bullet"/>
      <w:lvlText w:val=""/>
      <w:lvlJc w:val="left"/>
      <w:pPr>
        <w:ind w:left="2160" w:hanging="360"/>
      </w:pPr>
      <w:rPr>
        <w:rFonts w:ascii="Wingdings" w:hAnsi="Wingdings" w:hint="default"/>
      </w:rPr>
    </w:lvl>
    <w:lvl w:ilvl="3" w:tplc="7832733C" w:tentative="1">
      <w:start w:val="1"/>
      <w:numFmt w:val="bullet"/>
      <w:lvlText w:val=""/>
      <w:lvlJc w:val="left"/>
      <w:pPr>
        <w:ind w:left="2880" w:hanging="360"/>
      </w:pPr>
      <w:rPr>
        <w:rFonts w:ascii="Symbol" w:hAnsi="Symbol" w:hint="default"/>
      </w:rPr>
    </w:lvl>
    <w:lvl w:ilvl="4" w:tplc="351AAC3E" w:tentative="1">
      <w:start w:val="1"/>
      <w:numFmt w:val="bullet"/>
      <w:lvlText w:val="o"/>
      <w:lvlJc w:val="left"/>
      <w:pPr>
        <w:ind w:left="3600" w:hanging="360"/>
      </w:pPr>
      <w:rPr>
        <w:rFonts w:ascii="Courier New" w:hAnsi="Courier New" w:cs="Courier New" w:hint="default"/>
      </w:rPr>
    </w:lvl>
    <w:lvl w:ilvl="5" w:tplc="3874479A" w:tentative="1">
      <w:start w:val="1"/>
      <w:numFmt w:val="bullet"/>
      <w:lvlText w:val=""/>
      <w:lvlJc w:val="left"/>
      <w:pPr>
        <w:ind w:left="4320" w:hanging="360"/>
      </w:pPr>
      <w:rPr>
        <w:rFonts w:ascii="Wingdings" w:hAnsi="Wingdings" w:hint="default"/>
      </w:rPr>
    </w:lvl>
    <w:lvl w:ilvl="6" w:tplc="2FF06124" w:tentative="1">
      <w:start w:val="1"/>
      <w:numFmt w:val="bullet"/>
      <w:lvlText w:val=""/>
      <w:lvlJc w:val="left"/>
      <w:pPr>
        <w:ind w:left="5040" w:hanging="360"/>
      </w:pPr>
      <w:rPr>
        <w:rFonts w:ascii="Symbol" w:hAnsi="Symbol" w:hint="default"/>
      </w:rPr>
    </w:lvl>
    <w:lvl w:ilvl="7" w:tplc="2E528B68" w:tentative="1">
      <w:start w:val="1"/>
      <w:numFmt w:val="bullet"/>
      <w:lvlText w:val="o"/>
      <w:lvlJc w:val="left"/>
      <w:pPr>
        <w:ind w:left="5760" w:hanging="360"/>
      </w:pPr>
      <w:rPr>
        <w:rFonts w:ascii="Courier New" w:hAnsi="Courier New" w:cs="Courier New" w:hint="default"/>
      </w:rPr>
    </w:lvl>
    <w:lvl w:ilvl="8" w:tplc="83A24154" w:tentative="1">
      <w:start w:val="1"/>
      <w:numFmt w:val="bullet"/>
      <w:lvlText w:val=""/>
      <w:lvlJc w:val="left"/>
      <w:pPr>
        <w:ind w:left="6480" w:hanging="360"/>
      </w:pPr>
      <w:rPr>
        <w:rFonts w:ascii="Wingdings" w:hAnsi="Wingdings" w:hint="default"/>
      </w:rPr>
    </w:lvl>
  </w:abstractNum>
  <w:abstractNum w:abstractNumId="13" w15:restartNumberingAfterBreak="0">
    <w:nsid w:val="70C21F00"/>
    <w:multiLevelType w:val="hybridMultilevel"/>
    <w:tmpl w:val="D1460874"/>
    <w:lvl w:ilvl="0" w:tplc="F7DA02A4">
      <w:start w:val="1"/>
      <w:numFmt w:val="lowerRoman"/>
      <w:lvlText w:val="%1."/>
      <w:lvlJc w:val="right"/>
      <w:pPr>
        <w:ind w:left="720" w:hanging="360"/>
      </w:pPr>
    </w:lvl>
    <w:lvl w:ilvl="1" w:tplc="C8A89320" w:tentative="1">
      <w:start w:val="1"/>
      <w:numFmt w:val="lowerLetter"/>
      <w:lvlText w:val="%2."/>
      <w:lvlJc w:val="left"/>
      <w:pPr>
        <w:ind w:left="1440" w:hanging="360"/>
      </w:pPr>
    </w:lvl>
    <w:lvl w:ilvl="2" w:tplc="DB1AFBCC" w:tentative="1">
      <w:start w:val="1"/>
      <w:numFmt w:val="lowerRoman"/>
      <w:lvlText w:val="%3."/>
      <w:lvlJc w:val="right"/>
      <w:pPr>
        <w:ind w:left="2160" w:hanging="180"/>
      </w:pPr>
    </w:lvl>
    <w:lvl w:ilvl="3" w:tplc="711490A4" w:tentative="1">
      <w:start w:val="1"/>
      <w:numFmt w:val="decimal"/>
      <w:lvlText w:val="%4."/>
      <w:lvlJc w:val="left"/>
      <w:pPr>
        <w:ind w:left="2880" w:hanging="360"/>
      </w:pPr>
    </w:lvl>
    <w:lvl w:ilvl="4" w:tplc="6A56C5A2" w:tentative="1">
      <w:start w:val="1"/>
      <w:numFmt w:val="lowerLetter"/>
      <w:lvlText w:val="%5."/>
      <w:lvlJc w:val="left"/>
      <w:pPr>
        <w:ind w:left="3600" w:hanging="360"/>
      </w:pPr>
    </w:lvl>
    <w:lvl w:ilvl="5" w:tplc="8986713C" w:tentative="1">
      <w:start w:val="1"/>
      <w:numFmt w:val="lowerRoman"/>
      <w:lvlText w:val="%6."/>
      <w:lvlJc w:val="right"/>
      <w:pPr>
        <w:ind w:left="4320" w:hanging="180"/>
      </w:pPr>
    </w:lvl>
    <w:lvl w:ilvl="6" w:tplc="9F121940" w:tentative="1">
      <w:start w:val="1"/>
      <w:numFmt w:val="decimal"/>
      <w:lvlText w:val="%7."/>
      <w:lvlJc w:val="left"/>
      <w:pPr>
        <w:ind w:left="5040" w:hanging="360"/>
      </w:pPr>
    </w:lvl>
    <w:lvl w:ilvl="7" w:tplc="12441C96" w:tentative="1">
      <w:start w:val="1"/>
      <w:numFmt w:val="lowerLetter"/>
      <w:lvlText w:val="%8."/>
      <w:lvlJc w:val="left"/>
      <w:pPr>
        <w:ind w:left="5760" w:hanging="360"/>
      </w:pPr>
    </w:lvl>
    <w:lvl w:ilvl="8" w:tplc="00EE1F4A" w:tentative="1">
      <w:start w:val="1"/>
      <w:numFmt w:val="lowerRoman"/>
      <w:lvlText w:val="%9."/>
      <w:lvlJc w:val="right"/>
      <w:pPr>
        <w:ind w:left="6480" w:hanging="180"/>
      </w:pPr>
    </w:lvl>
  </w:abstractNum>
  <w:abstractNum w:abstractNumId="14" w15:restartNumberingAfterBreak="0">
    <w:nsid w:val="711619F4"/>
    <w:multiLevelType w:val="hybridMultilevel"/>
    <w:tmpl w:val="BADE828A"/>
    <w:lvl w:ilvl="0" w:tplc="221C10B4">
      <w:start w:val="1"/>
      <w:numFmt w:val="bullet"/>
      <w:lvlText w:val=""/>
      <w:lvlJc w:val="left"/>
      <w:pPr>
        <w:ind w:left="720" w:hanging="360"/>
      </w:pPr>
      <w:rPr>
        <w:rFonts w:ascii="Symbol" w:hAnsi="Symbol" w:hint="default"/>
      </w:rPr>
    </w:lvl>
    <w:lvl w:ilvl="1" w:tplc="158A8CE6" w:tentative="1">
      <w:start w:val="1"/>
      <w:numFmt w:val="bullet"/>
      <w:lvlText w:val="o"/>
      <w:lvlJc w:val="left"/>
      <w:pPr>
        <w:ind w:left="1440" w:hanging="360"/>
      </w:pPr>
      <w:rPr>
        <w:rFonts w:ascii="Courier New" w:hAnsi="Courier New" w:cs="Courier New" w:hint="default"/>
      </w:rPr>
    </w:lvl>
    <w:lvl w:ilvl="2" w:tplc="B45A861A" w:tentative="1">
      <w:start w:val="1"/>
      <w:numFmt w:val="bullet"/>
      <w:lvlText w:val=""/>
      <w:lvlJc w:val="left"/>
      <w:pPr>
        <w:ind w:left="2160" w:hanging="360"/>
      </w:pPr>
      <w:rPr>
        <w:rFonts w:ascii="Wingdings" w:hAnsi="Wingdings" w:hint="default"/>
      </w:rPr>
    </w:lvl>
    <w:lvl w:ilvl="3" w:tplc="2344715E" w:tentative="1">
      <w:start w:val="1"/>
      <w:numFmt w:val="bullet"/>
      <w:lvlText w:val=""/>
      <w:lvlJc w:val="left"/>
      <w:pPr>
        <w:ind w:left="2880" w:hanging="360"/>
      </w:pPr>
      <w:rPr>
        <w:rFonts w:ascii="Symbol" w:hAnsi="Symbol" w:hint="default"/>
      </w:rPr>
    </w:lvl>
    <w:lvl w:ilvl="4" w:tplc="94EA8014" w:tentative="1">
      <w:start w:val="1"/>
      <w:numFmt w:val="bullet"/>
      <w:lvlText w:val="o"/>
      <w:lvlJc w:val="left"/>
      <w:pPr>
        <w:ind w:left="3600" w:hanging="360"/>
      </w:pPr>
      <w:rPr>
        <w:rFonts w:ascii="Courier New" w:hAnsi="Courier New" w:cs="Courier New" w:hint="default"/>
      </w:rPr>
    </w:lvl>
    <w:lvl w:ilvl="5" w:tplc="E98E7612" w:tentative="1">
      <w:start w:val="1"/>
      <w:numFmt w:val="bullet"/>
      <w:lvlText w:val=""/>
      <w:lvlJc w:val="left"/>
      <w:pPr>
        <w:ind w:left="4320" w:hanging="360"/>
      </w:pPr>
      <w:rPr>
        <w:rFonts w:ascii="Wingdings" w:hAnsi="Wingdings" w:hint="default"/>
      </w:rPr>
    </w:lvl>
    <w:lvl w:ilvl="6" w:tplc="108C1FD8" w:tentative="1">
      <w:start w:val="1"/>
      <w:numFmt w:val="bullet"/>
      <w:lvlText w:val=""/>
      <w:lvlJc w:val="left"/>
      <w:pPr>
        <w:ind w:left="5040" w:hanging="360"/>
      </w:pPr>
      <w:rPr>
        <w:rFonts w:ascii="Symbol" w:hAnsi="Symbol" w:hint="default"/>
      </w:rPr>
    </w:lvl>
    <w:lvl w:ilvl="7" w:tplc="FE1CFBDA" w:tentative="1">
      <w:start w:val="1"/>
      <w:numFmt w:val="bullet"/>
      <w:lvlText w:val="o"/>
      <w:lvlJc w:val="left"/>
      <w:pPr>
        <w:ind w:left="5760" w:hanging="360"/>
      </w:pPr>
      <w:rPr>
        <w:rFonts w:ascii="Courier New" w:hAnsi="Courier New" w:cs="Courier New" w:hint="default"/>
      </w:rPr>
    </w:lvl>
    <w:lvl w:ilvl="8" w:tplc="990E4638" w:tentative="1">
      <w:start w:val="1"/>
      <w:numFmt w:val="bullet"/>
      <w:lvlText w:val=""/>
      <w:lvlJc w:val="left"/>
      <w:pPr>
        <w:ind w:left="6480" w:hanging="360"/>
      </w:pPr>
      <w:rPr>
        <w:rFonts w:ascii="Wingdings" w:hAnsi="Wingdings" w:hint="default"/>
      </w:rPr>
    </w:lvl>
  </w:abstractNum>
  <w:abstractNum w:abstractNumId="15" w15:restartNumberingAfterBreak="0">
    <w:nsid w:val="73AF4C5F"/>
    <w:multiLevelType w:val="hybridMultilevel"/>
    <w:tmpl w:val="3C1201DE"/>
    <w:lvl w:ilvl="0" w:tplc="92EAA3F4">
      <w:start w:val="1"/>
      <w:numFmt w:val="bullet"/>
      <w:lvlText w:val=""/>
      <w:lvlJc w:val="left"/>
      <w:pPr>
        <w:ind w:left="720" w:hanging="360"/>
      </w:pPr>
      <w:rPr>
        <w:rFonts w:ascii="Symbol" w:hAnsi="Symbol" w:hint="default"/>
      </w:rPr>
    </w:lvl>
    <w:lvl w:ilvl="1" w:tplc="5E50A4CE" w:tentative="1">
      <w:start w:val="1"/>
      <w:numFmt w:val="bullet"/>
      <w:lvlText w:val="o"/>
      <w:lvlJc w:val="left"/>
      <w:pPr>
        <w:ind w:left="1440" w:hanging="360"/>
      </w:pPr>
      <w:rPr>
        <w:rFonts w:ascii="Courier New" w:hAnsi="Courier New" w:cs="Courier New" w:hint="default"/>
      </w:rPr>
    </w:lvl>
    <w:lvl w:ilvl="2" w:tplc="1CA2DC9E" w:tentative="1">
      <w:start w:val="1"/>
      <w:numFmt w:val="bullet"/>
      <w:lvlText w:val=""/>
      <w:lvlJc w:val="left"/>
      <w:pPr>
        <w:ind w:left="2160" w:hanging="360"/>
      </w:pPr>
      <w:rPr>
        <w:rFonts w:ascii="Wingdings" w:hAnsi="Wingdings" w:hint="default"/>
      </w:rPr>
    </w:lvl>
    <w:lvl w:ilvl="3" w:tplc="4740B7F4" w:tentative="1">
      <w:start w:val="1"/>
      <w:numFmt w:val="bullet"/>
      <w:lvlText w:val=""/>
      <w:lvlJc w:val="left"/>
      <w:pPr>
        <w:ind w:left="2880" w:hanging="360"/>
      </w:pPr>
      <w:rPr>
        <w:rFonts w:ascii="Symbol" w:hAnsi="Symbol" w:hint="default"/>
      </w:rPr>
    </w:lvl>
    <w:lvl w:ilvl="4" w:tplc="8C400BFC" w:tentative="1">
      <w:start w:val="1"/>
      <w:numFmt w:val="bullet"/>
      <w:lvlText w:val="o"/>
      <w:lvlJc w:val="left"/>
      <w:pPr>
        <w:ind w:left="3600" w:hanging="360"/>
      </w:pPr>
      <w:rPr>
        <w:rFonts w:ascii="Courier New" w:hAnsi="Courier New" w:cs="Courier New" w:hint="default"/>
      </w:rPr>
    </w:lvl>
    <w:lvl w:ilvl="5" w:tplc="08200292" w:tentative="1">
      <w:start w:val="1"/>
      <w:numFmt w:val="bullet"/>
      <w:lvlText w:val=""/>
      <w:lvlJc w:val="left"/>
      <w:pPr>
        <w:ind w:left="4320" w:hanging="360"/>
      </w:pPr>
      <w:rPr>
        <w:rFonts w:ascii="Wingdings" w:hAnsi="Wingdings" w:hint="default"/>
      </w:rPr>
    </w:lvl>
    <w:lvl w:ilvl="6" w:tplc="E2F43110" w:tentative="1">
      <w:start w:val="1"/>
      <w:numFmt w:val="bullet"/>
      <w:lvlText w:val=""/>
      <w:lvlJc w:val="left"/>
      <w:pPr>
        <w:ind w:left="5040" w:hanging="360"/>
      </w:pPr>
      <w:rPr>
        <w:rFonts w:ascii="Symbol" w:hAnsi="Symbol" w:hint="default"/>
      </w:rPr>
    </w:lvl>
    <w:lvl w:ilvl="7" w:tplc="9BAC899C" w:tentative="1">
      <w:start w:val="1"/>
      <w:numFmt w:val="bullet"/>
      <w:lvlText w:val="o"/>
      <w:lvlJc w:val="left"/>
      <w:pPr>
        <w:ind w:left="5760" w:hanging="360"/>
      </w:pPr>
      <w:rPr>
        <w:rFonts w:ascii="Courier New" w:hAnsi="Courier New" w:cs="Courier New" w:hint="default"/>
      </w:rPr>
    </w:lvl>
    <w:lvl w:ilvl="8" w:tplc="A2CE5F2E" w:tentative="1">
      <w:start w:val="1"/>
      <w:numFmt w:val="bullet"/>
      <w:lvlText w:val=""/>
      <w:lvlJc w:val="left"/>
      <w:pPr>
        <w:ind w:left="6480" w:hanging="360"/>
      </w:pPr>
      <w:rPr>
        <w:rFonts w:ascii="Wingdings" w:hAnsi="Wingdings" w:hint="default"/>
      </w:rPr>
    </w:lvl>
  </w:abstractNum>
  <w:abstractNum w:abstractNumId="16" w15:restartNumberingAfterBreak="0">
    <w:nsid w:val="798245A3"/>
    <w:multiLevelType w:val="hybridMultilevel"/>
    <w:tmpl w:val="F2066144"/>
    <w:lvl w:ilvl="0" w:tplc="CC6A77DC">
      <w:start w:val="1"/>
      <w:numFmt w:val="bullet"/>
      <w:lvlText w:val=""/>
      <w:lvlJc w:val="left"/>
      <w:pPr>
        <w:ind w:left="720" w:hanging="360"/>
      </w:pPr>
      <w:rPr>
        <w:rFonts w:ascii="Symbol" w:hAnsi="Symbol" w:hint="default"/>
      </w:rPr>
    </w:lvl>
    <w:lvl w:ilvl="1" w:tplc="AE8A6B44">
      <w:numFmt w:val="bullet"/>
      <w:lvlText w:val="•"/>
      <w:lvlJc w:val="left"/>
      <w:pPr>
        <w:ind w:left="1692" w:hanging="612"/>
      </w:pPr>
      <w:rPr>
        <w:rFonts w:ascii="Arial" w:eastAsiaTheme="minorHAnsi" w:hAnsi="Arial" w:cs="Arial" w:hint="default"/>
      </w:rPr>
    </w:lvl>
    <w:lvl w:ilvl="2" w:tplc="AFF272CA" w:tentative="1">
      <w:start w:val="1"/>
      <w:numFmt w:val="bullet"/>
      <w:lvlText w:val=""/>
      <w:lvlJc w:val="left"/>
      <w:pPr>
        <w:ind w:left="2160" w:hanging="360"/>
      </w:pPr>
      <w:rPr>
        <w:rFonts w:ascii="Wingdings" w:hAnsi="Wingdings" w:hint="default"/>
      </w:rPr>
    </w:lvl>
    <w:lvl w:ilvl="3" w:tplc="419EC390" w:tentative="1">
      <w:start w:val="1"/>
      <w:numFmt w:val="bullet"/>
      <w:lvlText w:val=""/>
      <w:lvlJc w:val="left"/>
      <w:pPr>
        <w:ind w:left="2880" w:hanging="360"/>
      </w:pPr>
      <w:rPr>
        <w:rFonts w:ascii="Symbol" w:hAnsi="Symbol" w:hint="default"/>
      </w:rPr>
    </w:lvl>
    <w:lvl w:ilvl="4" w:tplc="0FFEF73E" w:tentative="1">
      <w:start w:val="1"/>
      <w:numFmt w:val="bullet"/>
      <w:lvlText w:val="o"/>
      <w:lvlJc w:val="left"/>
      <w:pPr>
        <w:ind w:left="3600" w:hanging="360"/>
      </w:pPr>
      <w:rPr>
        <w:rFonts w:ascii="Courier New" w:hAnsi="Courier New" w:cs="Courier New" w:hint="default"/>
      </w:rPr>
    </w:lvl>
    <w:lvl w:ilvl="5" w:tplc="9A3EA882" w:tentative="1">
      <w:start w:val="1"/>
      <w:numFmt w:val="bullet"/>
      <w:lvlText w:val=""/>
      <w:lvlJc w:val="left"/>
      <w:pPr>
        <w:ind w:left="4320" w:hanging="360"/>
      </w:pPr>
      <w:rPr>
        <w:rFonts w:ascii="Wingdings" w:hAnsi="Wingdings" w:hint="default"/>
      </w:rPr>
    </w:lvl>
    <w:lvl w:ilvl="6" w:tplc="228E28B2" w:tentative="1">
      <w:start w:val="1"/>
      <w:numFmt w:val="bullet"/>
      <w:lvlText w:val=""/>
      <w:lvlJc w:val="left"/>
      <w:pPr>
        <w:ind w:left="5040" w:hanging="360"/>
      </w:pPr>
      <w:rPr>
        <w:rFonts w:ascii="Symbol" w:hAnsi="Symbol" w:hint="default"/>
      </w:rPr>
    </w:lvl>
    <w:lvl w:ilvl="7" w:tplc="B64CF67A" w:tentative="1">
      <w:start w:val="1"/>
      <w:numFmt w:val="bullet"/>
      <w:lvlText w:val="o"/>
      <w:lvlJc w:val="left"/>
      <w:pPr>
        <w:ind w:left="5760" w:hanging="360"/>
      </w:pPr>
      <w:rPr>
        <w:rFonts w:ascii="Courier New" w:hAnsi="Courier New" w:cs="Courier New" w:hint="default"/>
      </w:rPr>
    </w:lvl>
    <w:lvl w:ilvl="8" w:tplc="5B3EBEB0"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
  </w:num>
  <w:num w:numId="4">
    <w:abstractNumId w:val="8"/>
  </w:num>
  <w:num w:numId="5">
    <w:abstractNumId w:val="11"/>
  </w:num>
  <w:num w:numId="6">
    <w:abstractNumId w:val="13"/>
  </w:num>
  <w:num w:numId="7">
    <w:abstractNumId w:val="2"/>
  </w:num>
  <w:num w:numId="8">
    <w:abstractNumId w:val="14"/>
  </w:num>
  <w:num w:numId="9">
    <w:abstractNumId w:val="12"/>
  </w:num>
  <w:num w:numId="10">
    <w:abstractNumId w:val="6"/>
  </w:num>
  <w:num w:numId="11">
    <w:abstractNumId w:val="15"/>
  </w:num>
  <w:num w:numId="12">
    <w:abstractNumId w:val="9"/>
  </w:num>
  <w:num w:numId="13">
    <w:abstractNumId w:val="7"/>
  </w:num>
  <w:num w:numId="14">
    <w:abstractNumId w:val="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6"/>
  </w:num>
  <w:num w:numId="19">
    <w:abstractNumId w:val="15"/>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4"/>
  </w:num>
  <w:num w:numId="24">
    <w:abstractNumId w:val="7"/>
  </w:num>
  <w:num w:numId="25">
    <w:abstractNumId w:val="16"/>
  </w:num>
  <w:num w:numId="26">
    <w:abstractNumId w:val="7"/>
  </w:num>
  <w:num w:numId="27">
    <w:abstractNumId w:val="12"/>
  </w:num>
  <w:num w:numId="28">
    <w:abstractNumId w:val="14"/>
  </w:num>
  <w:num w:numId="29">
    <w:abstractNumId w:val="3"/>
  </w:num>
  <w:num w:numId="3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2A"/>
    <w:rsid w:val="00003530"/>
    <w:rsid w:val="00005CAA"/>
    <w:rsid w:val="0000601B"/>
    <w:rsid w:val="00006824"/>
    <w:rsid w:val="00006A20"/>
    <w:rsid w:val="0000759E"/>
    <w:rsid w:val="00007A5D"/>
    <w:rsid w:val="00012049"/>
    <w:rsid w:val="00012577"/>
    <w:rsid w:val="00013BC0"/>
    <w:rsid w:val="00014EC1"/>
    <w:rsid w:val="00015A21"/>
    <w:rsid w:val="000161AB"/>
    <w:rsid w:val="00020A6E"/>
    <w:rsid w:val="00020DDE"/>
    <w:rsid w:val="0002119F"/>
    <w:rsid w:val="00021545"/>
    <w:rsid w:val="00022BC3"/>
    <w:rsid w:val="00022E32"/>
    <w:rsid w:val="0002315B"/>
    <w:rsid w:val="00023D8F"/>
    <w:rsid w:val="00024751"/>
    <w:rsid w:val="00024D0B"/>
    <w:rsid w:val="00030E5D"/>
    <w:rsid w:val="00031BD2"/>
    <w:rsid w:val="0003451E"/>
    <w:rsid w:val="00034B53"/>
    <w:rsid w:val="000355CB"/>
    <w:rsid w:val="00036121"/>
    <w:rsid w:val="00037AC3"/>
    <w:rsid w:val="00047718"/>
    <w:rsid w:val="000507BA"/>
    <w:rsid w:val="000511AA"/>
    <w:rsid w:val="00052B25"/>
    <w:rsid w:val="00053E4D"/>
    <w:rsid w:val="0005468C"/>
    <w:rsid w:val="0005562A"/>
    <w:rsid w:val="00056C09"/>
    <w:rsid w:val="00064557"/>
    <w:rsid w:val="0006681B"/>
    <w:rsid w:val="00071223"/>
    <w:rsid w:val="00071241"/>
    <w:rsid w:val="00071F35"/>
    <w:rsid w:val="0007615B"/>
    <w:rsid w:val="00077564"/>
    <w:rsid w:val="00077F31"/>
    <w:rsid w:val="000803CF"/>
    <w:rsid w:val="00080A12"/>
    <w:rsid w:val="00081E77"/>
    <w:rsid w:val="000838E1"/>
    <w:rsid w:val="00083959"/>
    <w:rsid w:val="00083A9B"/>
    <w:rsid w:val="000844DC"/>
    <w:rsid w:val="00086354"/>
    <w:rsid w:val="000967DE"/>
    <w:rsid w:val="00096E88"/>
    <w:rsid w:val="000A04FE"/>
    <w:rsid w:val="000A0843"/>
    <w:rsid w:val="000A33F3"/>
    <w:rsid w:val="000A3AB8"/>
    <w:rsid w:val="000A3D92"/>
    <w:rsid w:val="000A42FF"/>
    <w:rsid w:val="000A6F34"/>
    <w:rsid w:val="000B1F5B"/>
    <w:rsid w:val="000B2E2F"/>
    <w:rsid w:val="000B3282"/>
    <w:rsid w:val="000B3796"/>
    <w:rsid w:val="000B3E9C"/>
    <w:rsid w:val="000B4735"/>
    <w:rsid w:val="000B4867"/>
    <w:rsid w:val="000B60F3"/>
    <w:rsid w:val="000B6AA4"/>
    <w:rsid w:val="000C088E"/>
    <w:rsid w:val="000C1469"/>
    <w:rsid w:val="000C4D7D"/>
    <w:rsid w:val="000C78FC"/>
    <w:rsid w:val="000D44F1"/>
    <w:rsid w:val="000D5FC1"/>
    <w:rsid w:val="000D610E"/>
    <w:rsid w:val="000E0CEF"/>
    <w:rsid w:val="000E24B2"/>
    <w:rsid w:val="000E2536"/>
    <w:rsid w:val="000E415C"/>
    <w:rsid w:val="000E42E6"/>
    <w:rsid w:val="000E4573"/>
    <w:rsid w:val="000E53EE"/>
    <w:rsid w:val="000F0924"/>
    <w:rsid w:val="000F2546"/>
    <w:rsid w:val="000F3AD5"/>
    <w:rsid w:val="000F417D"/>
    <w:rsid w:val="000F5078"/>
    <w:rsid w:val="000F6165"/>
    <w:rsid w:val="0010388A"/>
    <w:rsid w:val="00104483"/>
    <w:rsid w:val="00105347"/>
    <w:rsid w:val="00106C5A"/>
    <w:rsid w:val="00107277"/>
    <w:rsid w:val="00107E85"/>
    <w:rsid w:val="00111800"/>
    <w:rsid w:val="00111B62"/>
    <w:rsid w:val="00112C07"/>
    <w:rsid w:val="001143BB"/>
    <w:rsid w:val="00114C44"/>
    <w:rsid w:val="00114D47"/>
    <w:rsid w:val="00114D85"/>
    <w:rsid w:val="00116243"/>
    <w:rsid w:val="0011706C"/>
    <w:rsid w:val="001170F1"/>
    <w:rsid w:val="00117C0C"/>
    <w:rsid w:val="00123D8D"/>
    <w:rsid w:val="001248B6"/>
    <w:rsid w:val="001278B9"/>
    <w:rsid w:val="00127C78"/>
    <w:rsid w:val="00130452"/>
    <w:rsid w:val="00132148"/>
    <w:rsid w:val="00133C71"/>
    <w:rsid w:val="001340D2"/>
    <w:rsid w:val="00134161"/>
    <w:rsid w:val="001354EE"/>
    <w:rsid w:val="001357EC"/>
    <w:rsid w:val="00140617"/>
    <w:rsid w:val="00141687"/>
    <w:rsid w:val="001441C1"/>
    <w:rsid w:val="00146A99"/>
    <w:rsid w:val="00147A61"/>
    <w:rsid w:val="00150A99"/>
    <w:rsid w:val="001521B5"/>
    <w:rsid w:val="0015348F"/>
    <w:rsid w:val="00154AFC"/>
    <w:rsid w:val="001558CC"/>
    <w:rsid w:val="0015797D"/>
    <w:rsid w:val="00162CC0"/>
    <w:rsid w:val="00162D44"/>
    <w:rsid w:val="001631A2"/>
    <w:rsid w:val="0016383D"/>
    <w:rsid w:val="00165367"/>
    <w:rsid w:val="00166975"/>
    <w:rsid w:val="00167252"/>
    <w:rsid w:val="0016775B"/>
    <w:rsid w:val="00167CF0"/>
    <w:rsid w:val="00170F44"/>
    <w:rsid w:val="00172111"/>
    <w:rsid w:val="00172674"/>
    <w:rsid w:val="00172B50"/>
    <w:rsid w:val="001740E9"/>
    <w:rsid w:val="001816AF"/>
    <w:rsid w:val="00182802"/>
    <w:rsid w:val="00182A47"/>
    <w:rsid w:val="0018325A"/>
    <w:rsid w:val="001836F3"/>
    <w:rsid w:val="00183946"/>
    <w:rsid w:val="00183D72"/>
    <w:rsid w:val="00183FBF"/>
    <w:rsid w:val="0018454B"/>
    <w:rsid w:val="001849B5"/>
    <w:rsid w:val="00187B50"/>
    <w:rsid w:val="00191372"/>
    <w:rsid w:val="00191F19"/>
    <w:rsid w:val="001A2C69"/>
    <w:rsid w:val="001A3250"/>
    <w:rsid w:val="001A35CF"/>
    <w:rsid w:val="001A3719"/>
    <w:rsid w:val="001A7DD3"/>
    <w:rsid w:val="001B0F14"/>
    <w:rsid w:val="001B14AB"/>
    <w:rsid w:val="001B28ED"/>
    <w:rsid w:val="001B50A9"/>
    <w:rsid w:val="001C1882"/>
    <w:rsid w:val="001C1964"/>
    <w:rsid w:val="001C425E"/>
    <w:rsid w:val="001C708C"/>
    <w:rsid w:val="001C7B46"/>
    <w:rsid w:val="001D2FA3"/>
    <w:rsid w:val="001D5664"/>
    <w:rsid w:val="001D5AF7"/>
    <w:rsid w:val="001D70A7"/>
    <w:rsid w:val="001E29F0"/>
    <w:rsid w:val="001E2C25"/>
    <w:rsid w:val="001E4241"/>
    <w:rsid w:val="001F0A82"/>
    <w:rsid w:val="001F2E08"/>
    <w:rsid w:val="001F3823"/>
    <w:rsid w:val="001F3D77"/>
    <w:rsid w:val="001F5AF8"/>
    <w:rsid w:val="001F6CFC"/>
    <w:rsid w:val="0020171B"/>
    <w:rsid w:val="00204930"/>
    <w:rsid w:val="00207B4A"/>
    <w:rsid w:val="00210ED2"/>
    <w:rsid w:val="0021172A"/>
    <w:rsid w:val="00211BB6"/>
    <w:rsid w:val="00211FF6"/>
    <w:rsid w:val="00212FCB"/>
    <w:rsid w:val="002132A2"/>
    <w:rsid w:val="0021343F"/>
    <w:rsid w:val="002269ED"/>
    <w:rsid w:val="00230B22"/>
    <w:rsid w:val="00231AF4"/>
    <w:rsid w:val="002344D7"/>
    <w:rsid w:val="00234AD5"/>
    <w:rsid w:val="00234F0B"/>
    <w:rsid w:val="00242321"/>
    <w:rsid w:val="00244BA9"/>
    <w:rsid w:val="00247657"/>
    <w:rsid w:val="00247781"/>
    <w:rsid w:val="002500BA"/>
    <w:rsid w:val="00251262"/>
    <w:rsid w:val="002513D4"/>
    <w:rsid w:val="00252C5F"/>
    <w:rsid w:val="00254D28"/>
    <w:rsid w:val="0025582B"/>
    <w:rsid w:val="00260B51"/>
    <w:rsid w:val="00264A7E"/>
    <w:rsid w:val="00264C3C"/>
    <w:rsid w:val="00264CAA"/>
    <w:rsid w:val="00265B2D"/>
    <w:rsid w:val="002663FA"/>
    <w:rsid w:val="0026664B"/>
    <w:rsid w:val="00271ED1"/>
    <w:rsid w:val="00275580"/>
    <w:rsid w:val="00276764"/>
    <w:rsid w:val="00280A05"/>
    <w:rsid w:val="00280F70"/>
    <w:rsid w:val="00282200"/>
    <w:rsid w:val="00284AD6"/>
    <w:rsid w:val="0028560A"/>
    <w:rsid w:val="00285DC8"/>
    <w:rsid w:val="00291F73"/>
    <w:rsid w:val="00292056"/>
    <w:rsid w:val="00292D9D"/>
    <w:rsid w:val="002944DD"/>
    <w:rsid w:val="00295CB7"/>
    <w:rsid w:val="00297B22"/>
    <w:rsid w:val="002A12F7"/>
    <w:rsid w:val="002A22F3"/>
    <w:rsid w:val="002A2CE4"/>
    <w:rsid w:val="002B0076"/>
    <w:rsid w:val="002B5111"/>
    <w:rsid w:val="002B59B6"/>
    <w:rsid w:val="002B6EB8"/>
    <w:rsid w:val="002B7069"/>
    <w:rsid w:val="002C0684"/>
    <w:rsid w:val="002C0F19"/>
    <w:rsid w:val="002C3B69"/>
    <w:rsid w:val="002C4688"/>
    <w:rsid w:val="002C4924"/>
    <w:rsid w:val="002C562D"/>
    <w:rsid w:val="002C5B84"/>
    <w:rsid w:val="002D143C"/>
    <w:rsid w:val="002D5A83"/>
    <w:rsid w:val="002D65D2"/>
    <w:rsid w:val="002D68C2"/>
    <w:rsid w:val="002D71EB"/>
    <w:rsid w:val="002D7D9E"/>
    <w:rsid w:val="002D7FD5"/>
    <w:rsid w:val="002E070F"/>
    <w:rsid w:val="002E099E"/>
    <w:rsid w:val="002E0EC5"/>
    <w:rsid w:val="002E3C67"/>
    <w:rsid w:val="002E452F"/>
    <w:rsid w:val="002E5479"/>
    <w:rsid w:val="002E561F"/>
    <w:rsid w:val="002E7410"/>
    <w:rsid w:val="002E756A"/>
    <w:rsid w:val="002E7736"/>
    <w:rsid w:val="002E7E5B"/>
    <w:rsid w:val="002F0B11"/>
    <w:rsid w:val="002F0DC8"/>
    <w:rsid w:val="002F7E14"/>
    <w:rsid w:val="00300419"/>
    <w:rsid w:val="00307AD1"/>
    <w:rsid w:val="00311A33"/>
    <w:rsid w:val="00311A34"/>
    <w:rsid w:val="00312B45"/>
    <w:rsid w:val="00313C3B"/>
    <w:rsid w:val="00314402"/>
    <w:rsid w:val="00315C3C"/>
    <w:rsid w:val="003160DD"/>
    <w:rsid w:val="00317905"/>
    <w:rsid w:val="00321043"/>
    <w:rsid w:val="00321EC5"/>
    <w:rsid w:val="0032286E"/>
    <w:rsid w:val="0032296E"/>
    <w:rsid w:val="00323AEB"/>
    <w:rsid w:val="00324C45"/>
    <w:rsid w:val="003252A8"/>
    <w:rsid w:val="003252DC"/>
    <w:rsid w:val="003253D6"/>
    <w:rsid w:val="00326C6A"/>
    <w:rsid w:val="00327364"/>
    <w:rsid w:val="00336EA5"/>
    <w:rsid w:val="00342AFD"/>
    <w:rsid w:val="003432FE"/>
    <w:rsid w:val="00343E4E"/>
    <w:rsid w:val="00344965"/>
    <w:rsid w:val="003469CC"/>
    <w:rsid w:val="00346A7D"/>
    <w:rsid w:val="00346CEF"/>
    <w:rsid w:val="0035572B"/>
    <w:rsid w:val="00355FF0"/>
    <w:rsid w:val="00356AB8"/>
    <w:rsid w:val="003574A9"/>
    <w:rsid w:val="00360713"/>
    <w:rsid w:val="00361B70"/>
    <w:rsid w:val="00361F6F"/>
    <w:rsid w:val="0036211D"/>
    <w:rsid w:val="00364937"/>
    <w:rsid w:val="00365D56"/>
    <w:rsid w:val="00365F37"/>
    <w:rsid w:val="0036729E"/>
    <w:rsid w:val="00367ACF"/>
    <w:rsid w:val="00370F8A"/>
    <w:rsid w:val="00370FE2"/>
    <w:rsid w:val="003712B8"/>
    <w:rsid w:val="00373A06"/>
    <w:rsid w:val="00373E08"/>
    <w:rsid w:val="0037479E"/>
    <w:rsid w:val="00375231"/>
    <w:rsid w:val="00377C47"/>
    <w:rsid w:val="00382527"/>
    <w:rsid w:val="0038713C"/>
    <w:rsid w:val="003905D1"/>
    <w:rsid w:val="00391F99"/>
    <w:rsid w:val="00396647"/>
    <w:rsid w:val="00397AA6"/>
    <w:rsid w:val="003A237E"/>
    <w:rsid w:val="003A369A"/>
    <w:rsid w:val="003A3BB0"/>
    <w:rsid w:val="003A3E69"/>
    <w:rsid w:val="003A46E3"/>
    <w:rsid w:val="003A46FA"/>
    <w:rsid w:val="003A496C"/>
    <w:rsid w:val="003A583A"/>
    <w:rsid w:val="003A5FCE"/>
    <w:rsid w:val="003A68DE"/>
    <w:rsid w:val="003B0871"/>
    <w:rsid w:val="003B0A01"/>
    <w:rsid w:val="003B1062"/>
    <w:rsid w:val="003B3EF2"/>
    <w:rsid w:val="003B6C01"/>
    <w:rsid w:val="003B6D97"/>
    <w:rsid w:val="003B7789"/>
    <w:rsid w:val="003B79C1"/>
    <w:rsid w:val="003C0129"/>
    <w:rsid w:val="003C03F6"/>
    <w:rsid w:val="003C2712"/>
    <w:rsid w:val="003C43EB"/>
    <w:rsid w:val="003C462F"/>
    <w:rsid w:val="003C4E13"/>
    <w:rsid w:val="003C513B"/>
    <w:rsid w:val="003C56B0"/>
    <w:rsid w:val="003C6682"/>
    <w:rsid w:val="003C76C4"/>
    <w:rsid w:val="003D0387"/>
    <w:rsid w:val="003D04B4"/>
    <w:rsid w:val="003D1CDE"/>
    <w:rsid w:val="003D521E"/>
    <w:rsid w:val="003D61C6"/>
    <w:rsid w:val="003D7C55"/>
    <w:rsid w:val="003E102C"/>
    <w:rsid w:val="003E1DF3"/>
    <w:rsid w:val="003E1F82"/>
    <w:rsid w:val="003E4B6A"/>
    <w:rsid w:val="003E5B86"/>
    <w:rsid w:val="003E752D"/>
    <w:rsid w:val="003E7547"/>
    <w:rsid w:val="003F6F8D"/>
    <w:rsid w:val="00403DDD"/>
    <w:rsid w:val="00404148"/>
    <w:rsid w:val="00405A2F"/>
    <w:rsid w:val="00410482"/>
    <w:rsid w:val="00412829"/>
    <w:rsid w:val="00413185"/>
    <w:rsid w:val="004140F2"/>
    <w:rsid w:val="00414271"/>
    <w:rsid w:val="00415064"/>
    <w:rsid w:val="004155A1"/>
    <w:rsid w:val="00420180"/>
    <w:rsid w:val="0042183D"/>
    <w:rsid w:val="004221F2"/>
    <w:rsid w:val="00425DE8"/>
    <w:rsid w:val="00426DEA"/>
    <w:rsid w:val="00427B99"/>
    <w:rsid w:val="004304DF"/>
    <w:rsid w:val="00431D8B"/>
    <w:rsid w:val="004343CB"/>
    <w:rsid w:val="004345E8"/>
    <w:rsid w:val="00435016"/>
    <w:rsid w:val="00435972"/>
    <w:rsid w:val="00435ED1"/>
    <w:rsid w:val="00436698"/>
    <w:rsid w:val="004405C7"/>
    <w:rsid w:val="00445209"/>
    <w:rsid w:val="004509A2"/>
    <w:rsid w:val="00450E29"/>
    <w:rsid w:val="00451174"/>
    <w:rsid w:val="00454D9F"/>
    <w:rsid w:val="00456104"/>
    <w:rsid w:val="004577EF"/>
    <w:rsid w:val="00457A25"/>
    <w:rsid w:val="00457D29"/>
    <w:rsid w:val="004618D3"/>
    <w:rsid w:val="004640C8"/>
    <w:rsid w:val="00464624"/>
    <w:rsid w:val="00464F97"/>
    <w:rsid w:val="0046510B"/>
    <w:rsid w:val="00465810"/>
    <w:rsid w:val="00465C18"/>
    <w:rsid w:val="004665B2"/>
    <w:rsid w:val="00467245"/>
    <w:rsid w:val="004678AB"/>
    <w:rsid w:val="004706AD"/>
    <w:rsid w:val="00471986"/>
    <w:rsid w:val="00471D0C"/>
    <w:rsid w:val="00472309"/>
    <w:rsid w:val="00472D3C"/>
    <w:rsid w:val="0047521F"/>
    <w:rsid w:val="004753EF"/>
    <w:rsid w:val="004777A0"/>
    <w:rsid w:val="0048278C"/>
    <w:rsid w:val="00482B72"/>
    <w:rsid w:val="004830F0"/>
    <w:rsid w:val="00484D66"/>
    <w:rsid w:val="00486355"/>
    <w:rsid w:val="00486767"/>
    <w:rsid w:val="0048752F"/>
    <w:rsid w:val="004878A8"/>
    <w:rsid w:val="0049071F"/>
    <w:rsid w:val="004913BA"/>
    <w:rsid w:val="00491AD0"/>
    <w:rsid w:val="00492B28"/>
    <w:rsid w:val="00493598"/>
    <w:rsid w:val="0049511F"/>
    <w:rsid w:val="004952EC"/>
    <w:rsid w:val="004959B9"/>
    <w:rsid w:val="00497D57"/>
    <w:rsid w:val="004A04A5"/>
    <w:rsid w:val="004A26EE"/>
    <w:rsid w:val="004A2B2E"/>
    <w:rsid w:val="004A5980"/>
    <w:rsid w:val="004A5CDD"/>
    <w:rsid w:val="004A619F"/>
    <w:rsid w:val="004A6656"/>
    <w:rsid w:val="004A70E2"/>
    <w:rsid w:val="004A7933"/>
    <w:rsid w:val="004B00DD"/>
    <w:rsid w:val="004B1897"/>
    <w:rsid w:val="004B1EE7"/>
    <w:rsid w:val="004B3BAB"/>
    <w:rsid w:val="004B5423"/>
    <w:rsid w:val="004B56B5"/>
    <w:rsid w:val="004B60D3"/>
    <w:rsid w:val="004B659D"/>
    <w:rsid w:val="004B6AF4"/>
    <w:rsid w:val="004B7A95"/>
    <w:rsid w:val="004C461F"/>
    <w:rsid w:val="004C4B52"/>
    <w:rsid w:val="004C4E4A"/>
    <w:rsid w:val="004C7FF9"/>
    <w:rsid w:val="004D1DA8"/>
    <w:rsid w:val="004D27B6"/>
    <w:rsid w:val="004D41EE"/>
    <w:rsid w:val="004D6B19"/>
    <w:rsid w:val="004D6CE0"/>
    <w:rsid w:val="004D716E"/>
    <w:rsid w:val="004D75D7"/>
    <w:rsid w:val="004D7A2F"/>
    <w:rsid w:val="004E0039"/>
    <w:rsid w:val="004E0822"/>
    <w:rsid w:val="004E230D"/>
    <w:rsid w:val="004E3014"/>
    <w:rsid w:val="004E4B98"/>
    <w:rsid w:val="004E5AC7"/>
    <w:rsid w:val="004E7140"/>
    <w:rsid w:val="004F12A3"/>
    <w:rsid w:val="004F2709"/>
    <w:rsid w:val="004F509B"/>
    <w:rsid w:val="004F712D"/>
    <w:rsid w:val="00500AB3"/>
    <w:rsid w:val="005061D2"/>
    <w:rsid w:val="00506AE7"/>
    <w:rsid w:val="0051329F"/>
    <w:rsid w:val="00514B04"/>
    <w:rsid w:val="00516724"/>
    <w:rsid w:val="00516F75"/>
    <w:rsid w:val="005212E8"/>
    <w:rsid w:val="0052662E"/>
    <w:rsid w:val="005271F8"/>
    <w:rsid w:val="0052784B"/>
    <w:rsid w:val="00531205"/>
    <w:rsid w:val="0053756D"/>
    <w:rsid w:val="00537934"/>
    <w:rsid w:val="00537D3A"/>
    <w:rsid w:val="00540F6B"/>
    <w:rsid w:val="00543849"/>
    <w:rsid w:val="005449F8"/>
    <w:rsid w:val="00545A3F"/>
    <w:rsid w:val="0054696D"/>
    <w:rsid w:val="00550987"/>
    <w:rsid w:val="00551188"/>
    <w:rsid w:val="0055271D"/>
    <w:rsid w:val="0055368E"/>
    <w:rsid w:val="00553F85"/>
    <w:rsid w:val="00555BE6"/>
    <w:rsid w:val="00560119"/>
    <w:rsid w:val="00560BA4"/>
    <w:rsid w:val="00560D1E"/>
    <w:rsid w:val="00560E22"/>
    <w:rsid w:val="005614B4"/>
    <w:rsid w:val="0056394D"/>
    <w:rsid w:val="00565150"/>
    <w:rsid w:val="0056534D"/>
    <w:rsid w:val="005655A9"/>
    <w:rsid w:val="005678EB"/>
    <w:rsid w:val="00567DAB"/>
    <w:rsid w:val="00576B7C"/>
    <w:rsid w:val="00580320"/>
    <w:rsid w:val="005820DF"/>
    <w:rsid w:val="00582DF1"/>
    <w:rsid w:val="00583EE6"/>
    <w:rsid w:val="00585263"/>
    <w:rsid w:val="00590D4B"/>
    <w:rsid w:val="005912C9"/>
    <w:rsid w:val="00591873"/>
    <w:rsid w:val="00592918"/>
    <w:rsid w:val="00592EB1"/>
    <w:rsid w:val="00595E16"/>
    <w:rsid w:val="00595FEE"/>
    <w:rsid w:val="00597253"/>
    <w:rsid w:val="005A0035"/>
    <w:rsid w:val="005A0095"/>
    <w:rsid w:val="005A0C14"/>
    <w:rsid w:val="005A1528"/>
    <w:rsid w:val="005A393B"/>
    <w:rsid w:val="005A7BDF"/>
    <w:rsid w:val="005A7EAF"/>
    <w:rsid w:val="005B1C07"/>
    <w:rsid w:val="005B37F6"/>
    <w:rsid w:val="005B47AA"/>
    <w:rsid w:val="005B6937"/>
    <w:rsid w:val="005B6BDB"/>
    <w:rsid w:val="005B737D"/>
    <w:rsid w:val="005C1702"/>
    <w:rsid w:val="005C50CA"/>
    <w:rsid w:val="005C5DF2"/>
    <w:rsid w:val="005C6790"/>
    <w:rsid w:val="005C6C97"/>
    <w:rsid w:val="005D1684"/>
    <w:rsid w:val="005D208E"/>
    <w:rsid w:val="005D3551"/>
    <w:rsid w:val="005D5A74"/>
    <w:rsid w:val="005D6646"/>
    <w:rsid w:val="005D7AB0"/>
    <w:rsid w:val="005E3172"/>
    <w:rsid w:val="005E35F9"/>
    <w:rsid w:val="005E3985"/>
    <w:rsid w:val="005E6124"/>
    <w:rsid w:val="005F2BEE"/>
    <w:rsid w:val="005F5610"/>
    <w:rsid w:val="005F5825"/>
    <w:rsid w:val="005F645D"/>
    <w:rsid w:val="00600B7C"/>
    <w:rsid w:val="00600E3D"/>
    <w:rsid w:val="0060186D"/>
    <w:rsid w:val="006022A7"/>
    <w:rsid w:val="00602327"/>
    <w:rsid w:val="00603247"/>
    <w:rsid w:val="00606D03"/>
    <w:rsid w:val="00610938"/>
    <w:rsid w:val="0061154C"/>
    <w:rsid w:val="00614E78"/>
    <w:rsid w:val="006162F6"/>
    <w:rsid w:val="00616D8F"/>
    <w:rsid w:val="00622B94"/>
    <w:rsid w:val="006242DA"/>
    <w:rsid w:val="00627550"/>
    <w:rsid w:val="006311E9"/>
    <w:rsid w:val="00631FAC"/>
    <w:rsid w:val="00634343"/>
    <w:rsid w:val="00636A46"/>
    <w:rsid w:val="006400D9"/>
    <w:rsid w:val="006434F9"/>
    <w:rsid w:val="00644F94"/>
    <w:rsid w:val="006462C1"/>
    <w:rsid w:val="006464F7"/>
    <w:rsid w:val="00646918"/>
    <w:rsid w:val="00646930"/>
    <w:rsid w:val="00651620"/>
    <w:rsid w:val="0065178D"/>
    <w:rsid w:val="00652402"/>
    <w:rsid w:val="00653248"/>
    <w:rsid w:val="006534AE"/>
    <w:rsid w:val="00653ADB"/>
    <w:rsid w:val="00654335"/>
    <w:rsid w:val="00655E03"/>
    <w:rsid w:val="006562F4"/>
    <w:rsid w:val="00656B14"/>
    <w:rsid w:val="00656BE5"/>
    <w:rsid w:val="00657A40"/>
    <w:rsid w:val="0066037A"/>
    <w:rsid w:val="006620C9"/>
    <w:rsid w:val="00662995"/>
    <w:rsid w:val="00663504"/>
    <w:rsid w:val="006637E5"/>
    <w:rsid w:val="00664D3C"/>
    <w:rsid w:val="00665954"/>
    <w:rsid w:val="006660C1"/>
    <w:rsid w:val="00666CC4"/>
    <w:rsid w:val="0066770E"/>
    <w:rsid w:val="00670F43"/>
    <w:rsid w:val="00672BFD"/>
    <w:rsid w:val="00680454"/>
    <w:rsid w:val="00681655"/>
    <w:rsid w:val="00684091"/>
    <w:rsid w:val="006855C8"/>
    <w:rsid w:val="00685C30"/>
    <w:rsid w:val="006877EF"/>
    <w:rsid w:val="006878AC"/>
    <w:rsid w:val="00687F43"/>
    <w:rsid w:val="00690389"/>
    <w:rsid w:val="0069069C"/>
    <w:rsid w:val="006912B6"/>
    <w:rsid w:val="006921D0"/>
    <w:rsid w:val="00694E37"/>
    <w:rsid w:val="00695DEF"/>
    <w:rsid w:val="00697D18"/>
    <w:rsid w:val="006A185F"/>
    <w:rsid w:val="006A2A9B"/>
    <w:rsid w:val="006B0CC6"/>
    <w:rsid w:val="006B2578"/>
    <w:rsid w:val="006B46BB"/>
    <w:rsid w:val="006B5B6D"/>
    <w:rsid w:val="006B7102"/>
    <w:rsid w:val="006C0347"/>
    <w:rsid w:val="006C0920"/>
    <w:rsid w:val="006C5DAA"/>
    <w:rsid w:val="006C75CF"/>
    <w:rsid w:val="006C7FF3"/>
    <w:rsid w:val="006D440B"/>
    <w:rsid w:val="006D5442"/>
    <w:rsid w:val="006D57D9"/>
    <w:rsid w:val="006D61C2"/>
    <w:rsid w:val="006D7B24"/>
    <w:rsid w:val="006D7E60"/>
    <w:rsid w:val="006E1046"/>
    <w:rsid w:val="006E2013"/>
    <w:rsid w:val="006E3626"/>
    <w:rsid w:val="006E38A3"/>
    <w:rsid w:val="006E5BED"/>
    <w:rsid w:val="006E7638"/>
    <w:rsid w:val="006F1A58"/>
    <w:rsid w:val="006F4088"/>
    <w:rsid w:val="006F4787"/>
    <w:rsid w:val="006F7155"/>
    <w:rsid w:val="006F72FF"/>
    <w:rsid w:val="00700821"/>
    <w:rsid w:val="00701473"/>
    <w:rsid w:val="007023E1"/>
    <w:rsid w:val="00704963"/>
    <w:rsid w:val="00704FD8"/>
    <w:rsid w:val="00704FEB"/>
    <w:rsid w:val="0070509B"/>
    <w:rsid w:val="00705ED7"/>
    <w:rsid w:val="007069AA"/>
    <w:rsid w:val="007071A6"/>
    <w:rsid w:val="007102C0"/>
    <w:rsid w:val="007114C6"/>
    <w:rsid w:val="00712367"/>
    <w:rsid w:val="00712539"/>
    <w:rsid w:val="00712A0A"/>
    <w:rsid w:val="0071598E"/>
    <w:rsid w:val="0071689C"/>
    <w:rsid w:val="00717787"/>
    <w:rsid w:val="00722343"/>
    <w:rsid w:val="00723526"/>
    <w:rsid w:val="007239F4"/>
    <w:rsid w:val="00724A2F"/>
    <w:rsid w:val="00724A34"/>
    <w:rsid w:val="0073051B"/>
    <w:rsid w:val="007308D3"/>
    <w:rsid w:val="0073139A"/>
    <w:rsid w:val="0073170F"/>
    <w:rsid w:val="00732591"/>
    <w:rsid w:val="00732B7F"/>
    <w:rsid w:val="00733EBF"/>
    <w:rsid w:val="00734646"/>
    <w:rsid w:val="007353AB"/>
    <w:rsid w:val="0073583C"/>
    <w:rsid w:val="00735AA2"/>
    <w:rsid w:val="00735AE5"/>
    <w:rsid w:val="007375D5"/>
    <w:rsid w:val="0074062A"/>
    <w:rsid w:val="00741546"/>
    <w:rsid w:val="00741A94"/>
    <w:rsid w:val="00743DD3"/>
    <w:rsid w:val="00743DD8"/>
    <w:rsid w:val="00745891"/>
    <w:rsid w:val="007467A0"/>
    <w:rsid w:val="0074702E"/>
    <w:rsid w:val="00747E94"/>
    <w:rsid w:val="0075117B"/>
    <w:rsid w:val="007520B3"/>
    <w:rsid w:val="00753018"/>
    <w:rsid w:val="007534CC"/>
    <w:rsid w:val="00753698"/>
    <w:rsid w:val="0075483B"/>
    <w:rsid w:val="00756E16"/>
    <w:rsid w:val="00762A2F"/>
    <w:rsid w:val="00763042"/>
    <w:rsid w:val="00763418"/>
    <w:rsid w:val="007655C8"/>
    <w:rsid w:val="007661E3"/>
    <w:rsid w:val="00767545"/>
    <w:rsid w:val="00771231"/>
    <w:rsid w:val="00771F0E"/>
    <w:rsid w:val="00772866"/>
    <w:rsid w:val="00773920"/>
    <w:rsid w:val="00773CBB"/>
    <w:rsid w:val="0077430A"/>
    <w:rsid w:val="007743B1"/>
    <w:rsid w:val="00776D8A"/>
    <w:rsid w:val="00780592"/>
    <w:rsid w:val="007835DF"/>
    <w:rsid w:val="00783C3E"/>
    <w:rsid w:val="00787055"/>
    <w:rsid w:val="0079296B"/>
    <w:rsid w:val="00793325"/>
    <w:rsid w:val="00793743"/>
    <w:rsid w:val="007938B6"/>
    <w:rsid w:val="00797B19"/>
    <w:rsid w:val="00797FB0"/>
    <w:rsid w:val="007A1401"/>
    <w:rsid w:val="007A17D5"/>
    <w:rsid w:val="007A1F5D"/>
    <w:rsid w:val="007A2127"/>
    <w:rsid w:val="007A2CBB"/>
    <w:rsid w:val="007A30A5"/>
    <w:rsid w:val="007A4BB7"/>
    <w:rsid w:val="007A6137"/>
    <w:rsid w:val="007A69DC"/>
    <w:rsid w:val="007B071A"/>
    <w:rsid w:val="007B1042"/>
    <w:rsid w:val="007B1EB3"/>
    <w:rsid w:val="007B58CB"/>
    <w:rsid w:val="007B6512"/>
    <w:rsid w:val="007B6C64"/>
    <w:rsid w:val="007B7769"/>
    <w:rsid w:val="007C6614"/>
    <w:rsid w:val="007C667C"/>
    <w:rsid w:val="007D09B8"/>
    <w:rsid w:val="007D450B"/>
    <w:rsid w:val="007D4585"/>
    <w:rsid w:val="007D4A37"/>
    <w:rsid w:val="007D6C0C"/>
    <w:rsid w:val="007E0D51"/>
    <w:rsid w:val="007E5C6C"/>
    <w:rsid w:val="007E6073"/>
    <w:rsid w:val="007E6836"/>
    <w:rsid w:val="007E6C69"/>
    <w:rsid w:val="007E7311"/>
    <w:rsid w:val="007E7539"/>
    <w:rsid w:val="007E7571"/>
    <w:rsid w:val="007F0B8B"/>
    <w:rsid w:val="007F0ED4"/>
    <w:rsid w:val="007F4528"/>
    <w:rsid w:val="007F469B"/>
    <w:rsid w:val="007F6BEC"/>
    <w:rsid w:val="00801648"/>
    <w:rsid w:val="00801D7D"/>
    <w:rsid w:val="00802626"/>
    <w:rsid w:val="008026CA"/>
    <w:rsid w:val="00802A29"/>
    <w:rsid w:val="008043E1"/>
    <w:rsid w:val="00804A6C"/>
    <w:rsid w:val="0080511E"/>
    <w:rsid w:val="00806739"/>
    <w:rsid w:val="00807154"/>
    <w:rsid w:val="00812E4F"/>
    <w:rsid w:val="00813E8D"/>
    <w:rsid w:val="0081415C"/>
    <w:rsid w:val="008142B1"/>
    <w:rsid w:val="008149FC"/>
    <w:rsid w:val="00814AB0"/>
    <w:rsid w:val="008163D5"/>
    <w:rsid w:val="008210FE"/>
    <w:rsid w:val="0082232E"/>
    <w:rsid w:val="00822FBD"/>
    <w:rsid w:val="00823953"/>
    <w:rsid w:val="00823E21"/>
    <w:rsid w:val="00824879"/>
    <w:rsid w:val="0082704A"/>
    <w:rsid w:val="008274CD"/>
    <w:rsid w:val="00831EB8"/>
    <w:rsid w:val="00832617"/>
    <w:rsid w:val="00835801"/>
    <w:rsid w:val="00835C1A"/>
    <w:rsid w:val="00836F72"/>
    <w:rsid w:val="00840D3A"/>
    <w:rsid w:val="00841BFF"/>
    <w:rsid w:val="0084275E"/>
    <w:rsid w:val="008441E6"/>
    <w:rsid w:val="00845BDA"/>
    <w:rsid w:val="00846654"/>
    <w:rsid w:val="008519FF"/>
    <w:rsid w:val="00851CCD"/>
    <w:rsid w:val="00853298"/>
    <w:rsid w:val="00855C3C"/>
    <w:rsid w:val="00857220"/>
    <w:rsid w:val="0085753A"/>
    <w:rsid w:val="00860655"/>
    <w:rsid w:val="00863319"/>
    <w:rsid w:val="008643DD"/>
    <w:rsid w:val="0086485E"/>
    <w:rsid w:val="0086529B"/>
    <w:rsid w:val="0086595F"/>
    <w:rsid w:val="00865ACA"/>
    <w:rsid w:val="0086687C"/>
    <w:rsid w:val="008701A5"/>
    <w:rsid w:val="00870BB8"/>
    <w:rsid w:val="008722CF"/>
    <w:rsid w:val="008724EF"/>
    <w:rsid w:val="00872C20"/>
    <w:rsid w:val="008736E7"/>
    <w:rsid w:val="00874E75"/>
    <w:rsid w:val="008772C3"/>
    <w:rsid w:val="008778E7"/>
    <w:rsid w:val="00880C68"/>
    <w:rsid w:val="00880EAA"/>
    <w:rsid w:val="0088169A"/>
    <w:rsid w:val="00881964"/>
    <w:rsid w:val="008907B9"/>
    <w:rsid w:val="00894CBA"/>
    <w:rsid w:val="008A0533"/>
    <w:rsid w:val="008A220A"/>
    <w:rsid w:val="008A4094"/>
    <w:rsid w:val="008A54FE"/>
    <w:rsid w:val="008A64AF"/>
    <w:rsid w:val="008A79BA"/>
    <w:rsid w:val="008B0062"/>
    <w:rsid w:val="008B0188"/>
    <w:rsid w:val="008B01F4"/>
    <w:rsid w:val="008B1488"/>
    <w:rsid w:val="008B17D2"/>
    <w:rsid w:val="008B3917"/>
    <w:rsid w:val="008B567C"/>
    <w:rsid w:val="008B6528"/>
    <w:rsid w:val="008B6712"/>
    <w:rsid w:val="008B69BD"/>
    <w:rsid w:val="008B6B6B"/>
    <w:rsid w:val="008C1FA3"/>
    <w:rsid w:val="008C2DEA"/>
    <w:rsid w:val="008C7616"/>
    <w:rsid w:val="008D0DAC"/>
    <w:rsid w:val="008D1158"/>
    <w:rsid w:val="008D1D4E"/>
    <w:rsid w:val="008D3C3C"/>
    <w:rsid w:val="008D4CAF"/>
    <w:rsid w:val="008D5169"/>
    <w:rsid w:val="008D5D88"/>
    <w:rsid w:val="008D5EE8"/>
    <w:rsid w:val="008D69F9"/>
    <w:rsid w:val="008E05B3"/>
    <w:rsid w:val="008E0AFA"/>
    <w:rsid w:val="008E18ED"/>
    <w:rsid w:val="008E3FA2"/>
    <w:rsid w:val="008E4C6E"/>
    <w:rsid w:val="008E6A2D"/>
    <w:rsid w:val="008E7061"/>
    <w:rsid w:val="008E7417"/>
    <w:rsid w:val="008F1E0A"/>
    <w:rsid w:val="008F2106"/>
    <w:rsid w:val="008F523A"/>
    <w:rsid w:val="008F5303"/>
    <w:rsid w:val="008F5FF2"/>
    <w:rsid w:val="008F7BB6"/>
    <w:rsid w:val="009059A1"/>
    <w:rsid w:val="00914D93"/>
    <w:rsid w:val="00915FC7"/>
    <w:rsid w:val="009175BE"/>
    <w:rsid w:val="00917D32"/>
    <w:rsid w:val="009203BB"/>
    <w:rsid w:val="00922ECD"/>
    <w:rsid w:val="00923FD5"/>
    <w:rsid w:val="00926891"/>
    <w:rsid w:val="009301E3"/>
    <w:rsid w:val="009328E7"/>
    <w:rsid w:val="00934CFE"/>
    <w:rsid w:val="00935A45"/>
    <w:rsid w:val="0093615E"/>
    <w:rsid w:val="00936758"/>
    <w:rsid w:val="0093718F"/>
    <w:rsid w:val="009416B9"/>
    <w:rsid w:val="00941FC9"/>
    <w:rsid w:val="00942600"/>
    <w:rsid w:val="00943313"/>
    <w:rsid w:val="009449D2"/>
    <w:rsid w:val="0094548E"/>
    <w:rsid w:val="00951092"/>
    <w:rsid w:val="00951E78"/>
    <w:rsid w:val="009522A3"/>
    <w:rsid w:val="00953527"/>
    <w:rsid w:val="009538DA"/>
    <w:rsid w:val="00954BF4"/>
    <w:rsid w:val="00957DE6"/>
    <w:rsid w:val="009622D5"/>
    <w:rsid w:val="00962E61"/>
    <w:rsid w:val="00963D5A"/>
    <w:rsid w:val="00965828"/>
    <w:rsid w:val="0096592B"/>
    <w:rsid w:val="00965B07"/>
    <w:rsid w:val="0097051E"/>
    <w:rsid w:val="00970625"/>
    <w:rsid w:val="00970A35"/>
    <w:rsid w:val="00970D92"/>
    <w:rsid w:val="0097286C"/>
    <w:rsid w:val="00975391"/>
    <w:rsid w:val="0097637E"/>
    <w:rsid w:val="00982ECE"/>
    <w:rsid w:val="00982F3F"/>
    <w:rsid w:val="00985AC5"/>
    <w:rsid w:val="00985EA9"/>
    <w:rsid w:val="009869A3"/>
    <w:rsid w:val="009873B0"/>
    <w:rsid w:val="00992E6F"/>
    <w:rsid w:val="00993DB9"/>
    <w:rsid w:val="00994807"/>
    <w:rsid w:val="00995020"/>
    <w:rsid w:val="0099631F"/>
    <w:rsid w:val="0099705B"/>
    <w:rsid w:val="00997507"/>
    <w:rsid w:val="009A02F5"/>
    <w:rsid w:val="009A099C"/>
    <w:rsid w:val="009A1484"/>
    <w:rsid w:val="009A37BF"/>
    <w:rsid w:val="009A403C"/>
    <w:rsid w:val="009A69C0"/>
    <w:rsid w:val="009B1893"/>
    <w:rsid w:val="009B4B74"/>
    <w:rsid w:val="009B63D3"/>
    <w:rsid w:val="009B66E0"/>
    <w:rsid w:val="009B67E5"/>
    <w:rsid w:val="009B6F98"/>
    <w:rsid w:val="009C09F8"/>
    <w:rsid w:val="009C1FED"/>
    <w:rsid w:val="009C2040"/>
    <w:rsid w:val="009C5236"/>
    <w:rsid w:val="009C54F0"/>
    <w:rsid w:val="009C5F6A"/>
    <w:rsid w:val="009C79F4"/>
    <w:rsid w:val="009C7F10"/>
    <w:rsid w:val="009D0CDD"/>
    <w:rsid w:val="009D1426"/>
    <w:rsid w:val="009D2F1B"/>
    <w:rsid w:val="009D41A2"/>
    <w:rsid w:val="009D731F"/>
    <w:rsid w:val="009E0642"/>
    <w:rsid w:val="009E1FF3"/>
    <w:rsid w:val="009E2072"/>
    <w:rsid w:val="009E2DA6"/>
    <w:rsid w:val="009E534E"/>
    <w:rsid w:val="009E5728"/>
    <w:rsid w:val="009E5E2F"/>
    <w:rsid w:val="009E6AAA"/>
    <w:rsid w:val="009E72BA"/>
    <w:rsid w:val="009F0718"/>
    <w:rsid w:val="009F355B"/>
    <w:rsid w:val="009F41F0"/>
    <w:rsid w:val="009F602C"/>
    <w:rsid w:val="009F6A39"/>
    <w:rsid w:val="009F6EC6"/>
    <w:rsid w:val="009F7DA2"/>
    <w:rsid w:val="00A00D72"/>
    <w:rsid w:val="00A0595F"/>
    <w:rsid w:val="00A05AB5"/>
    <w:rsid w:val="00A12267"/>
    <w:rsid w:val="00A122D4"/>
    <w:rsid w:val="00A13206"/>
    <w:rsid w:val="00A1375C"/>
    <w:rsid w:val="00A13AA8"/>
    <w:rsid w:val="00A143D3"/>
    <w:rsid w:val="00A14B51"/>
    <w:rsid w:val="00A157D0"/>
    <w:rsid w:val="00A22043"/>
    <w:rsid w:val="00A234DA"/>
    <w:rsid w:val="00A250DB"/>
    <w:rsid w:val="00A25DA0"/>
    <w:rsid w:val="00A26F22"/>
    <w:rsid w:val="00A301F5"/>
    <w:rsid w:val="00A3330F"/>
    <w:rsid w:val="00A338B9"/>
    <w:rsid w:val="00A406AD"/>
    <w:rsid w:val="00A414A6"/>
    <w:rsid w:val="00A4438E"/>
    <w:rsid w:val="00A526E0"/>
    <w:rsid w:val="00A52ED7"/>
    <w:rsid w:val="00A55F00"/>
    <w:rsid w:val="00A611D1"/>
    <w:rsid w:val="00A63664"/>
    <w:rsid w:val="00A66C10"/>
    <w:rsid w:val="00A709A8"/>
    <w:rsid w:val="00A70FD9"/>
    <w:rsid w:val="00A713B2"/>
    <w:rsid w:val="00A72706"/>
    <w:rsid w:val="00A746C8"/>
    <w:rsid w:val="00A81D77"/>
    <w:rsid w:val="00A84259"/>
    <w:rsid w:val="00A86DC8"/>
    <w:rsid w:val="00A8709D"/>
    <w:rsid w:val="00A87709"/>
    <w:rsid w:val="00A879F9"/>
    <w:rsid w:val="00A90900"/>
    <w:rsid w:val="00A91F59"/>
    <w:rsid w:val="00A93D1E"/>
    <w:rsid w:val="00A9577C"/>
    <w:rsid w:val="00A95A81"/>
    <w:rsid w:val="00A961A5"/>
    <w:rsid w:val="00A96DFB"/>
    <w:rsid w:val="00AA267D"/>
    <w:rsid w:val="00AA27C6"/>
    <w:rsid w:val="00AA423E"/>
    <w:rsid w:val="00AA50EF"/>
    <w:rsid w:val="00AB1BFC"/>
    <w:rsid w:val="00AB1E6B"/>
    <w:rsid w:val="00AB2BE0"/>
    <w:rsid w:val="00AB439F"/>
    <w:rsid w:val="00AB46A7"/>
    <w:rsid w:val="00AB48EA"/>
    <w:rsid w:val="00AB523D"/>
    <w:rsid w:val="00AB539B"/>
    <w:rsid w:val="00AB5F4A"/>
    <w:rsid w:val="00AB6F8B"/>
    <w:rsid w:val="00AB7A15"/>
    <w:rsid w:val="00AC067E"/>
    <w:rsid w:val="00AC06D9"/>
    <w:rsid w:val="00AC0A33"/>
    <w:rsid w:val="00AC1C23"/>
    <w:rsid w:val="00AC2A1C"/>
    <w:rsid w:val="00AC2BB9"/>
    <w:rsid w:val="00AC643A"/>
    <w:rsid w:val="00AD1528"/>
    <w:rsid w:val="00AD2B43"/>
    <w:rsid w:val="00AD5A3F"/>
    <w:rsid w:val="00AD6158"/>
    <w:rsid w:val="00AD75AD"/>
    <w:rsid w:val="00AD774F"/>
    <w:rsid w:val="00AD77F2"/>
    <w:rsid w:val="00AE25AC"/>
    <w:rsid w:val="00AE28A4"/>
    <w:rsid w:val="00AE57E0"/>
    <w:rsid w:val="00AE6740"/>
    <w:rsid w:val="00AF488C"/>
    <w:rsid w:val="00AF5126"/>
    <w:rsid w:val="00AF7C4F"/>
    <w:rsid w:val="00B00776"/>
    <w:rsid w:val="00B0083B"/>
    <w:rsid w:val="00B011A6"/>
    <w:rsid w:val="00B0121F"/>
    <w:rsid w:val="00B027D5"/>
    <w:rsid w:val="00B070A9"/>
    <w:rsid w:val="00B12A34"/>
    <w:rsid w:val="00B14BAA"/>
    <w:rsid w:val="00B1568A"/>
    <w:rsid w:val="00B20D14"/>
    <w:rsid w:val="00B21E2A"/>
    <w:rsid w:val="00B22BFA"/>
    <w:rsid w:val="00B231DD"/>
    <w:rsid w:val="00B23F82"/>
    <w:rsid w:val="00B2459F"/>
    <w:rsid w:val="00B24D17"/>
    <w:rsid w:val="00B2571B"/>
    <w:rsid w:val="00B25BB0"/>
    <w:rsid w:val="00B25C80"/>
    <w:rsid w:val="00B2703A"/>
    <w:rsid w:val="00B27496"/>
    <w:rsid w:val="00B27C74"/>
    <w:rsid w:val="00B30310"/>
    <w:rsid w:val="00B30B20"/>
    <w:rsid w:val="00B30C3C"/>
    <w:rsid w:val="00B313CB"/>
    <w:rsid w:val="00B32495"/>
    <w:rsid w:val="00B326FF"/>
    <w:rsid w:val="00B32B69"/>
    <w:rsid w:val="00B32FB6"/>
    <w:rsid w:val="00B35610"/>
    <w:rsid w:val="00B36CDF"/>
    <w:rsid w:val="00B3775A"/>
    <w:rsid w:val="00B41419"/>
    <w:rsid w:val="00B42C48"/>
    <w:rsid w:val="00B50327"/>
    <w:rsid w:val="00B50E6B"/>
    <w:rsid w:val="00B51184"/>
    <w:rsid w:val="00B5406D"/>
    <w:rsid w:val="00B558DA"/>
    <w:rsid w:val="00B55FC5"/>
    <w:rsid w:val="00B61AAF"/>
    <w:rsid w:val="00B61BE7"/>
    <w:rsid w:val="00B62F9D"/>
    <w:rsid w:val="00B6362F"/>
    <w:rsid w:val="00B63985"/>
    <w:rsid w:val="00B64CBB"/>
    <w:rsid w:val="00B65A85"/>
    <w:rsid w:val="00B671A3"/>
    <w:rsid w:val="00B67E8C"/>
    <w:rsid w:val="00B702D2"/>
    <w:rsid w:val="00B71850"/>
    <w:rsid w:val="00B726D8"/>
    <w:rsid w:val="00B7556C"/>
    <w:rsid w:val="00B761A3"/>
    <w:rsid w:val="00B76A0E"/>
    <w:rsid w:val="00B77D4C"/>
    <w:rsid w:val="00B77D58"/>
    <w:rsid w:val="00B83A38"/>
    <w:rsid w:val="00B844EB"/>
    <w:rsid w:val="00B85BEE"/>
    <w:rsid w:val="00B86789"/>
    <w:rsid w:val="00B877BA"/>
    <w:rsid w:val="00B87FE6"/>
    <w:rsid w:val="00B90156"/>
    <w:rsid w:val="00B907E9"/>
    <w:rsid w:val="00B92D83"/>
    <w:rsid w:val="00B953D1"/>
    <w:rsid w:val="00B96E81"/>
    <w:rsid w:val="00BA011B"/>
    <w:rsid w:val="00BA0F9D"/>
    <w:rsid w:val="00BA469B"/>
    <w:rsid w:val="00BA4E2B"/>
    <w:rsid w:val="00BA5AE7"/>
    <w:rsid w:val="00BB0017"/>
    <w:rsid w:val="00BB00D1"/>
    <w:rsid w:val="00BB0A3F"/>
    <w:rsid w:val="00BB0F4B"/>
    <w:rsid w:val="00BB15B8"/>
    <w:rsid w:val="00BB2741"/>
    <w:rsid w:val="00BB405E"/>
    <w:rsid w:val="00BB4313"/>
    <w:rsid w:val="00BB514B"/>
    <w:rsid w:val="00BB6C9B"/>
    <w:rsid w:val="00BC0EBE"/>
    <w:rsid w:val="00BC3B21"/>
    <w:rsid w:val="00BC6FCF"/>
    <w:rsid w:val="00BD04D6"/>
    <w:rsid w:val="00BD0FBD"/>
    <w:rsid w:val="00BD49F5"/>
    <w:rsid w:val="00BE162E"/>
    <w:rsid w:val="00BE18DD"/>
    <w:rsid w:val="00BE3C4B"/>
    <w:rsid w:val="00BE4552"/>
    <w:rsid w:val="00BE79E4"/>
    <w:rsid w:val="00BF39C7"/>
    <w:rsid w:val="00BF5979"/>
    <w:rsid w:val="00BF67DD"/>
    <w:rsid w:val="00C0092F"/>
    <w:rsid w:val="00C01B3E"/>
    <w:rsid w:val="00C027BC"/>
    <w:rsid w:val="00C032C2"/>
    <w:rsid w:val="00C033E2"/>
    <w:rsid w:val="00C046C1"/>
    <w:rsid w:val="00C06F6F"/>
    <w:rsid w:val="00C078F6"/>
    <w:rsid w:val="00C07C14"/>
    <w:rsid w:val="00C1015B"/>
    <w:rsid w:val="00C12147"/>
    <w:rsid w:val="00C145BC"/>
    <w:rsid w:val="00C15528"/>
    <w:rsid w:val="00C212D8"/>
    <w:rsid w:val="00C249C1"/>
    <w:rsid w:val="00C255CD"/>
    <w:rsid w:val="00C265AE"/>
    <w:rsid w:val="00C31422"/>
    <w:rsid w:val="00C31A45"/>
    <w:rsid w:val="00C32719"/>
    <w:rsid w:val="00C327B4"/>
    <w:rsid w:val="00C34075"/>
    <w:rsid w:val="00C34A32"/>
    <w:rsid w:val="00C35C07"/>
    <w:rsid w:val="00C373B6"/>
    <w:rsid w:val="00C37DF6"/>
    <w:rsid w:val="00C41921"/>
    <w:rsid w:val="00C44136"/>
    <w:rsid w:val="00C51DEB"/>
    <w:rsid w:val="00C55440"/>
    <w:rsid w:val="00C57A48"/>
    <w:rsid w:val="00C611CE"/>
    <w:rsid w:val="00C61DF8"/>
    <w:rsid w:val="00C62DC8"/>
    <w:rsid w:val="00C635EC"/>
    <w:rsid w:val="00C66945"/>
    <w:rsid w:val="00C67BBA"/>
    <w:rsid w:val="00C7401B"/>
    <w:rsid w:val="00C80BBE"/>
    <w:rsid w:val="00C81A16"/>
    <w:rsid w:val="00C82368"/>
    <w:rsid w:val="00C83B70"/>
    <w:rsid w:val="00C86AB1"/>
    <w:rsid w:val="00C928AB"/>
    <w:rsid w:val="00C92B28"/>
    <w:rsid w:val="00C951B9"/>
    <w:rsid w:val="00C96AB9"/>
    <w:rsid w:val="00C96E65"/>
    <w:rsid w:val="00C978CD"/>
    <w:rsid w:val="00CA0446"/>
    <w:rsid w:val="00CA0E05"/>
    <w:rsid w:val="00CA2F51"/>
    <w:rsid w:val="00CA37DF"/>
    <w:rsid w:val="00CA6680"/>
    <w:rsid w:val="00CA6E04"/>
    <w:rsid w:val="00CB1114"/>
    <w:rsid w:val="00CB4344"/>
    <w:rsid w:val="00CB6B23"/>
    <w:rsid w:val="00CC0E70"/>
    <w:rsid w:val="00CC3F6C"/>
    <w:rsid w:val="00CD08F4"/>
    <w:rsid w:val="00CD09AB"/>
    <w:rsid w:val="00CD2425"/>
    <w:rsid w:val="00CD3B98"/>
    <w:rsid w:val="00CD43F9"/>
    <w:rsid w:val="00CD520D"/>
    <w:rsid w:val="00CD6175"/>
    <w:rsid w:val="00CD6230"/>
    <w:rsid w:val="00CD68E5"/>
    <w:rsid w:val="00CD74C4"/>
    <w:rsid w:val="00CE6B57"/>
    <w:rsid w:val="00CF0D90"/>
    <w:rsid w:val="00CF569B"/>
    <w:rsid w:val="00CF7426"/>
    <w:rsid w:val="00D01A59"/>
    <w:rsid w:val="00D01F17"/>
    <w:rsid w:val="00D01F34"/>
    <w:rsid w:val="00D02561"/>
    <w:rsid w:val="00D04834"/>
    <w:rsid w:val="00D05F8F"/>
    <w:rsid w:val="00D11A95"/>
    <w:rsid w:val="00D12410"/>
    <w:rsid w:val="00D14316"/>
    <w:rsid w:val="00D16F14"/>
    <w:rsid w:val="00D203E6"/>
    <w:rsid w:val="00D20A6B"/>
    <w:rsid w:val="00D22A0E"/>
    <w:rsid w:val="00D246B1"/>
    <w:rsid w:val="00D31089"/>
    <w:rsid w:val="00D310B4"/>
    <w:rsid w:val="00D32E9F"/>
    <w:rsid w:val="00D34F12"/>
    <w:rsid w:val="00D37213"/>
    <w:rsid w:val="00D37286"/>
    <w:rsid w:val="00D37CB8"/>
    <w:rsid w:val="00D40A47"/>
    <w:rsid w:val="00D42EE5"/>
    <w:rsid w:val="00D46F6F"/>
    <w:rsid w:val="00D4791D"/>
    <w:rsid w:val="00D50BCB"/>
    <w:rsid w:val="00D511DF"/>
    <w:rsid w:val="00D52475"/>
    <w:rsid w:val="00D52BFE"/>
    <w:rsid w:val="00D5414D"/>
    <w:rsid w:val="00D55BCA"/>
    <w:rsid w:val="00D57385"/>
    <w:rsid w:val="00D57DBF"/>
    <w:rsid w:val="00D611E5"/>
    <w:rsid w:val="00D63764"/>
    <w:rsid w:val="00D63B33"/>
    <w:rsid w:val="00D67213"/>
    <w:rsid w:val="00D67854"/>
    <w:rsid w:val="00D72646"/>
    <w:rsid w:val="00D729DF"/>
    <w:rsid w:val="00D73085"/>
    <w:rsid w:val="00D7329A"/>
    <w:rsid w:val="00D73532"/>
    <w:rsid w:val="00D736B8"/>
    <w:rsid w:val="00D73A46"/>
    <w:rsid w:val="00D74D85"/>
    <w:rsid w:val="00D750CE"/>
    <w:rsid w:val="00D7595E"/>
    <w:rsid w:val="00D800D2"/>
    <w:rsid w:val="00D8271D"/>
    <w:rsid w:val="00D82801"/>
    <w:rsid w:val="00D82FEC"/>
    <w:rsid w:val="00D84911"/>
    <w:rsid w:val="00D84C89"/>
    <w:rsid w:val="00D8781E"/>
    <w:rsid w:val="00D90E43"/>
    <w:rsid w:val="00D95BBE"/>
    <w:rsid w:val="00D9714C"/>
    <w:rsid w:val="00D97454"/>
    <w:rsid w:val="00DA0CEE"/>
    <w:rsid w:val="00DA22A9"/>
    <w:rsid w:val="00DA2C8D"/>
    <w:rsid w:val="00DA43B6"/>
    <w:rsid w:val="00DA49CC"/>
    <w:rsid w:val="00DA7665"/>
    <w:rsid w:val="00DB0403"/>
    <w:rsid w:val="00DB0F43"/>
    <w:rsid w:val="00DB0FF9"/>
    <w:rsid w:val="00DB1AA6"/>
    <w:rsid w:val="00DB1FA5"/>
    <w:rsid w:val="00DB24D0"/>
    <w:rsid w:val="00DB32BE"/>
    <w:rsid w:val="00DB3B17"/>
    <w:rsid w:val="00DB669F"/>
    <w:rsid w:val="00DB7488"/>
    <w:rsid w:val="00DB75CB"/>
    <w:rsid w:val="00DB7890"/>
    <w:rsid w:val="00DB7F33"/>
    <w:rsid w:val="00DC0B1A"/>
    <w:rsid w:val="00DC312D"/>
    <w:rsid w:val="00DC3779"/>
    <w:rsid w:val="00DC6373"/>
    <w:rsid w:val="00DC7272"/>
    <w:rsid w:val="00DD0CE1"/>
    <w:rsid w:val="00DD31E0"/>
    <w:rsid w:val="00DD3719"/>
    <w:rsid w:val="00DD3809"/>
    <w:rsid w:val="00DD50A3"/>
    <w:rsid w:val="00DD6DE1"/>
    <w:rsid w:val="00DD7095"/>
    <w:rsid w:val="00DE021E"/>
    <w:rsid w:val="00DE0E10"/>
    <w:rsid w:val="00DE1E42"/>
    <w:rsid w:val="00DE366A"/>
    <w:rsid w:val="00DE4110"/>
    <w:rsid w:val="00DE647D"/>
    <w:rsid w:val="00DF19C1"/>
    <w:rsid w:val="00DF6A7B"/>
    <w:rsid w:val="00DF726C"/>
    <w:rsid w:val="00DF77DE"/>
    <w:rsid w:val="00E0073C"/>
    <w:rsid w:val="00E00E6A"/>
    <w:rsid w:val="00E0126D"/>
    <w:rsid w:val="00E02FD0"/>
    <w:rsid w:val="00E030A8"/>
    <w:rsid w:val="00E07CC0"/>
    <w:rsid w:val="00E112B8"/>
    <w:rsid w:val="00E12532"/>
    <w:rsid w:val="00E12FE6"/>
    <w:rsid w:val="00E1402A"/>
    <w:rsid w:val="00E16BE7"/>
    <w:rsid w:val="00E201B8"/>
    <w:rsid w:val="00E21163"/>
    <w:rsid w:val="00E21184"/>
    <w:rsid w:val="00E22619"/>
    <w:rsid w:val="00E2281B"/>
    <w:rsid w:val="00E23311"/>
    <w:rsid w:val="00E24A6D"/>
    <w:rsid w:val="00E24DE2"/>
    <w:rsid w:val="00E30BC8"/>
    <w:rsid w:val="00E3253A"/>
    <w:rsid w:val="00E35803"/>
    <w:rsid w:val="00E35ACF"/>
    <w:rsid w:val="00E43437"/>
    <w:rsid w:val="00E457A8"/>
    <w:rsid w:val="00E50EC6"/>
    <w:rsid w:val="00E54C4D"/>
    <w:rsid w:val="00E54DA8"/>
    <w:rsid w:val="00E559A7"/>
    <w:rsid w:val="00E56506"/>
    <w:rsid w:val="00E57E03"/>
    <w:rsid w:val="00E62978"/>
    <w:rsid w:val="00E631AA"/>
    <w:rsid w:val="00E64FAB"/>
    <w:rsid w:val="00E66AED"/>
    <w:rsid w:val="00E67722"/>
    <w:rsid w:val="00E7122A"/>
    <w:rsid w:val="00E71B2A"/>
    <w:rsid w:val="00E751E3"/>
    <w:rsid w:val="00E82C47"/>
    <w:rsid w:val="00E832B7"/>
    <w:rsid w:val="00E84DAB"/>
    <w:rsid w:val="00E84EC2"/>
    <w:rsid w:val="00E86E3F"/>
    <w:rsid w:val="00E908B8"/>
    <w:rsid w:val="00E90EAF"/>
    <w:rsid w:val="00E94899"/>
    <w:rsid w:val="00E95971"/>
    <w:rsid w:val="00E969EE"/>
    <w:rsid w:val="00E96EF7"/>
    <w:rsid w:val="00EA11A4"/>
    <w:rsid w:val="00EA14D1"/>
    <w:rsid w:val="00EA249D"/>
    <w:rsid w:val="00EA49DA"/>
    <w:rsid w:val="00EB1880"/>
    <w:rsid w:val="00EB245F"/>
    <w:rsid w:val="00EB2F53"/>
    <w:rsid w:val="00EB73EA"/>
    <w:rsid w:val="00EC3A06"/>
    <w:rsid w:val="00EC40F0"/>
    <w:rsid w:val="00EC41DF"/>
    <w:rsid w:val="00EC6491"/>
    <w:rsid w:val="00EC7C14"/>
    <w:rsid w:val="00ED07D7"/>
    <w:rsid w:val="00ED1B20"/>
    <w:rsid w:val="00ED1DCB"/>
    <w:rsid w:val="00ED23B2"/>
    <w:rsid w:val="00ED2447"/>
    <w:rsid w:val="00ED35F1"/>
    <w:rsid w:val="00ED5B6F"/>
    <w:rsid w:val="00ED5CBA"/>
    <w:rsid w:val="00EE124F"/>
    <w:rsid w:val="00EE26B1"/>
    <w:rsid w:val="00EE3A94"/>
    <w:rsid w:val="00EE5877"/>
    <w:rsid w:val="00EE62B0"/>
    <w:rsid w:val="00EF0B9D"/>
    <w:rsid w:val="00EF2DED"/>
    <w:rsid w:val="00EF2FA0"/>
    <w:rsid w:val="00EF771D"/>
    <w:rsid w:val="00F002FA"/>
    <w:rsid w:val="00F011EC"/>
    <w:rsid w:val="00F02F80"/>
    <w:rsid w:val="00F03056"/>
    <w:rsid w:val="00F03B88"/>
    <w:rsid w:val="00F03BE5"/>
    <w:rsid w:val="00F054EB"/>
    <w:rsid w:val="00F074F3"/>
    <w:rsid w:val="00F137C0"/>
    <w:rsid w:val="00F13A48"/>
    <w:rsid w:val="00F15F7A"/>
    <w:rsid w:val="00F167E3"/>
    <w:rsid w:val="00F178A9"/>
    <w:rsid w:val="00F200E9"/>
    <w:rsid w:val="00F21CC3"/>
    <w:rsid w:val="00F22707"/>
    <w:rsid w:val="00F232C0"/>
    <w:rsid w:val="00F26972"/>
    <w:rsid w:val="00F275BD"/>
    <w:rsid w:val="00F31E8F"/>
    <w:rsid w:val="00F32FAC"/>
    <w:rsid w:val="00F34760"/>
    <w:rsid w:val="00F35D25"/>
    <w:rsid w:val="00F36BC3"/>
    <w:rsid w:val="00F36F6B"/>
    <w:rsid w:val="00F4035C"/>
    <w:rsid w:val="00F415A4"/>
    <w:rsid w:val="00F416C3"/>
    <w:rsid w:val="00F428A9"/>
    <w:rsid w:val="00F441A9"/>
    <w:rsid w:val="00F50CC3"/>
    <w:rsid w:val="00F54F6C"/>
    <w:rsid w:val="00F5692C"/>
    <w:rsid w:val="00F60070"/>
    <w:rsid w:val="00F60574"/>
    <w:rsid w:val="00F619D6"/>
    <w:rsid w:val="00F62C60"/>
    <w:rsid w:val="00F63BDD"/>
    <w:rsid w:val="00F64FA8"/>
    <w:rsid w:val="00F65DBF"/>
    <w:rsid w:val="00F678FE"/>
    <w:rsid w:val="00F67C3A"/>
    <w:rsid w:val="00F70BB3"/>
    <w:rsid w:val="00F717C6"/>
    <w:rsid w:val="00F72087"/>
    <w:rsid w:val="00F72513"/>
    <w:rsid w:val="00F74DD3"/>
    <w:rsid w:val="00F820D9"/>
    <w:rsid w:val="00F82BCF"/>
    <w:rsid w:val="00F852DD"/>
    <w:rsid w:val="00F8648D"/>
    <w:rsid w:val="00F86F99"/>
    <w:rsid w:val="00F8715C"/>
    <w:rsid w:val="00F924D1"/>
    <w:rsid w:val="00F92E93"/>
    <w:rsid w:val="00F9533D"/>
    <w:rsid w:val="00F95AE4"/>
    <w:rsid w:val="00F961BA"/>
    <w:rsid w:val="00F96D14"/>
    <w:rsid w:val="00F97024"/>
    <w:rsid w:val="00F978B2"/>
    <w:rsid w:val="00F97C3B"/>
    <w:rsid w:val="00FA0867"/>
    <w:rsid w:val="00FA16CE"/>
    <w:rsid w:val="00FA1E7D"/>
    <w:rsid w:val="00FA29D1"/>
    <w:rsid w:val="00FA31E9"/>
    <w:rsid w:val="00FA33D6"/>
    <w:rsid w:val="00FA447F"/>
    <w:rsid w:val="00FA56FC"/>
    <w:rsid w:val="00FA6C78"/>
    <w:rsid w:val="00FB3385"/>
    <w:rsid w:val="00FB368D"/>
    <w:rsid w:val="00FB599D"/>
    <w:rsid w:val="00FB5F03"/>
    <w:rsid w:val="00FB65E9"/>
    <w:rsid w:val="00FB73B2"/>
    <w:rsid w:val="00FC30DB"/>
    <w:rsid w:val="00FC3966"/>
    <w:rsid w:val="00FC4652"/>
    <w:rsid w:val="00FC723F"/>
    <w:rsid w:val="00FD2995"/>
    <w:rsid w:val="00FD2CCF"/>
    <w:rsid w:val="00FD6272"/>
    <w:rsid w:val="00FD72E4"/>
    <w:rsid w:val="00FE1334"/>
    <w:rsid w:val="00FE25ED"/>
    <w:rsid w:val="00FE54EC"/>
    <w:rsid w:val="00FE58C1"/>
    <w:rsid w:val="00FE603A"/>
    <w:rsid w:val="00FF092C"/>
    <w:rsid w:val="00FF212B"/>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C134E9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CB6B23"/>
    <w:pPr>
      <w:keepNext/>
      <w:keepLines/>
      <w:pageBreakBefore/>
      <w:spacing w:before="240" w:after="200"/>
      <w:jc w:val="both"/>
      <w:outlineLvl w:val="0"/>
    </w:pPr>
    <w:rPr>
      <w:rFonts w:eastAsia="Times New Roman" w:cs="Arial"/>
      <w:b/>
      <w:bCs/>
      <w:color w:val="1F4E79" w:themeColor="accent1" w:themeShade="80"/>
      <w:szCs w:val="18"/>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CB6B23"/>
    <w:rPr>
      <w:rFonts w:ascii="Arial" w:eastAsia="Times New Roman" w:hAnsi="Arial" w:cs="Arial"/>
      <w:b/>
      <w:bCs/>
      <w:color w:val="1F4E79" w:themeColor="accent1" w:themeShade="80"/>
      <w:sz w:val="18"/>
      <w:szCs w:val="18"/>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uiPriority w:val="99"/>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_0"/>
    <w:basedOn w:val="Tabelanormal"/>
    <w:uiPriority w:val="51"/>
    <w:rsid w:val="004E230D"/>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Appendix,Car4,Draft,Draft1,Draft2,Guideline,Header Char Char Char,Heading 1a,Heading 1a Char Char Char Char,Table header,encabezado,encabezado Char Char Char Char Char,even,Header Char"/>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Appendix Char,Car4 Char,Draft Char,Draft1 Char,Draft2 Char,Guideline Char,Header Char Char Char Char,Heading 1a Char,Heading 1a Char Char Char Char Char,Table header Char,encabezado Char,encabezado Char Cha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uiPriority w:val="99"/>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59"/>
    <w:rsid w:val="005D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_0"/>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_0"/>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_0"/>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_0"/>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_0"/>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_0"/>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_0"/>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_0"/>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_0"/>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1"/>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2"/>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3"/>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4"/>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customStyle="1" w:styleId="MenoPendente2">
    <w:name w:val="Menção Pendente2"/>
    <w:basedOn w:val="Fontepargpadro"/>
    <w:uiPriority w:val="99"/>
    <w:semiHidden/>
    <w:unhideWhenUsed/>
    <w:rsid w:val="00117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1.brasilprev.com.br/quem-somo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limatebonds.net/market/country/brasil/declaracao-de-investidore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bseguros.com.br/seguradora/seguros/quem-somos/sustentabilidade"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bbseguridaderi.com.br/sustentabilidade-e-governanca/sustentabilidade/" TargetMode="External"/><Relationship Id="rId22" Type="http://schemas.openxmlformats.org/officeDocument/2006/relationships/header" Target="header6.xml"/></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10220</Words>
  <Characters>55189</Characters>
  <Application>Microsoft Office Word</Application>
  <DocSecurity>0</DocSecurity>
  <Lines>459</Lines>
  <Paragraphs>130</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65279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Nogueira Dias</dc:creator>
  <cp:lastModifiedBy>Suzi Hayashi Arakawa</cp:lastModifiedBy>
  <cp:revision>4</cp:revision>
  <cp:lastPrinted>2021-11-05T22:28:00Z</cp:lastPrinted>
  <dcterms:created xsi:type="dcterms:W3CDTF">2022-02-08T15:06:00Z</dcterms:created>
  <dcterms:modified xsi:type="dcterms:W3CDTF">2022-02-08T15:10:00Z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a22eba-d59e-42ba-acb9-085eb1026b66_Enabled">
    <vt:lpwstr>true</vt:lpwstr>
  </property>
  <property fmtid="{D5CDD505-2E9C-101B-9397-08002B2CF9AE}" pid="3" name="MSIP_Label_1ba22eba-d59e-42ba-acb9-085eb1026b66_SetDate">
    <vt:lpwstr>2022-02-08T15:10:46Z</vt:lpwstr>
  </property>
  <property fmtid="{D5CDD505-2E9C-101B-9397-08002B2CF9AE}" pid="4" name="MSIP_Label_1ba22eba-d59e-42ba-acb9-085eb1026b66_Method">
    <vt:lpwstr>Privileged</vt:lpwstr>
  </property>
  <property fmtid="{D5CDD505-2E9C-101B-9397-08002B2CF9AE}" pid="5" name="MSIP_Label_1ba22eba-d59e-42ba-acb9-085eb1026b66_Name">
    <vt:lpwstr>1ba22eba-d59e-42ba-acb9-085eb1026b66</vt:lpwstr>
  </property>
  <property fmtid="{D5CDD505-2E9C-101B-9397-08002B2CF9AE}" pid="6" name="MSIP_Label_1ba22eba-d59e-42ba-acb9-085eb1026b66_SiteId">
    <vt:lpwstr>ea0c2907-38d2-4181-8750-b0b190b60443</vt:lpwstr>
  </property>
  <property fmtid="{D5CDD505-2E9C-101B-9397-08002B2CF9AE}" pid="7" name="MSIP_Label_1ba22eba-d59e-42ba-acb9-085eb1026b66_ActionId">
    <vt:lpwstr>f8234501-2a43-420b-a28b-0f5fb7682ec8</vt:lpwstr>
  </property>
  <property fmtid="{D5CDD505-2E9C-101B-9397-08002B2CF9AE}" pid="8" name="MSIP_Label_1ba22eba-d59e-42ba-acb9-085eb1026b66_ContentBits">
    <vt:lpwstr>1</vt:lpwstr>
  </property>
</Properties>
</file>