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23565040" w:displacedByCustomXml="next"/>
    <w:bookmarkEnd w:id="0" w:displacedByCustomXml="next"/>
    <w:sdt>
      <w:sdtPr>
        <w:rPr>
          <w:rFonts w:ascii="Arial" w:eastAsiaTheme="minorHAnsi" w:hAnsi="Arial" w:cs="Arial"/>
          <w:sz w:val="2"/>
        </w:rPr>
        <w:id w:val="-435131693"/>
        <w:docPartObj>
          <w:docPartGallery w:val="Cover Pages"/>
          <w:docPartUnique/>
        </w:docPartObj>
      </w:sdtPr>
      <w:sdtEndPr>
        <w:rPr>
          <w:rFonts w:eastAsiaTheme="minorEastAsia"/>
          <w:b/>
          <w:color w:val="1F3864" w:themeColor="accent1" w:themeShade="80"/>
          <w:sz w:val="20"/>
          <w:szCs w:val="20"/>
        </w:rPr>
      </w:sdtEndPr>
      <w:sdtContent>
        <w:p w14:paraId="53C2389C" w14:textId="2ADD392D" w:rsidR="00734925" w:rsidRPr="00432934" w:rsidRDefault="00E07E97">
          <w:pPr>
            <w:pStyle w:val="SemEspaamento"/>
            <w:rPr>
              <w:rFonts w:ascii="Arial" w:hAnsi="Arial" w:cs="Arial"/>
              <w:sz w:val="2"/>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1" behindDoc="0" locked="0" layoutInCell="1" allowOverlap="1" wp14:anchorId="40463E83" wp14:editId="5E96718C">
                    <wp:simplePos x="0" y="0"/>
                    <wp:positionH relativeFrom="column">
                      <wp:posOffset>1043196</wp:posOffset>
                    </wp:positionH>
                    <wp:positionV relativeFrom="paragraph">
                      <wp:posOffset>-679450</wp:posOffset>
                    </wp:positionV>
                    <wp:extent cx="11406689" cy="11406689"/>
                    <wp:effectExtent l="0" t="0" r="23495" b="23495"/>
                    <wp:wrapNone/>
                    <wp:docPr id="42" name="Elipse 42">
                      <a:extLst xmlns:a="http://schemas.openxmlformats.org/drawingml/2006/main">
                        <a:ext uri="{FF2B5EF4-FFF2-40B4-BE49-F238E27FC236}">
                          <a16:creationId xmlns:a16="http://schemas.microsoft.com/office/drawing/2014/main" id="{6DE0C0B9-000B-4375-9FDE-2890EFCB831B}"/>
                        </a:ext>
                      </a:extLst>
                    </wp:docPr>
                    <wp:cNvGraphicFramePr/>
                    <a:graphic xmlns:a="http://schemas.openxmlformats.org/drawingml/2006/main">
                      <a:graphicData uri="http://schemas.microsoft.com/office/word/2010/wordprocessingShape">
                        <wps:wsp>
                          <wps:cNvSpPr/>
                          <wps:spPr>
                            <a:xfrm>
                              <a:off x="0" y="0"/>
                              <a:ext cx="11406689" cy="11406689"/>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oval w14:anchorId="2E76F114" id="Elipse 41" o:spid="_x0000_s1026" style="position:absolute;margin-left:82.15pt;margin-top:-53.5pt;width:898.15pt;height:898.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" filled="f" strokecolor="#b4afd2" strokeweight="1.5pt">
                    <v:stroke joinstyle="miter"/>
                  </v:oval>
                </w:pict>
              </mc:Fallback>
            </mc:AlternateContent>
          </w:r>
          <w:r>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0" behindDoc="0" locked="0" layoutInCell="1" allowOverlap="1" wp14:anchorId="253DFE80" wp14:editId="6E3FCC72">
                    <wp:simplePos x="0" y="0"/>
                    <wp:positionH relativeFrom="page">
                      <wp:posOffset>0</wp:posOffset>
                    </wp:positionH>
                    <wp:positionV relativeFrom="paragraph">
                      <wp:posOffset>-735857</wp:posOffset>
                    </wp:positionV>
                    <wp:extent cx="7552055" cy="10878207"/>
                    <wp:effectExtent l="0" t="0" r="10795" b="18415"/>
                    <wp:wrapNone/>
                    <wp:docPr id="1374786640" name="Retângulo 1374786640"/>
                    <wp:cNvGraphicFramePr/>
                    <a:graphic xmlns:a="http://schemas.openxmlformats.org/drawingml/2006/main">
                      <a:graphicData uri="http://schemas.microsoft.com/office/word/2010/wordprocessingShape">
                        <wps:wsp>
                          <wps:cNvSpPr/>
                          <wps:spPr>
                            <a:xfrm>
                              <a:off x="0" y="0"/>
                              <a:ext cx="7552055" cy="10878207"/>
                            </a:xfrm>
                            <a:prstGeom prst="rect">
                              <a:avLst/>
                            </a:prstGeom>
                            <a:solidFill>
                              <a:srgbClr val="002D4B"/>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629A406F" id="Retângulo 2" o:spid="_x0000_s1026" style="position:absolute;margin-left:0;margin-top:-57.95pt;width:594.65pt;height:856.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" fillcolor="#002d4b" strokecolor="#09101d [484]" strokeweight="1pt">
                    <w10:wrap anchorx="page"/>
                  </v:rect>
                </w:pict>
              </mc:Fallback>
            </mc:AlternateContent>
          </w:r>
        </w:p>
        <w:p w14:paraId="0C5F9A37" w14:textId="5A5DEAAA" w:rsidR="00734925" w:rsidRDefault="002C5ECB">
          <w:pPr>
            <w:rPr>
              <w:rFonts w:ascii="Arial" w:eastAsiaTheme="majorEastAsia" w:hAnsi="Arial" w:cs="Arial"/>
              <w:b/>
              <w:color w:val="1F3864" w:themeColor="accent1" w:themeShade="80"/>
              <w:sz w:val="20"/>
              <w:szCs w:val="20"/>
              <w:lang w:eastAsia="pt-BR"/>
            </w:rPr>
          </w:pPr>
          <w:r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6" behindDoc="0" locked="0" layoutInCell="1" allowOverlap="1" wp14:anchorId="737C79E0" wp14:editId="026D4D43">
                    <wp:simplePos x="0" y="0"/>
                    <wp:positionH relativeFrom="column">
                      <wp:posOffset>-255270</wp:posOffset>
                    </wp:positionH>
                    <wp:positionV relativeFrom="paragraph">
                      <wp:posOffset>3025140</wp:posOffset>
                    </wp:positionV>
                    <wp:extent cx="4405630" cy="1615440"/>
                    <wp:effectExtent l="0" t="0" r="0" b="0"/>
                    <wp:wrapNone/>
                    <wp:docPr id="20" name="Caixa de Texto 20">
                      <a:extLst xmlns:a="http://schemas.openxmlformats.org/drawingml/2006/main">
                        <a:ext uri="{FF2B5EF4-FFF2-40B4-BE49-F238E27FC236}">
                          <a16:creationId xmlns:a16="http://schemas.microsoft.com/office/drawing/2014/main" id="{7D98E44F-5031-4C42-907C-63714FE0D349}"/>
                        </a:ext>
                      </a:extLst>
                    </wp:docPr>
                    <wp:cNvGraphicFramePr/>
                    <a:graphic xmlns:a="http://schemas.openxmlformats.org/drawingml/2006/main">
                      <a:graphicData uri="http://schemas.microsoft.com/office/word/2010/wordprocessingShape">
                        <wps:wsp>
                          <wps:cNvSpPr txBox="1"/>
                          <wps:spPr>
                            <a:xfrm>
                              <a:off x="0" y="0"/>
                              <a:ext cx="4405630" cy="1615440"/>
                            </a:xfrm>
                            <a:prstGeom prst="rect">
                              <a:avLst/>
                            </a:prstGeom>
                            <a:solidFill>
                              <a:srgbClr val="002D4B"/>
                            </a:solidFill>
                          </wps:spPr>
                          <wps:txbx>
                            <w:txbxContent>
                              <w:p w14:paraId="34CAD47C" w14:textId="6EEB71BE" w:rsidR="00E07E97" w:rsidRDefault="00D3256A"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Management Report</w:t>
                                </w:r>
                              </w:p>
                            </w:txbxContent>
                          </wps:txbx>
                          <wps:bodyPr wrap="square" rtlCol="0">
                            <a:spAutoFit/>
                          </wps:bodyPr>
                        </wps:wsp>
                      </a:graphicData>
                    </a:graphic>
                  </wp:anchor>
                </w:drawing>
              </mc:Choice>
              <mc:Fallback>
                <w:pict>
                  <v:shapetype w14:anchorId="737C79E0" id="_x0000_t202" coordsize="21600,21600" o:spt="202" path="m,l,21600r21600,l21600,xe">
                    <v:stroke joinstyle="miter"/>
                    <v:path gradientshapeok="t" o:connecttype="rect"/>
                  </v:shapetype>
                  <v:shape id="Caixa de Texto 20" o:spid="_x0000_s1026" type="#_x0000_t202" style="position:absolute;margin-left:-20.1pt;margin-top:238.2pt;width:346.9pt;height:127.2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" fillcolor="#002d4b" stroked="f">
                    <v:textbox style="mso-fit-shape-to-text:t">
                      <w:txbxContent>
                        <w:p w14:paraId="34CAD47C" w14:textId="6EEB71BE" w:rsidR="00E07E97" w:rsidRDefault="00D3256A" w:rsidP="00E07E97">
                          <w:pPr>
                            <w:rPr>
                              <w:rFonts w:ascii="BancoDoBrasil Titulos Medium" w:hAnsi="BancoDoBrasil Titulos Medium" w:cs="Arial Black"/>
                              <w:b/>
                              <w:bCs/>
                              <w:color w:val="FCFC30"/>
                              <w:kern w:val="24"/>
                              <w:sz w:val="88"/>
                              <w:szCs w:val="88"/>
                              <w:lang w:val="en-US"/>
                            </w:rPr>
                          </w:pPr>
                          <w:r>
                            <w:rPr>
                              <w:rFonts w:ascii="BancoDoBrasil Titulos Medium" w:hAnsi="BancoDoBrasil Titulos Medium" w:cs="Arial Black"/>
                              <w:b/>
                              <w:bCs/>
                              <w:color w:val="FCFC30"/>
                              <w:kern w:val="24"/>
                              <w:sz w:val="88"/>
                              <w:szCs w:val="88"/>
                              <w:lang w:val="en-US"/>
                            </w:rPr>
                            <w:t>Management Report</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4" behindDoc="0" locked="0" layoutInCell="1" allowOverlap="1" wp14:anchorId="1D6AB60B" wp14:editId="30B5DE36">
                    <wp:simplePos x="0" y="0"/>
                    <wp:positionH relativeFrom="column">
                      <wp:posOffset>3710940</wp:posOffset>
                    </wp:positionH>
                    <wp:positionV relativeFrom="paragraph">
                      <wp:posOffset>329565</wp:posOffset>
                    </wp:positionV>
                    <wp:extent cx="1205865" cy="1167765"/>
                    <wp:effectExtent l="19050" t="19050" r="32385" b="13335"/>
                    <wp:wrapNone/>
                    <wp:docPr id="4" name="Agrupar 4">
                      <a:extLst xmlns:a="http://schemas.openxmlformats.org/drawingml/2006/main">
                        <a:ext uri="{FF2B5EF4-FFF2-40B4-BE49-F238E27FC236}">
                          <a16:creationId xmlns:a16="http://schemas.microsoft.com/office/drawing/2014/main" id="{032DF0E7-3C04-45EB-B221-2551B63A813F}"/>
                        </a:ext>
                      </a:extLst>
                    </wp:docPr>
                    <wp:cNvGraphicFramePr/>
                    <a:graphic xmlns:a="http://schemas.openxmlformats.org/drawingml/2006/main">
                      <a:graphicData uri="http://schemas.microsoft.com/office/word/2010/wordprocessingGroup">
                        <wpg:wgp>
                          <wpg:cNvGrpSpPr/>
                          <wpg:grpSpPr>
                            <a:xfrm>
                              <a:off x="0" y="0"/>
                              <a:ext cx="1205865" cy="1167765"/>
                              <a:chOff x="3966784" y="1007141"/>
                              <a:chExt cx="967739" cy="891539"/>
                            </a:xfrm>
                            <a:solidFill>
                              <a:srgbClr val="002D4B"/>
                            </a:solidFill>
                          </wpg:grpSpPr>
                          <wps:wsp>
                            <wps:cNvPr id="986618590" name="Forma Livre: Forma 986618590">
                              <a:extLst>
                                <a:ext uri="{FF2B5EF4-FFF2-40B4-BE49-F238E27FC236}">
                                  <a16:creationId xmlns:a16="http://schemas.microsoft.com/office/drawing/2014/main" id="{588C4619-EAE2-46CF-A269-6F19F74F6E22}"/>
                                </a:ext>
                              </a:extLst>
                            </wps:cNvPr>
                            <wps:cNvSpPr/>
                            <wps:spPr>
                              <a:xfrm>
                                <a:off x="4417316" y="1007141"/>
                                <a:ext cx="79057" cy="126682"/>
                              </a:xfrm>
                              <a:custGeom>
                                <a:avLst/>
                                <a:gdLst>
                                  <a:gd name="connsiteX0" fmla="*/ 40957 w 79057"/>
                                  <a:gd name="connsiteY0" fmla="*/ 0 h 126682"/>
                                  <a:gd name="connsiteX1" fmla="*/ 79057 w 79057"/>
                                  <a:gd name="connsiteY1" fmla="*/ 63818 h 126682"/>
                                  <a:gd name="connsiteX2" fmla="*/ 40957 w 79057"/>
                                  <a:gd name="connsiteY2" fmla="*/ 126683 h 126682"/>
                                  <a:gd name="connsiteX3" fmla="*/ 0 w 79057"/>
                                  <a:gd name="connsiteY3" fmla="*/ 63818 h 126682"/>
                                </a:gdLst>
                                <a:ahLst/>
                                <a:cxnLst>
                                  <a:cxn ang="0">
                                    <a:pos x="connsiteX0" y="connsiteY0"/>
                                  </a:cxn>
                                  <a:cxn ang="0">
                                    <a:pos x="connsiteX1" y="connsiteY1"/>
                                  </a:cxn>
                                  <a:cxn ang="0">
                                    <a:pos x="connsiteX2" y="connsiteY2"/>
                                  </a:cxn>
                                  <a:cxn ang="0">
                                    <a:pos x="connsiteX3" y="connsiteY3"/>
                                  </a:cxn>
                                </a:cxnLst>
                                <a:rect l="l" t="t" r="r" b="b"/>
                                <a:pathLst>
                                  <a:path w="79057" h="126682">
                                    <a:moveTo>
                                      <a:pt x="40957" y="0"/>
                                    </a:moveTo>
                                    <a:lnTo>
                                      <a:pt x="79057" y="63818"/>
                                    </a:lnTo>
                                    <a:lnTo>
                                      <a:pt x="40957" y="126683"/>
                                    </a:lnTo>
                                    <a:lnTo>
                                      <a:pt x="0" y="63818"/>
                                    </a:lnTo>
                                    <a:close/>
                                  </a:path>
                                </a:pathLst>
                              </a:custGeom>
                              <a:grpFill/>
                              <a:ln w="19050" cap="flat">
                                <a:solidFill>
                                  <a:srgbClr val="FCFC30"/>
                                </a:solidFill>
                                <a:prstDash val="solid"/>
                                <a:miter/>
                              </a:ln>
                            </wps:spPr>
                            <wps:bodyPr rtlCol="0" anchor="ctr"/>
                          </wps:wsp>
                          <wps:wsp>
                            <wps:cNvPr id="775993336" name="Forma Livre: Forma 775993336">
                              <a:extLst>
                                <a:ext uri="{FF2B5EF4-FFF2-40B4-BE49-F238E27FC236}">
                                  <a16:creationId xmlns:a16="http://schemas.microsoft.com/office/drawing/2014/main" id="{48C7273B-95F7-4E7F-97B2-453CCBC59EFA}"/>
                                </a:ext>
                              </a:extLst>
                            </wps:cNvPr>
                            <wps:cNvSpPr/>
                            <wps:spPr>
                              <a:xfrm>
                                <a:off x="4848798" y="1249076"/>
                                <a:ext cx="85725" cy="92392"/>
                              </a:xfrm>
                              <a:custGeom>
                                <a:avLst/>
                                <a:gdLst>
                                  <a:gd name="connsiteX0" fmla="*/ 85725 w 85725"/>
                                  <a:gd name="connsiteY0" fmla="*/ 0 h 92392"/>
                                  <a:gd name="connsiteX1" fmla="*/ 70485 w 85725"/>
                                  <a:gd name="connsiteY1" fmla="*/ 71438 h 92392"/>
                                  <a:gd name="connsiteX2" fmla="*/ 0 w 85725"/>
                                  <a:gd name="connsiteY2" fmla="*/ 92393 h 92392"/>
                                  <a:gd name="connsiteX3" fmla="*/ 12383 w 85725"/>
                                  <a:gd name="connsiteY3" fmla="*/ 18098 h 92392"/>
                                </a:gdLst>
                                <a:ahLst/>
                                <a:cxnLst>
                                  <a:cxn ang="0">
                                    <a:pos x="connsiteX0" y="connsiteY0"/>
                                  </a:cxn>
                                  <a:cxn ang="0">
                                    <a:pos x="connsiteX1" y="connsiteY1"/>
                                  </a:cxn>
                                  <a:cxn ang="0">
                                    <a:pos x="connsiteX2" y="connsiteY2"/>
                                  </a:cxn>
                                  <a:cxn ang="0">
                                    <a:pos x="connsiteX3" y="connsiteY3"/>
                                  </a:cxn>
                                </a:cxnLst>
                                <a:rect l="l" t="t" r="r" b="b"/>
                                <a:pathLst>
                                  <a:path w="85725" h="92392">
                                    <a:moveTo>
                                      <a:pt x="85725" y="0"/>
                                    </a:moveTo>
                                    <a:lnTo>
                                      <a:pt x="70485" y="71438"/>
                                    </a:lnTo>
                                    <a:lnTo>
                                      <a:pt x="0" y="92393"/>
                                    </a:lnTo>
                                    <a:lnTo>
                                      <a:pt x="12383" y="18098"/>
                                    </a:lnTo>
                                    <a:close/>
                                  </a:path>
                                </a:pathLst>
                              </a:custGeom>
                              <a:grpFill/>
                              <a:ln w="19050" cap="flat">
                                <a:solidFill>
                                  <a:srgbClr val="FCFC30"/>
                                </a:solidFill>
                                <a:prstDash val="solid"/>
                                <a:miter/>
                              </a:ln>
                            </wps:spPr>
                            <wps:bodyPr rtlCol="0" anchor="ctr"/>
                          </wps:wsp>
                          <wps:wsp>
                            <wps:cNvPr id="597478047" name="Forma Livre: Forma 597478047">
                              <a:extLst>
                                <a:ext uri="{FF2B5EF4-FFF2-40B4-BE49-F238E27FC236}">
                                  <a16:creationId xmlns:a16="http://schemas.microsoft.com/office/drawing/2014/main" id="{04817471-236E-4367-BBC0-2FC87B8EF0F1}"/>
                                </a:ext>
                              </a:extLst>
                            </wps:cNvPr>
                            <wps:cNvSpPr/>
                            <wps:spPr>
                              <a:xfrm>
                                <a:off x="3966784" y="1243361"/>
                                <a:ext cx="82867" cy="95250"/>
                              </a:xfrm>
                              <a:custGeom>
                                <a:avLst/>
                                <a:gdLst>
                                  <a:gd name="connsiteX0" fmla="*/ 82868 w 82867"/>
                                  <a:gd name="connsiteY0" fmla="*/ 95250 h 95250"/>
                                  <a:gd name="connsiteX1" fmla="*/ 13335 w 82867"/>
                                  <a:gd name="connsiteY1" fmla="*/ 72390 h 95250"/>
                                  <a:gd name="connsiteX2" fmla="*/ 0 w 82867"/>
                                  <a:gd name="connsiteY2" fmla="*/ 0 h 95250"/>
                                  <a:gd name="connsiteX3" fmla="*/ 72390 w 82867"/>
                                  <a:gd name="connsiteY3" fmla="*/ 20955 h 95250"/>
                                </a:gdLst>
                                <a:ahLst/>
                                <a:cxnLst>
                                  <a:cxn ang="0">
                                    <a:pos x="connsiteX0" y="connsiteY0"/>
                                  </a:cxn>
                                  <a:cxn ang="0">
                                    <a:pos x="connsiteX1" y="connsiteY1"/>
                                  </a:cxn>
                                  <a:cxn ang="0">
                                    <a:pos x="connsiteX2" y="connsiteY2"/>
                                  </a:cxn>
                                  <a:cxn ang="0">
                                    <a:pos x="connsiteX3" y="connsiteY3"/>
                                  </a:cxn>
                                </a:cxnLst>
                                <a:rect l="l" t="t" r="r" b="b"/>
                                <a:pathLst>
                                  <a:path w="82867" h="95250">
                                    <a:moveTo>
                                      <a:pt x="82868" y="95250"/>
                                    </a:moveTo>
                                    <a:lnTo>
                                      <a:pt x="13335" y="72390"/>
                                    </a:lnTo>
                                    <a:lnTo>
                                      <a:pt x="0" y="0"/>
                                    </a:lnTo>
                                    <a:lnTo>
                                      <a:pt x="72390" y="20955"/>
                                    </a:lnTo>
                                    <a:close/>
                                  </a:path>
                                </a:pathLst>
                              </a:custGeom>
                              <a:grpFill/>
                              <a:ln w="19050" cap="flat">
                                <a:solidFill>
                                  <a:srgbClr val="FCFC30"/>
                                </a:solidFill>
                                <a:prstDash val="solid"/>
                                <a:miter/>
                              </a:ln>
                            </wps:spPr>
                            <wps:bodyPr rtlCol="0" anchor="ctr"/>
                          </wps:wsp>
                          <wps:wsp>
                            <wps:cNvPr id="202694241" name="Forma Livre: Forma 202694241">
                              <a:extLst>
                                <a:ext uri="{FF2B5EF4-FFF2-40B4-BE49-F238E27FC236}">
                                  <a16:creationId xmlns:a16="http://schemas.microsoft.com/office/drawing/2014/main" id="{AE2915C5-0DF9-467C-940C-DF00E4DBCCFC}"/>
                                </a:ext>
                              </a:extLst>
                            </wps:cNvPr>
                            <wps:cNvSpPr/>
                            <wps:spPr>
                              <a:xfrm>
                                <a:off x="4093466" y="1185259"/>
                                <a:ext cx="717232" cy="560070"/>
                              </a:xfrm>
                              <a:custGeom>
                                <a:avLst/>
                                <a:gdLst>
                                  <a:gd name="connsiteX0" fmla="*/ 60960 w 717232"/>
                                  <a:gd name="connsiteY0" fmla="*/ 560070 h 560070"/>
                                  <a:gd name="connsiteX1" fmla="*/ 656273 w 717232"/>
                                  <a:gd name="connsiteY1" fmla="*/ 560070 h 560070"/>
                                  <a:gd name="connsiteX2" fmla="*/ 656273 w 717232"/>
                                  <a:gd name="connsiteY2" fmla="*/ 453390 h 560070"/>
                                  <a:gd name="connsiteX3" fmla="*/ 717233 w 717232"/>
                                  <a:gd name="connsiteY3" fmla="*/ 188595 h 560070"/>
                                  <a:gd name="connsiteX4" fmla="*/ 524828 w 717232"/>
                                  <a:gd name="connsiteY4" fmla="*/ 272415 h 560070"/>
                                  <a:gd name="connsiteX5" fmla="*/ 356235 w 717232"/>
                                  <a:gd name="connsiteY5" fmla="*/ 0 h 560070"/>
                                  <a:gd name="connsiteX6" fmla="*/ 186690 w 717232"/>
                                  <a:gd name="connsiteY6" fmla="*/ 272415 h 560070"/>
                                  <a:gd name="connsiteX7" fmla="*/ 0 w 717232"/>
                                  <a:gd name="connsiteY7" fmla="*/ 188595 h 560070"/>
                                  <a:gd name="connsiteX8" fmla="*/ 62865 w 717232"/>
                                  <a:gd name="connsiteY8" fmla="*/ 461010 h 560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17232" h="560070">
                                    <a:moveTo>
                                      <a:pt x="60960" y="560070"/>
                                    </a:moveTo>
                                    <a:lnTo>
                                      <a:pt x="656273" y="560070"/>
                                    </a:lnTo>
                                    <a:lnTo>
                                      <a:pt x="656273" y="453390"/>
                                    </a:lnTo>
                                    <a:lnTo>
                                      <a:pt x="717233" y="188595"/>
                                    </a:lnTo>
                                    <a:lnTo>
                                      <a:pt x="524828" y="272415"/>
                                    </a:lnTo>
                                    <a:lnTo>
                                      <a:pt x="356235" y="0"/>
                                    </a:lnTo>
                                    <a:lnTo>
                                      <a:pt x="186690" y="272415"/>
                                    </a:lnTo>
                                    <a:lnTo>
                                      <a:pt x="0" y="188595"/>
                                    </a:lnTo>
                                    <a:lnTo>
                                      <a:pt x="62865" y="461010"/>
                                    </a:lnTo>
                                    <a:close/>
                                  </a:path>
                                </a:pathLst>
                              </a:custGeom>
                              <a:grpFill/>
                              <a:ln w="19050" cap="flat">
                                <a:solidFill>
                                  <a:srgbClr val="FCFC30"/>
                                </a:solidFill>
                                <a:prstDash val="solid"/>
                                <a:miter/>
                              </a:ln>
                            </wps:spPr>
                            <wps:bodyPr rtlCol="0" anchor="ctr"/>
                          </wps:wsp>
                          <wps:wsp>
                            <wps:cNvPr id="1312829224" name="Forma Livre: Forma 1312829224">
                              <a:extLst>
                                <a:ext uri="{FF2B5EF4-FFF2-40B4-BE49-F238E27FC236}">
                                  <a16:creationId xmlns:a16="http://schemas.microsoft.com/office/drawing/2014/main" id="{173068A6-9F4E-4E75-A5CE-7286F232EB2C}"/>
                                </a:ext>
                              </a:extLst>
                            </wps:cNvPr>
                            <wps:cNvSpPr/>
                            <wps:spPr>
                              <a:xfrm>
                                <a:off x="4149664" y="1797716"/>
                                <a:ext cx="598170" cy="100964"/>
                              </a:xfrm>
                              <a:custGeom>
                                <a:avLst/>
                                <a:gdLst>
                                  <a:gd name="connsiteX0" fmla="*/ 0 w 598170"/>
                                  <a:gd name="connsiteY0" fmla="*/ 0 h 100964"/>
                                  <a:gd name="connsiteX1" fmla="*/ 598170 w 598170"/>
                                  <a:gd name="connsiteY1" fmla="*/ 0 h 100964"/>
                                  <a:gd name="connsiteX2" fmla="*/ 598170 w 598170"/>
                                  <a:gd name="connsiteY2" fmla="*/ 100965 h 100964"/>
                                  <a:gd name="connsiteX3" fmla="*/ 0 w 598170"/>
                                  <a:gd name="connsiteY3" fmla="*/ 100965 h 100964"/>
                                </a:gdLst>
                                <a:ahLst/>
                                <a:cxnLst>
                                  <a:cxn ang="0">
                                    <a:pos x="connsiteX0" y="connsiteY0"/>
                                  </a:cxn>
                                  <a:cxn ang="0">
                                    <a:pos x="connsiteX1" y="connsiteY1"/>
                                  </a:cxn>
                                  <a:cxn ang="0">
                                    <a:pos x="connsiteX2" y="connsiteY2"/>
                                  </a:cxn>
                                  <a:cxn ang="0">
                                    <a:pos x="connsiteX3" y="connsiteY3"/>
                                  </a:cxn>
                                </a:cxnLst>
                                <a:rect l="l" t="t" r="r" b="b"/>
                                <a:pathLst>
                                  <a:path w="598170" h="100964">
                                    <a:moveTo>
                                      <a:pt x="0" y="0"/>
                                    </a:moveTo>
                                    <a:lnTo>
                                      <a:pt x="598170" y="0"/>
                                    </a:lnTo>
                                    <a:lnTo>
                                      <a:pt x="598170" y="100965"/>
                                    </a:lnTo>
                                    <a:lnTo>
                                      <a:pt x="0" y="100965"/>
                                    </a:lnTo>
                                    <a:close/>
                                  </a:path>
                                </a:pathLst>
                              </a:custGeom>
                              <a:grpFill/>
                              <a:ln w="19050" cap="flat">
                                <a:solidFill>
                                  <a:srgbClr val="FCFC30"/>
                                </a:solidFill>
                                <a:prstDash val="solid"/>
                                <a:miter/>
                              </a:ln>
                            </wps:spPr>
                            <wps:bodyPr rtlCol="0" anchor="ctr"/>
                          </wps:wsp>
                        </wpg:wgp>
                      </a:graphicData>
                    </a:graphic>
                  </wp:anchor>
                </w:drawing>
              </mc:Choice>
              <mc:Fallback xmlns:w16du="http://schemas.microsoft.com/office/word/2023/wordml/word16du" xmlns:arto="http://schemas.microsoft.com/office/word/2006/arto">
                <w:pict>
                  <v:group w14:anchorId="68C82AC7" id="Gráfico 2" o:spid="_x0000_s1026" style="position:absolute;margin-left:292.2pt;margin-top:25.95pt;width:94.95pt;height:91.95pt;z-index:251679744" coordorigin="39667,10071" coordsize="9677,8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">
                    <v:shape id="Forma Livre: Forma 986618590" o:spid="_x0000_s1027" style="position:absolute;left:44173;top:10071;width:790;height:1267;visibility:visible;mso-wrap-style:square;v-text-anchor:middle" coordsize="79057,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" path="m40957,l79057,63818,40957,126683,,63818,40957,xe" filled="f" strokecolor="#fcfc30" strokeweight="1.5pt">
                      <v:stroke joinstyle="miter"/>
                      <v:path arrowok="t" o:connecttype="custom" o:connectlocs="40957,0;79057,63818;40957,126683;0,63818" o:connectangles="0,0,0,0"/>
                    </v:shape>
                    <v:shape id="Forma Livre: Forma 775993336" o:spid="_x0000_s1028" style="position:absolute;left:48487;top:12490;width:858;height:924;visibility:visible;mso-wrap-style:square;v-text-anchor:middle" coordsize="85725,9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" path="m85725,l70485,71438,,92393,12383,18098,85725,xe" filled="f" strokecolor="#fcfc30" strokeweight="1.5pt">
                      <v:stroke joinstyle="miter"/>
                      <v:path arrowok="t" o:connecttype="custom" o:connectlocs="85725,0;70485,71438;0,92393;12383,18098" o:connectangles="0,0,0,0"/>
                    </v:shape>
                    <v:shape id="Forma Livre: Forma 597478047" o:spid="_x0000_s1029" style="position:absolute;left:39667;top:12433;width:829;height:953;visibility:visible;mso-wrap-style:square;v-text-anchor:middle" coordsize="82867,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" path="m82868,95250l13335,72390,,,72390,20955,82868,95250xe" filled="f" strokecolor="#fcfc30" strokeweight="1.5pt">
                      <v:stroke joinstyle="miter"/>
                      <v:path arrowok="t" o:connecttype="custom" o:connectlocs="82868,95250;13335,72390;0,0;72390,20955" o:connectangles="0,0,0,0"/>
                    </v:shape>
                    <v:shape id="Forma Livre: Forma 202694241" o:spid="_x0000_s1030" style="position:absolute;left:40934;top:11852;width:7172;height:5601;visibility:visible;mso-wrap-style:square;v-text-anchor:middle" coordsize="717232,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" path="m60960,560070r595313,l656273,453390,717233,188595,524828,272415,356235,,186690,272415,,188595,62865,461010r-1905,99060xe" filled="f" strokecolor="#fcfc30" strokeweight="1.5pt">
                      <v:stroke joinstyle="miter"/>
                      <v:path arrowok="t" o:connecttype="custom" o:connectlocs="60960,560070;656273,560070;656273,453390;717233,188595;524828,272415;356235,0;186690,272415;0,188595;62865,461010" o:connectangles="0,0,0,0,0,0,0,0,0"/>
                    </v:shape>
                    <v:shape id="Forma Livre: Forma 1312829224" o:spid="_x0000_s1031" style="position:absolute;left:41496;top:17977;width:5982;height:1009;visibility:visible;mso-wrap-style:square;v-text-anchor:middle" coordsize="598170,100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" path="m,l598170,r,100965l,100965,,xe" filled="f" strokecolor="#fcfc30" strokeweight="1.5pt">
                      <v:stroke joinstyle="miter"/>
                      <v:path arrowok="t" o:connecttype="custom" o:connectlocs="0,0;598170,0;598170,100965;0,100965" o:connectangles="0,0,0,0"/>
                    </v:shape>
                  </v:group>
                </w:pict>
              </mc:Fallback>
            </mc:AlternateContent>
          </w:r>
          <w:r w:rsidR="00E07E97" w:rsidRPr="00E07E97">
            <w:rPr>
              <w:rFonts w:ascii="Arial" w:hAnsi="Arial" w:cs="Arial"/>
              <w:b/>
              <w:noProof/>
              <w:color w:val="1F3864" w:themeColor="accent1" w:themeShade="80"/>
              <w:sz w:val="20"/>
              <w:szCs w:val="20"/>
              <w:lang w:eastAsia="pt-BR"/>
            </w:rPr>
            <w:drawing>
              <wp:anchor distT="0" distB="0" distL="114300" distR="114300" simplePos="0" relativeHeight="251658253" behindDoc="0" locked="0" layoutInCell="1" allowOverlap="1" wp14:anchorId="6D92AE1C" wp14:editId="53243FF1">
                <wp:simplePos x="0" y="0"/>
                <wp:positionH relativeFrom="column">
                  <wp:posOffset>3779520</wp:posOffset>
                </wp:positionH>
                <wp:positionV relativeFrom="paragraph">
                  <wp:posOffset>7788275</wp:posOffset>
                </wp:positionV>
                <wp:extent cx="755650" cy="1207135"/>
                <wp:effectExtent l="0" t="0" r="6350" b="0"/>
                <wp:wrapNone/>
                <wp:docPr id="63" name="Gráfico 63">
                  <a:extLst xmlns:a="http://schemas.openxmlformats.org/drawingml/2006/main">
                    <a:ext uri="{FF2B5EF4-FFF2-40B4-BE49-F238E27FC236}">
                      <a16:creationId xmlns:a16="http://schemas.microsoft.com/office/drawing/2014/main" id="{BD6C64B0-B38D-417C-B611-C44F9F9551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Gráfico 62">
                          <a:extLst>
                            <a:ext uri="{FF2B5EF4-FFF2-40B4-BE49-F238E27FC236}">
                              <a16:creationId xmlns:a16="http://schemas.microsoft.com/office/drawing/2014/main" id="{BD6C64B0-B38D-417C-B611-C44F9F955105}"/>
                            </a:ext>
                          </a:extLst>
                        </pic:cNvPr>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755650" cy="1207135"/>
                        </a:xfrm>
                        <a:prstGeom prst="rect">
                          <a:avLst/>
                        </a:prstGeom>
                      </pic:spPr>
                    </pic:pic>
                  </a:graphicData>
                </a:graphic>
              </wp:anchor>
            </w:drawing>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2" behindDoc="0" locked="0" layoutInCell="1" allowOverlap="1" wp14:anchorId="42513F5B" wp14:editId="0699BE40">
                    <wp:simplePos x="0" y="0"/>
                    <wp:positionH relativeFrom="column">
                      <wp:posOffset>3524885</wp:posOffset>
                    </wp:positionH>
                    <wp:positionV relativeFrom="paragraph">
                      <wp:posOffset>7550785</wp:posOffset>
                    </wp:positionV>
                    <wp:extent cx="1382395" cy="1737995"/>
                    <wp:effectExtent l="0" t="0" r="8255" b="0"/>
                    <wp:wrapNone/>
                    <wp:docPr id="82" name="Retângulo 82">
                      <a:extLst xmlns:a="http://schemas.openxmlformats.org/drawingml/2006/main">
                        <a:ext uri="{FF2B5EF4-FFF2-40B4-BE49-F238E27FC236}">
                          <a16:creationId xmlns:a16="http://schemas.microsoft.com/office/drawing/2014/main" id="{630FCFA3-5B76-4C8D-87CF-3E0AE10DA1FD}"/>
                        </a:ext>
                      </a:extLst>
                    </wp:docPr>
                    <wp:cNvGraphicFramePr/>
                    <a:graphic xmlns:a="http://schemas.openxmlformats.org/drawingml/2006/main">
                      <a:graphicData uri="http://schemas.microsoft.com/office/word/2010/wordprocessingShape">
                        <wps:wsp>
                          <wps:cNvSpPr/>
                          <wps:spPr>
                            <a:xfrm>
                              <a:off x="0" y="0"/>
                              <a:ext cx="1382395" cy="1737995"/>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rect w14:anchorId="0B14F3C1" id="Retângulo 81" o:spid="_x0000_s1026" style="position:absolute;margin-left:277.55pt;margin-top:594.55pt;width:108.85pt;height:136.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5" behindDoc="0" locked="0" layoutInCell="1" allowOverlap="1" wp14:anchorId="475B9FB7" wp14:editId="3A95242E">
                    <wp:simplePos x="0" y="0"/>
                    <wp:positionH relativeFrom="column">
                      <wp:posOffset>4824095</wp:posOffset>
                    </wp:positionH>
                    <wp:positionV relativeFrom="paragraph">
                      <wp:posOffset>6586855</wp:posOffset>
                    </wp:positionV>
                    <wp:extent cx="1259840" cy="1115695"/>
                    <wp:effectExtent l="0" t="0" r="16510" b="27305"/>
                    <wp:wrapNone/>
                    <wp:docPr id="37" name="Agrupar 37">
                      <a:extLst xmlns:a="http://schemas.openxmlformats.org/drawingml/2006/main">
                        <a:ext uri="{FF2B5EF4-FFF2-40B4-BE49-F238E27FC236}">
                          <a16:creationId xmlns:a16="http://schemas.microsoft.com/office/drawing/2014/main" id="{59A65129-E179-4FDD-B099-27E7087CB83A}"/>
                        </a:ext>
                      </a:extLst>
                    </wp:docPr>
                    <wp:cNvGraphicFramePr/>
                    <a:graphic xmlns:a="http://schemas.openxmlformats.org/drawingml/2006/main">
                      <a:graphicData uri="http://schemas.microsoft.com/office/word/2010/wordprocessingGroup">
                        <wpg:wgp>
                          <wpg:cNvGrpSpPr/>
                          <wpg:grpSpPr>
                            <a:xfrm>
                              <a:off x="0" y="0"/>
                              <a:ext cx="1259840" cy="1115695"/>
                              <a:chOff x="5079728" y="7283500"/>
                              <a:chExt cx="1286005" cy="1134681"/>
                            </a:xfrm>
                            <a:solidFill>
                              <a:srgbClr val="002D4B"/>
                            </a:solidFill>
                          </wpg:grpSpPr>
                          <wps:wsp>
                            <wps:cNvPr id="1490349012" name="Forma Livre: Forma 1490349012">
                              <a:extLst>
                                <a:ext uri="{FF2B5EF4-FFF2-40B4-BE49-F238E27FC236}">
                                  <a16:creationId xmlns:a16="http://schemas.microsoft.com/office/drawing/2014/main" id="{E293C77F-B121-4747-BBF5-8A4269909AE6}"/>
                                </a:ext>
                              </a:extLst>
                            </wps:cNvPr>
                            <wps:cNvSpPr/>
                            <wps:spPr>
                              <a:xfrm>
                                <a:off x="6052647" y="7683343"/>
                                <a:ext cx="313086" cy="683624"/>
                              </a:xfrm>
                              <a:custGeom>
                                <a:avLst/>
                                <a:gdLst>
                                  <a:gd name="connsiteX0" fmla="*/ 313087 w 313086"/>
                                  <a:gd name="connsiteY0" fmla="*/ 0 h 683624"/>
                                  <a:gd name="connsiteX1" fmla="*/ 313087 w 313086"/>
                                  <a:gd name="connsiteY1" fmla="*/ 683430 h 683624"/>
                                  <a:gd name="connsiteX2" fmla="*/ 33364 w 313086"/>
                                  <a:gd name="connsiteY2" fmla="*/ 683430 h 683624"/>
                                  <a:gd name="connsiteX3" fmla="*/ 100 w 313086"/>
                                  <a:gd name="connsiteY3" fmla="*/ 653190 h 683624"/>
                                  <a:gd name="connsiteX4" fmla="*/ 100 w 313086"/>
                                  <a:gd name="connsiteY4" fmla="*/ 31752 h 683624"/>
                                  <a:gd name="connsiteX5" fmla="*/ 24292 w 313086"/>
                                  <a:gd name="connsiteY5" fmla="*/ 0 h 683624"/>
                                  <a:gd name="connsiteX6" fmla="*/ 313087 w 313086"/>
                                  <a:gd name="connsiteY6" fmla="*/ 0 h 683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3086" h="683624">
                                    <a:moveTo>
                                      <a:pt x="313087" y="0"/>
                                    </a:moveTo>
                                    <a:lnTo>
                                      <a:pt x="313087" y="683430"/>
                                    </a:lnTo>
                                    <a:lnTo>
                                      <a:pt x="33364" y="683430"/>
                                    </a:lnTo>
                                    <a:cubicBezTo>
                                      <a:pt x="33364" y="683430"/>
                                      <a:pt x="7660" y="687966"/>
                                      <a:pt x="100" y="653190"/>
                                    </a:cubicBezTo>
                                    <a:lnTo>
                                      <a:pt x="100" y="31752"/>
                                    </a:lnTo>
                                    <a:cubicBezTo>
                                      <a:pt x="100" y="31752"/>
                                      <a:pt x="-2924" y="0"/>
                                      <a:pt x="24292" y="0"/>
                                    </a:cubicBezTo>
                                    <a:cubicBezTo>
                                      <a:pt x="51508" y="0"/>
                                      <a:pt x="313087" y="0"/>
                                      <a:pt x="313087" y="0"/>
                                    </a:cubicBezTo>
                                    <a:close/>
                                  </a:path>
                                </a:pathLst>
                              </a:custGeom>
                              <a:grpFill/>
                              <a:ln w="19050" cap="flat">
                                <a:solidFill>
                                  <a:schemeClr val="bg1"/>
                                </a:solidFill>
                                <a:prstDash val="solid"/>
                                <a:miter/>
                              </a:ln>
                            </wps:spPr>
                            <wps:bodyPr rtlCol="0" anchor="ctr"/>
                          </wps:wsp>
                          <wps:wsp>
                            <wps:cNvPr id="59459829" name="Forma Livre: Forma 59459829">
                              <a:extLst>
                                <a:ext uri="{FF2B5EF4-FFF2-40B4-BE49-F238E27FC236}">
                                  <a16:creationId xmlns:a16="http://schemas.microsoft.com/office/drawing/2014/main" id="{CA7AEA27-C7E1-4237-9FF6-0C2473CB23AF}"/>
                                </a:ext>
                              </a:extLst>
                            </wps:cNvPr>
                            <wps:cNvSpPr/>
                            <wps:spPr>
                              <a:xfrm>
                                <a:off x="5079728" y="7283500"/>
                                <a:ext cx="877761" cy="1134681"/>
                              </a:xfrm>
                              <a:custGeom>
                                <a:avLst/>
                                <a:gdLst>
                                  <a:gd name="connsiteX0" fmla="*/ 877762 w 877761"/>
                                  <a:gd name="connsiteY0" fmla="*/ 489052 h 1134681"/>
                                  <a:gd name="connsiteX1" fmla="*/ 877762 w 877761"/>
                                  <a:gd name="connsiteY1" fmla="*/ 1015233 h 1134681"/>
                                  <a:gd name="connsiteX2" fmla="*/ 655496 w 877761"/>
                                  <a:gd name="connsiteY2" fmla="*/ 1134682 h 1134681"/>
                                  <a:gd name="connsiteX3" fmla="*/ 201892 w 877761"/>
                                  <a:gd name="connsiteY3" fmla="*/ 1134682 h 1134681"/>
                                  <a:gd name="connsiteX4" fmla="*/ 185260 w 877761"/>
                                  <a:gd name="connsiteY4" fmla="*/ 972897 h 1134681"/>
                                  <a:gd name="connsiteX5" fmla="*/ 94539 w 877761"/>
                                  <a:gd name="connsiteY5" fmla="*/ 812623 h 1134681"/>
                                  <a:gd name="connsiteX6" fmla="*/ 58251 w 877761"/>
                                  <a:gd name="connsiteY6" fmla="*/ 644790 h 1134681"/>
                                  <a:gd name="connsiteX7" fmla="*/ 61275 w 877761"/>
                                  <a:gd name="connsiteY7" fmla="*/ 445204 h 1134681"/>
                                  <a:gd name="connsiteX8" fmla="*/ 439278 w 877761"/>
                                  <a:gd name="connsiteY8" fmla="*/ 445204 h 1134681"/>
                                  <a:gd name="connsiteX9" fmla="*/ 463470 w 877761"/>
                                  <a:gd name="connsiteY9" fmla="*/ 399843 h 1134681"/>
                                  <a:gd name="connsiteX10" fmla="*/ 412062 w 877761"/>
                                  <a:gd name="connsiteY10" fmla="*/ 250154 h 1134681"/>
                                  <a:gd name="connsiteX11" fmla="*/ 407526 w 877761"/>
                                  <a:gd name="connsiteY11" fmla="*/ 43008 h 1134681"/>
                                  <a:gd name="connsiteX12" fmla="*/ 588967 w 877761"/>
                                  <a:gd name="connsiteY12" fmla="*/ 43008 h 1134681"/>
                                  <a:gd name="connsiteX13" fmla="*/ 595015 w 877761"/>
                                  <a:gd name="connsiteY13" fmla="*/ 165481 h 1134681"/>
                                  <a:gd name="connsiteX14" fmla="*/ 877762 w 877761"/>
                                  <a:gd name="connsiteY14" fmla="*/ 489052 h 1134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77761" h="1134681">
                                    <a:moveTo>
                                      <a:pt x="877762" y="489052"/>
                                    </a:moveTo>
                                    <a:lnTo>
                                      <a:pt x="877762" y="1015233"/>
                                    </a:lnTo>
                                    <a:lnTo>
                                      <a:pt x="655496" y="1134682"/>
                                    </a:lnTo>
                                    <a:lnTo>
                                      <a:pt x="201892" y="1134682"/>
                                    </a:lnTo>
                                    <a:cubicBezTo>
                                      <a:pt x="201892" y="1134682"/>
                                      <a:pt x="106635" y="1062105"/>
                                      <a:pt x="185260" y="972897"/>
                                    </a:cubicBezTo>
                                    <a:cubicBezTo>
                                      <a:pt x="185260" y="972897"/>
                                      <a:pt x="56739" y="965336"/>
                                      <a:pt x="94539" y="812623"/>
                                    </a:cubicBezTo>
                                    <a:cubicBezTo>
                                      <a:pt x="94539" y="812623"/>
                                      <a:pt x="-21886" y="783895"/>
                                      <a:pt x="58251" y="644790"/>
                                    </a:cubicBezTo>
                                    <a:cubicBezTo>
                                      <a:pt x="58251" y="644790"/>
                                      <a:pt x="-74807" y="554069"/>
                                      <a:pt x="61275" y="445204"/>
                                    </a:cubicBezTo>
                                    <a:lnTo>
                                      <a:pt x="439278" y="445204"/>
                                    </a:lnTo>
                                    <a:cubicBezTo>
                                      <a:pt x="439278" y="445204"/>
                                      <a:pt x="463470" y="436132"/>
                                      <a:pt x="463470" y="399843"/>
                                    </a:cubicBezTo>
                                    <a:cubicBezTo>
                                      <a:pt x="463470" y="399843"/>
                                      <a:pt x="422646" y="330291"/>
                                      <a:pt x="412062" y="250154"/>
                                    </a:cubicBezTo>
                                    <a:cubicBezTo>
                                      <a:pt x="401477" y="170017"/>
                                      <a:pt x="407526" y="43008"/>
                                      <a:pt x="407526" y="43008"/>
                                    </a:cubicBezTo>
                                    <a:cubicBezTo>
                                      <a:pt x="407526" y="43008"/>
                                      <a:pt x="502782" y="-53760"/>
                                      <a:pt x="588967" y="43008"/>
                                    </a:cubicBezTo>
                                    <a:lnTo>
                                      <a:pt x="595015" y="165481"/>
                                    </a:lnTo>
                                    <a:cubicBezTo>
                                      <a:pt x="595015" y="165481"/>
                                      <a:pt x="644912" y="357507"/>
                                      <a:pt x="877762" y="489052"/>
                                    </a:cubicBezTo>
                                    <a:close/>
                                  </a:path>
                                </a:pathLst>
                              </a:custGeom>
                              <a:grpFill/>
                              <a:ln w="19050" cap="flat">
                                <a:solidFill>
                                  <a:schemeClr val="bg1"/>
                                </a:solidFill>
                                <a:prstDash val="solid"/>
                                <a:miter/>
                              </a:ln>
                            </wps:spPr>
                            <wps:bodyPr rtlCol="0" anchor="ctr"/>
                          </wps:wsp>
                        </wpg:wgp>
                      </a:graphicData>
                    </a:graphic>
                  </wp:anchor>
                </w:drawing>
              </mc:Choice>
              <mc:Fallback xmlns:w16du="http://schemas.microsoft.com/office/word/2023/wordml/word16du" xmlns:arto="http://schemas.microsoft.com/office/word/2006/arto">
                <w:pict>
                  <v:group w14:anchorId="1C57B0CB" id="Gráfico 10" o:spid="_x0000_s1026" style="position:absolute;margin-left:379.85pt;margin-top:518.65pt;width:99.2pt;height:87.85pt;z-index:251676672" coordorigin="50797,72835" coordsize="12860,1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">
                    <v:shape id="Forma Livre: Forma 1490349012" o:spid="_x0000_s1027" style="position:absolute;left:60526;top:76833;width:3131;height:6836;visibility:visible;mso-wrap-style:square;v-text-anchor:middle" coordsize="313086,68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" path="m313087,r,683430l33364,683430v,,-25704,4536,-33264,-30240l100,31752c100,31752,-2924,,24292,,51508,,313087,,313087,xe" filled="f" strokecolor="white [3212]" strokeweight="1.5pt">
                      <v:stroke joinstyle="miter"/>
                      <v:path arrowok="t" o:connecttype="custom" o:connectlocs="313087,0;313087,683430;33364,683430;100,653190;100,31752;24292,0;313087,0" o:connectangles="0,0,0,0,0,0,0"/>
                    </v:shape>
                    <v:shape id="Forma Livre: Forma 59459829" o:spid="_x0000_s1028" style="position:absolute;left:50797;top:72835;width:8777;height:11346;visibility:visible;mso-wrap-style:square;v-text-anchor:middle" coordsize="877761,1134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" path="m877762,489052r,526181l655496,1134682r-453604,c201892,1134682,106635,1062105,185260,972897v,,-128521,-7561,-90721,-160274c94539,812623,-21886,783895,58251,644790v,,-133058,-90721,3024,-199586l439278,445204v,,24192,-9072,24192,-45361c463470,399843,422646,330291,412062,250154,401477,170017,407526,43008,407526,43008v,,95256,-96768,181441,l595015,165481v,,49897,192026,282747,323571xe" filled="f" strokecolor="white [3212]" strokeweight="1.5pt">
                      <v:stroke joinstyle="miter"/>
                      <v:path arrowok="t" o:connecttype="custom" o:connectlocs="877762,489052;877762,1015233;655496,1134682;201892,1134682;185260,972897;94539,812623;58251,644790;61275,445204;439278,445204;463470,399843;412062,250154;407526,43008;588967,43008;595015,165481;877762,489052" o:connectangles="0,0,0,0,0,0,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1" behindDoc="0" locked="0" layoutInCell="1" allowOverlap="1" wp14:anchorId="487CAAFC" wp14:editId="2088C909">
                    <wp:simplePos x="0" y="0"/>
                    <wp:positionH relativeFrom="column">
                      <wp:posOffset>4796155</wp:posOffset>
                    </wp:positionH>
                    <wp:positionV relativeFrom="paragraph">
                      <wp:posOffset>6568440</wp:posOffset>
                    </wp:positionV>
                    <wp:extent cx="1323975" cy="1375410"/>
                    <wp:effectExtent l="0" t="0" r="9525" b="0"/>
                    <wp:wrapNone/>
                    <wp:docPr id="81" name="Retângulo 81">
                      <a:extLst xmlns:a="http://schemas.openxmlformats.org/drawingml/2006/main">
                        <a:ext uri="{FF2B5EF4-FFF2-40B4-BE49-F238E27FC236}">
                          <a16:creationId xmlns:a16="http://schemas.microsoft.com/office/drawing/2014/main" id="{B385395C-5CCE-4758-BEF9-5C36D16E7864}"/>
                        </a:ext>
                      </a:extLst>
                    </wp:docPr>
                    <wp:cNvGraphicFramePr/>
                    <a:graphic xmlns:a="http://schemas.openxmlformats.org/drawingml/2006/main">
                      <a:graphicData uri="http://schemas.microsoft.com/office/word/2010/wordprocessingShape">
                        <wps:wsp>
                          <wps:cNvSpPr/>
                          <wps:spPr>
                            <a:xfrm>
                              <a:off x="0" y="0"/>
                              <a:ext cx="1323975" cy="137541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rect w14:anchorId="2E3316EF" id="Retângulo 80" o:spid="_x0000_s1026" style="position:absolute;margin-left:377.65pt;margin-top:517.2pt;width:104.25pt;height:108.3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6" behindDoc="0" locked="0" layoutInCell="1" allowOverlap="1" wp14:anchorId="3CF39F8A" wp14:editId="1D53524B">
                    <wp:simplePos x="0" y="0"/>
                    <wp:positionH relativeFrom="column">
                      <wp:posOffset>3834765</wp:posOffset>
                    </wp:positionH>
                    <wp:positionV relativeFrom="paragraph">
                      <wp:posOffset>4170680</wp:posOffset>
                    </wp:positionV>
                    <wp:extent cx="1229360" cy="1094740"/>
                    <wp:effectExtent l="0" t="0" r="27940" b="10160"/>
                    <wp:wrapNone/>
                    <wp:docPr id="43" name="Agrupar 43">
                      <a:extLst xmlns:a="http://schemas.openxmlformats.org/drawingml/2006/main">
                        <a:ext uri="{FF2B5EF4-FFF2-40B4-BE49-F238E27FC236}">
                          <a16:creationId xmlns:a16="http://schemas.microsoft.com/office/drawing/2014/main" id="{F55798A1-023E-4364-8F35-77126B997342}"/>
                        </a:ext>
                      </a:extLst>
                    </wp:docPr>
                    <wp:cNvGraphicFramePr/>
                    <a:graphic xmlns:a="http://schemas.openxmlformats.org/drawingml/2006/main">
                      <a:graphicData uri="http://schemas.microsoft.com/office/word/2010/wordprocessingGroup">
                        <wpg:wgp>
                          <wpg:cNvGrpSpPr/>
                          <wpg:grpSpPr>
                            <a:xfrm>
                              <a:off x="0" y="0"/>
                              <a:ext cx="1229360" cy="1094740"/>
                              <a:chOff x="4090217" y="4867301"/>
                              <a:chExt cx="1389444" cy="1237088"/>
                            </a:xfrm>
                            <a:solidFill>
                              <a:srgbClr val="002D4B"/>
                            </a:solidFill>
                          </wpg:grpSpPr>
                          <wps:wsp>
                            <wps:cNvPr id="1976857021" name="Forma Livre: Forma 1976857021">
                              <a:extLst>
                                <a:ext uri="{FF2B5EF4-FFF2-40B4-BE49-F238E27FC236}">
                                  <a16:creationId xmlns:a16="http://schemas.microsoft.com/office/drawing/2014/main" id="{BC39C46B-BF39-4FE7-9191-06C93ACD3DE0}"/>
                                </a:ext>
                              </a:extLst>
                            </wps:cNvPr>
                            <wps:cNvSpPr/>
                            <wps:spPr>
                              <a:xfrm>
                                <a:off x="4090217" y="4867301"/>
                                <a:ext cx="1389444" cy="1237088"/>
                              </a:xfrm>
                              <a:custGeom>
                                <a:avLst/>
                                <a:gdLst>
                                  <a:gd name="connsiteX0" fmla="*/ 740340 w 1389444"/>
                                  <a:gd name="connsiteY0" fmla="*/ 36430 h 1237088"/>
                                  <a:gd name="connsiteX1" fmla="*/ 1373304 w 1389444"/>
                                  <a:gd name="connsiteY1" fmla="*/ 1149050 h 1237088"/>
                                  <a:gd name="connsiteX2" fmla="*/ 1339911 w 1389444"/>
                                  <a:gd name="connsiteY2" fmla="*/ 1237089 h 1237088"/>
                                  <a:gd name="connsiteX3" fmla="*/ 39070 w 1389444"/>
                                  <a:gd name="connsiteY3" fmla="*/ 1231017 h 1237088"/>
                                  <a:gd name="connsiteX4" fmla="*/ 14784 w 1389444"/>
                                  <a:gd name="connsiteY4" fmla="*/ 1159676 h 1237088"/>
                                  <a:gd name="connsiteX5" fmla="*/ 656856 w 1389444"/>
                                  <a:gd name="connsiteY5" fmla="*/ 36430 h 1237088"/>
                                  <a:gd name="connsiteX6" fmla="*/ 740340 w 1389444"/>
                                  <a:gd name="connsiteY6" fmla="*/ 36430 h 12370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89444" h="1237088">
                                    <a:moveTo>
                                      <a:pt x="740340" y="36430"/>
                                    </a:moveTo>
                                    <a:lnTo>
                                      <a:pt x="1373304" y="1149050"/>
                                    </a:lnTo>
                                    <a:cubicBezTo>
                                      <a:pt x="1373304" y="1149050"/>
                                      <a:pt x="1426431" y="1237089"/>
                                      <a:pt x="1339911" y="1237089"/>
                                    </a:cubicBezTo>
                                    <a:cubicBezTo>
                                      <a:pt x="1253390" y="1237089"/>
                                      <a:pt x="39070" y="1231017"/>
                                      <a:pt x="39070" y="1231017"/>
                                    </a:cubicBezTo>
                                    <a:cubicBezTo>
                                      <a:pt x="39070" y="1231017"/>
                                      <a:pt x="-29235" y="1237089"/>
                                      <a:pt x="14784" y="1159676"/>
                                    </a:cubicBezTo>
                                    <a:cubicBezTo>
                                      <a:pt x="58803" y="1082263"/>
                                      <a:pt x="656856" y="36430"/>
                                      <a:pt x="656856" y="36430"/>
                                    </a:cubicBezTo>
                                    <a:cubicBezTo>
                                      <a:pt x="656856" y="36430"/>
                                      <a:pt x="693285" y="-45537"/>
                                      <a:pt x="740340" y="36430"/>
                                    </a:cubicBezTo>
                                    <a:close/>
                                  </a:path>
                                </a:pathLst>
                              </a:custGeom>
                              <a:grpFill/>
                              <a:ln w="19050" cap="flat">
                                <a:solidFill>
                                  <a:srgbClr val="FCFC30"/>
                                </a:solidFill>
                                <a:prstDash val="solid"/>
                                <a:miter/>
                              </a:ln>
                            </wps:spPr>
                            <wps:bodyPr rtlCol="0" anchor="ctr"/>
                          </wps:wsp>
                          <wps:wsp>
                            <wps:cNvPr id="672938930" name="Forma Livre: Forma 672938930">
                              <a:extLst>
                                <a:ext uri="{FF2B5EF4-FFF2-40B4-BE49-F238E27FC236}">
                                  <a16:creationId xmlns:a16="http://schemas.microsoft.com/office/drawing/2014/main" id="{AB61CD59-1089-40D0-A56E-2CF3DD952DDC}"/>
                                </a:ext>
                              </a:extLst>
                            </wps:cNvPr>
                            <wps:cNvSpPr/>
                            <wps:spPr>
                              <a:xfrm>
                                <a:off x="4737965" y="5172399"/>
                                <a:ext cx="103217" cy="576802"/>
                              </a:xfrm>
                              <a:custGeom>
                                <a:avLst/>
                                <a:gdLst>
                                  <a:gd name="connsiteX0" fmla="*/ 0 w 103217"/>
                                  <a:gd name="connsiteY0" fmla="*/ 0 h 576802"/>
                                  <a:gd name="connsiteX1" fmla="*/ 103217 w 103217"/>
                                  <a:gd name="connsiteY1" fmla="*/ 0 h 576802"/>
                                  <a:gd name="connsiteX2" fmla="*/ 103217 w 103217"/>
                                  <a:gd name="connsiteY2" fmla="*/ 576802 h 576802"/>
                                  <a:gd name="connsiteX3" fmla="*/ 0 w 103217"/>
                                  <a:gd name="connsiteY3" fmla="*/ 576802 h 576802"/>
                                </a:gdLst>
                                <a:ahLst/>
                                <a:cxnLst>
                                  <a:cxn ang="0">
                                    <a:pos x="connsiteX0" y="connsiteY0"/>
                                  </a:cxn>
                                  <a:cxn ang="0">
                                    <a:pos x="connsiteX1" y="connsiteY1"/>
                                  </a:cxn>
                                  <a:cxn ang="0">
                                    <a:pos x="connsiteX2" y="connsiteY2"/>
                                  </a:cxn>
                                  <a:cxn ang="0">
                                    <a:pos x="connsiteX3" y="connsiteY3"/>
                                  </a:cxn>
                                </a:cxnLst>
                                <a:rect l="l" t="t" r="r" b="b"/>
                                <a:pathLst>
                                  <a:path w="103217" h="576802">
                                    <a:moveTo>
                                      <a:pt x="0" y="0"/>
                                    </a:moveTo>
                                    <a:lnTo>
                                      <a:pt x="103217" y="0"/>
                                    </a:lnTo>
                                    <a:lnTo>
                                      <a:pt x="103217" y="576802"/>
                                    </a:lnTo>
                                    <a:lnTo>
                                      <a:pt x="0" y="576802"/>
                                    </a:lnTo>
                                    <a:close/>
                                  </a:path>
                                </a:pathLst>
                              </a:custGeom>
                              <a:grpFill/>
                              <a:ln w="19050" cap="flat">
                                <a:solidFill>
                                  <a:srgbClr val="FCFC30"/>
                                </a:solidFill>
                                <a:prstDash val="solid"/>
                                <a:miter/>
                              </a:ln>
                            </wps:spPr>
                            <wps:bodyPr rtlCol="0" anchor="ctr"/>
                          </wps:wsp>
                          <wps:wsp>
                            <wps:cNvPr id="1216881204" name="Forma Livre: Forma 1216881204">
                              <a:extLst>
                                <a:ext uri="{FF2B5EF4-FFF2-40B4-BE49-F238E27FC236}">
                                  <a16:creationId xmlns:a16="http://schemas.microsoft.com/office/drawing/2014/main" id="{25584F38-8752-4FF7-ACFF-5215B376EF2F}"/>
                                </a:ext>
                              </a:extLst>
                            </wps:cNvPr>
                            <wps:cNvSpPr/>
                            <wps:spPr>
                              <a:xfrm>
                                <a:off x="4703054" y="5808399"/>
                                <a:ext cx="166969" cy="166969"/>
                              </a:xfrm>
                              <a:custGeom>
                                <a:avLst/>
                                <a:gdLst>
                                  <a:gd name="connsiteX0" fmla="*/ 166969 w 166969"/>
                                  <a:gd name="connsiteY0" fmla="*/ 83485 h 166969"/>
                                  <a:gd name="connsiteX1" fmla="*/ 83484 w 166969"/>
                                  <a:gd name="connsiteY1" fmla="*/ 166969 h 166969"/>
                                  <a:gd name="connsiteX2" fmla="*/ 0 w 166969"/>
                                  <a:gd name="connsiteY2" fmla="*/ 83485 h 166969"/>
                                  <a:gd name="connsiteX3" fmla="*/ 83484 w 166969"/>
                                  <a:gd name="connsiteY3" fmla="*/ 0 h 166969"/>
                                  <a:gd name="connsiteX4" fmla="*/ 166969 w 166969"/>
                                  <a:gd name="connsiteY4" fmla="*/ 83485 h 166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6969" h="166969">
                                    <a:moveTo>
                                      <a:pt x="166969" y="83485"/>
                                    </a:moveTo>
                                    <a:cubicBezTo>
                                      <a:pt x="166969" y="129592"/>
                                      <a:pt x="129592" y="166969"/>
                                      <a:pt x="83484" y="166969"/>
                                    </a:cubicBezTo>
                                    <a:cubicBezTo>
                                      <a:pt x="37377" y="166969"/>
                                      <a:pt x="0" y="129592"/>
                                      <a:pt x="0" y="83485"/>
                                    </a:cubicBezTo>
                                    <a:cubicBezTo>
                                      <a:pt x="0" y="37377"/>
                                      <a:pt x="37377" y="0"/>
                                      <a:pt x="83484" y="0"/>
                                    </a:cubicBezTo>
                                    <a:cubicBezTo>
                                      <a:pt x="129592" y="0"/>
                                      <a:pt x="166969" y="37377"/>
                                      <a:pt x="166969" y="83485"/>
                                    </a:cubicBezTo>
                                    <a:close/>
                                  </a:path>
                                </a:pathLst>
                              </a:custGeom>
                              <a:grpFill/>
                              <a:ln w="19050" cap="flat">
                                <a:solidFill>
                                  <a:srgbClr val="FCFC30"/>
                                </a:solidFill>
                                <a:prstDash val="solid"/>
                                <a:miter/>
                              </a:ln>
                            </wps:spPr>
                            <wps:bodyPr rtlCol="0" anchor="ctr"/>
                          </wps:wsp>
                        </wpg:wgp>
                      </a:graphicData>
                    </a:graphic>
                  </wp:anchor>
                </w:drawing>
              </mc:Choice>
              <mc:Fallback xmlns:w16du="http://schemas.microsoft.com/office/word/2023/wordml/word16du" xmlns:arto="http://schemas.microsoft.com/office/word/2006/arto">
                <w:pict>
                  <v:group w14:anchorId="437CE512" id="Gráfico 12" o:spid="_x0000_s1026" style="position:absolute;margin-left:301.95pt;margin-top:328.4pt;width:96.8pt;height:86.2pt;z-index:251674624" coordorigin="40902,48673" coordsize="13894,1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">
                    <v:shape id="Forma Livre: Forma 1976857021" o:spid="_x0000_s1027" style="position:absolute;left:40902;top:48673;width:13894;height:12370;visibility:visible;mso-wrap-style:square;v-text-anchor:middle" coordsize="1389444,12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" path="m740340,36430r632964,1112620c1373304,1149050,1426431,1237089,1339911,1237089v-86521,,-1300841,-6072,-1300841,-6072c39070,1231017,-29235,1237089,14784,1159676,58803,1082263,656856,36430,656856,36430v,,36429,-81967,83484,xe" filled="f" strokecolor="#fcfc30" strokeweight="1.5pt">
                      <v:stroke joinstyle="miter"/>
                      <v:path arrowok="t" o:connecttype="custom" o:connectlocs="740340,36430;1373304,1149050;1339911,1237089;39070,1231017;14784,1159676;656856,36430;740340,36430" o:connectangles="0,0,0,0,0,0,0"/>
                    </v:shape>
                    <v:shape id="Forma Livre: Forma 672938930" o:spid="_x0000_s1028" style="position:absolute;left:47379;top:51723;width:1032;height:5769;visibility:visible;mso-wrap-style:square;v-text-anchor:middle" coordsize="103217,57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" path="m,l103217,r,576802l,576802,,xe" filled="f" strokecolor="#fcfc30" strokeweight="1.5pt">
                      <v:stroke joinstyle="miter"/>
                      <v:path arrowok="t" o:connecttype="custom" o:connectlocs="0,0;103217,0;103217,576802;0,576802" o:connectangles="0,0,0,0"/>
                    </v:shape>
                    <v:shape id="Forma Livre: Forma 1216881204" o:spid="_x0000_s1029" style="position:absolute;left:47030;top:58083;width:1670;height:1670;visibility:visible;mso-wrap-style:square;v-text-anchor:middle" coordsize="166969,16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" path="m166969,83485v,46107,-37377,83484,-83485,83484c37377,166969,,129592,,83485,,37377,37377,,83484,v46108,,83485,37377,83485,83485xe" filled="f" strokecolor="#fcfc30" strokeweight="1.5pt">
                      <v:stroke joinstyle="miter"/>
                      <v:path arrowok="t" o:connecttype="custom" o:connectlocs="166969,83485;83484,166969;0,83485;83484,0;166969,83485" o:connectangles="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50" behindDoc="0" locked="0" layoutInCell="1" allowOverlap="1" wp14:anchorId="25D2E776" wp14:editId="5EA5E51C">
                    <wp:simplePos x="0" y="0"/>
                    <wp:positionH relativeFrom="column">
                      <wp:posOffset>3834765</wp:posOffset>
                    </wp:positionH>
                    <wp:positionV relativeFrom="paragraph">
                      <wp:posOffset>3735705</wp:posOffset>
                    </wp:positionV>
                    <wp:extent cx="1256030" cy="2000250"/>
                    <wp:effectExtent l="0" t="0" r="1270" b="0"/>
                    <wp:wrapNone/>
                    <wp:docPr id="80" name="Retângulo 80">
                      <a:extLst xmlns:a="http://schemas.openxmlformats.org/drawingml/2006/main">
                        <a:ext uri="{FF2B5EF4-FFF2-40B4-BE49-F238E27FC236}">
                          <a16:creationId xmlns:a16="http://schemas.microsoft.com/office/drawing/2014/main" id="{D19B4727-3085-41EE-8702-7C327518392E}"/>
                        </a:ext>
                      </a:extLst>
                    </wp:docPr>
                    <wp:cNvGraphicFramePr/>
                    <a:graphic xmlns:a="http://schemas.openxmlformats.org/drawingml/2006/main">
                      <a:graphicData uri="http://schemas.microsoft.com/office/word/2010/wordprocessingShape">
                        <wps:wsp>
                          <wps:cNvSpPr/>
                          <wps:spPr>
                            <a:xfrm>
                              <a:off x="0" y="0"/>
                              <a:ext cx="1256030" cy="200025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rect w14:anchorId="18D0596E" id="Retângulo 79" o:spid="_x0000_s1026" style="position:absolute;margin-left:301.95pt;margin-top:294.15pt;width:98.9pt;height:15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g">
                <w:drawing>
                  <wp:anchor distT="0" distB="0" distL="114300" distR="114300" simplePos="0" relativeHeight="251658257" behindDoc="0" locked="0" layoutInCell="1" allowOverlap="1" wp14:anchorId="1EDA5B16" wp14:editId="123A38E8">
                    <wp:simplePos x="0" y="0"/>
                    <wp:positionH relativeFrom="column">
                      <wp:posOffset>5391785</wp:posOffset>
                    </wp:positionH>
                    <wp:positionV relativeFrom="paragraph">
                      <wp:posOffset>1504315</wp:posOffset>
                    </wp:positionV>
                    <wp:extent cx="907415" cy="1165860"/>
                    <wp:effectExtent l="0" t="0" r="26035" b="15240"/>
                    <wp:wrapNone/>
                    <wp:docPr id="1766397313" name="Agrupar 1766397313"/>
                    <wp:cNvGraphicFramePr/>
                    <a:graphic xmlns:a="http://schemas.openxmlformats.org/drawingml/2006/main">
                      <a:graphicData uri="http://schemas.microsoft.com/office/word/2010/wordprocessingGroup">
                        <wpg:wgp>
                          <wpg:cNvGrpSpPr/>
                          <wpg:grpSpPr>
                            <a:xfrm>
                              <a:off x="0" y="0"/>
                              <a:ext cx="907415" cy="1165860"/>
                              <a:chOff x="5647350" y="2201413"/>
                              <a:chExt cx="685800" cy="881062"/>
                            </a:xfrm>
                            <a:solidFill>
                              <a:srgbClr val="002D4B"/>
                            </a:solidFill>
                          </wpg:grpSpPr>
                          <wps:wsp>
                            <wps:cNvPr id="1797503698" name="Forma Livre: Forma 1797503698"/>
                            <wps:cNvSpPr/>
                            <wps:spPr>
                              <a:xfrm>
                                <a:off x="5647350" y="2201413"/>
                                <a:ext cx="685800" cy="881062"/>
                              </a:xfrm>
                              <a:custGeom>
                                <a:avLst/>
                                <a:gdLst>
                                  <a:gd name="connsiteX0" fmla="*/ 594360 w 685800"/>
                                  <a:gd name="connsiteY0" fmla="*/ 401955 h 881062"/>
                                  <a:gd name="connsiteX1" fmla="*/ 595313 w 685800"/>
                                  <a:gd name="connsiteY1" fmla="*/ 197168 h 881062"/>
                                  <a:gd name="connsiteX2" fmla="*/ 595313 w 685800"/>
                                  <a:gd name="connsiteY2" fmla="*/ 195263 h 881062"/>
                                  <a:gd name="connsiteX3" fmla="*/ 595313 w 685800"/>
                                  <a:gd name="connsiteY3" fmla="*/ 194310 h 881062"/>
                                  <a:gd name="connsiteX4" fmla="*/ 595313 w 685800"/>
                                  <a:gd name="connsiteY4" fmla="*/ 180023 h 881062"/>
                                  <a:gd name="connsiteX5" fmla="*/ 595313 w 685800"/>
                                  <a:gd name="connsiteY5" fmla="*/ 180023 h 881062"/>
                                  <a:gd name="connsiteX6" fmla="*/ 342900 w 685800"/>
                                  <a:gd name="connsiteY6" fmla="*/ 0 h 881062"/>
                                  <a:gd name="connsiteX7" fmla="*/ 90488 w 685800"/>
                                  <a:gd name="connsiteY7" fmla="*/ 180023 h 881062"/>
                                  <a:gd name="connsiteX8" fmla="*/ 89535 w 685800"/>
                                  <a:gd name="connsiteY8" fmla="*/ 180023 h 881062"/>
                                  <a:gd name="connsiteX9" fmla="*/ 89535 w 685800"/>
                                  <a:gd name="connsiteY9" fmla="*/ 402908 h 881062"/>
                                  <a:gd name="connsiteX10" fmla="*/ 0 w 685800"/>
                                  <a:gd name="connsiteY10" fmla="*/ 402908 h 881062"/>
                                  <a:gd name="connsiteX11" fmla="*/ 0 w 685800"/>
                                  <a:gd name="connsiteY11" fmla="*/ 881063 h 881062"/>
                                  <a:gd name="connsiteX12" fmla="*/ 685800 w 685800"/>
                                  <a:gd name="connsiteY12" fmla="*/ 881063 h 881062"/>
                                  <a:gd name="connsiteX13" fmla="*/ 685800 w 685800"/>
                                  <a:gd name="connsiteY13" fmla="*/ 401955 h 881062"/>
                                  <a:gd name="connsiteX14" fmla="*/ 594360 w 685800"/>
                                  <a:gd name="connsiteY14" fmla="*/ 401955 h 8810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85800" h="881062">
                                    <a:moveTo>
                                      <a:pt x="594360" y="401955"/>
                                    </a:moveTo>
                                    <a:lnTo>
                                      <a:pt x="595313" y="197168"/>
                                    </a:lnTo>
                                    <a:cubicBezTo>
                                      <a:pt x="595313" y="196215"/>
                                      <a:pt x="595313" y="196215"/>
                                      <a:pt x="595313" y="195263"/>
                                    </a:cubicBezTo>
                                    <a:cubicBezTo>
                                      <a:pt x="595313" y="195263"/>
                                      <a:pt x="595313" y="194310"/>
                                      <a:pt x="595313" y="194310"/>
                                    </a:cubicBezTo>
                                    <a:lnTo>
                                      <a:pt x="595313" y="180023"/>
                                    </a:lnTo>
                                    <a:lnTo>
                                      <a:pt x="595313" y="180023"/>
                                    </a:lnTo>
                                    <a:cubicBezTo>
                                      <a:pt x="584835" y="79058"/>
                                      <a:pt x="476250" y="0"/>
                                      <a:pt x="342900" y="0"/>
                                    </a:cubicBezTo>
                                    <a:cubicBezTo>
                                      <a:pt x="209550" y="0"/>
                                      <a:pt x="100965" y="79058"/>
                                      <a:pt x="90488" y="180023"/>
                                    </a:cubicBezTo>
                                    <a:lnTo>
                                      <a:pt x="89535" y="180023"/>
                                    </a:lnTo>
                                    <a:lnTo>
                                      <a:pt x="89535" y="402908"/>
                                    </a:lnTo>
                                    <a:lnTo>
                                      <a:pt x="0" y="402908"/>
                                    </a:lnTo>
                                    <a:lnTo>
                                      <a:pt x="0" y="881063"/>
                                    </a:lnTo>
                                    <a:lnTo>
                                      <a:pt x="685800" y="881063"/>
                                    </a:lnTo>
                                    <a:lnTo>
                                      <a:pt x="685800" y="401955"/>
                                    </a:lnTo>
                                    <a:lnTo>
                                      <a:pt x="594360" y="401955"/>
                                    </a:lnTo>
                                    <a:close/>
                                  </a:path>
                                </a:pathLst>
                              </a:custGeom>
                              <a:grpFill/>
                              <a:ln w="19050" cap="flat">
                                <a:solidFill>
                                  <a:schemeClr val="bg1"/>
                                </a:solidFill>
                                <a:prstDash val="solid"/>
                                <a:miter/>
                              </a:ln>
                            </wps:spPr>
                            <wps:bodyPr rtlCol="0" anchor="ctr"/>
                          </wps:wsp>
                          <wps:wsp>
                            <wps:cNvPr id="421144735" name="Forma Livre: Forma 421144735"/>
                            <wps:cNvSpPr/>
                            <wps:spPr>
                              <a:xfrm>
                                <a:off x="5814990" y="2263325"/>
                                <a:ext cx="361949" cy="340042"/>
                              </a:xfrm>
                              <a:custGeom>
                                <a:avLst/>
                                <a:gdLst>
                                  <a:gd name="connsiteX0" fmla="*/ 361950 w 361949"/>
                                  <a:gd name="connsiteY0" fmla="*/ 131445 h 340042"/>
                                  <a:gd name="connsiteX1" fmla="*/ 180975 w 361949"/>
                                  <a:gd name="connsiteY1" fmla="*/ 0 h 340042"/>
                                  <a:gd name="connsiteX2" fmla="*/ 0 w 361949"/>
                                  <a:gd name="connsiteY2" fmla="*/ 131445 h 340042"/>
                                  <a:gd name="connsiteX3" fmla="*/ 0 w 361949"/>
                                  <a:gd name="connsiteY3" fmla="*/ 132398 h 340042"/>
                                  <a:gd name="connsiteX4" fmla="*/ 0 w 361949"/>
                                  <a:gd name="connsiteY4" fmla="*/ 132398 h 340042"/>
                                  <a:gd name="connsiteX5" fmla="*/ 0 w 361949"/>
                                  <a:gd name="connsiteY5" fmla="*/ 340043 h 340042"/>
                                  <a:gd name="connsiteX6" fmla="*/ 360045 w 361949"/>
                                  <a:gd name="connsiteY6" fmla="*/ 340043 h 340042"/>
                                  <a:gd name="connsiteX7" fmla="*/ 360045 w 361949"/>
                                  <a:gd name="connsiteY7" fmla="*/ 146685 h 340042"/>
                                  <a:gd name="connsiteX8" fmla="*/ 361950 w 361949"/>
                                  <a:gd name="connsiteY8" fmla="*/ 131445 h 3400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61949" h="340042">
                                    <a:moveTo>
                                      <a:pt x="361950" y="131445"/>
                                    </a:moveTo>
                                    <a:cubicBezTo>
                                      <a:pt x="361950" y="59055"/>
                                      <a:pt x="280987" y="0"/>
                                      <a:pt x="180975" y="0"/>
                                    </a:cubicBezTo>
                                    <a:cubicBezTo>
                                      <a:pt x="80963" y="0"/>
                                      <a:pt x="0" y="59055"/>
                                      <a:pt x="0" y="131445"/>
                                    </a:cubicBezTo>
                                    <a:cubicBezTo>
                                      <a:pt x="0" y="131445"/>
                                      <a:pt x="0" y="132398"/>
                                      <a:pt x="0" y="132398"/>
                                    </a:cubicBezTo>
                                    <a:lnTo>
                                      <a:pt x="0" y="132398"/>
                                    </a:lnTo>
                                    <a:lnTo>
                                      <a:pt x="0" y="340043"/>
                                    </a:lnTo>
                                    <a:lnTo>
                                      <a:pt x="360045" y="340043"/>
                                    </a:lnTo>
                                    <a:lnTo>
                                      <a:pt x="360045" y="146685"/>
                                    </a:lnTo>
                                    <a:cubicBezTo>
                                      <a:pt x="360998" y="140970"/>
                                      <a:pt x="361950" y="136208"/>
                                      <a:pt x="361950" y="131445"/>
                                    </a:cubicBezTo>
                                    <a:close/>
                                  </a:path>
                                </a:pathLst>
                              </a:custGeom>
                              <a:grpFill/>
                              <a:ln w="19050" cap="flat">
                                <a:solidFill>
                                  <a:schemeClr val="bg1"/>
                                </a:solidFill>
                                <a:prstDash val="solid"/>
                                <a:miter/>
                              </a:ln>
                            </wps:spPr>
                            <wps:bodyPr rtlCol="0" anchor="ctr"/>
                          </wps:wsp>
                          <wps:wsp>
                            <wps:cNvPr id="286054556" name="Forma Livre: Forma 286054556"/>
                            <wps:cNvSpPr/>
                            <wps:spPr>
                              <a:xfrm>
                                <a:off x="5927385" y="2770055"/>
                                <a:ext cx="137159" cy="207644"/>
                              </a:xfrm>
                              <a:custGeom>
                                <a:avLst/>
                                <a:gdLst>
                                  <a:gd name="connsiteX0" fmla="*/ 137160 w 137159"/>
                                  <a:gd name="connsiteY0" fmla="*/ 68580 h 207644"/>
                                  <a:gd name="connsiteX1" fmla="*/ 68580 w 137159"/>
                                  <a:gd name="connsiteY1" fmla="*/ 0 h 207644"/>
                                  <a:gd name="connsiteX2" fmla="*/ 0 w 137159"/>
                                  <a:gd name="connsiteY2" fmla="*/ 68580 h 207644"/>
                                  <a:gd name="connsiteX3" fmla="*/ 42863 w 137159"/>
                                  <a:gd name="connsiteY3" fmla="*/ 132397 h 207644"/>
                                  <a:gd name="connsiteX4" fmla="*/ 44767 w 137159"/>
                                  <a:gd name="connsiteY4" fmla="*/ 133350 h 207644"/>
                                  <a:gd name="connsiteX5" fmla="*/ 44767 w 137159"/>
                                  <a:gd name="connsiteY5" fmla="*/ 207645 h 207644"/>
                                  <a:gd name="connsiteX6" fmla="*/ 99060 w 137159"/>
                                  <a:gd name="connsiteY6" fmla="*/ 207645 h 207644"/>
                                  <a:gd name="connsiteX7" fmla="*/ 99060 w 137159"/>
                                  <a:gd name="connsiteY7" fmla="*/ 131445 h 207644"/>
                                  <a:gd name="connsiteX8" fmla="*/ 137160 w 137159"/>
                                  <a:gd name="connsiteY8" fmla="*/ 68580 h 2076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7159" h="207644">
                                    <a:moveTo>
                                      <a:pt x="137160" y="68580"/>
                                    </a:moveTo>
                                    <a:cubicBezTo>
                                      <a:pt x="137160" y="30480"/>
                                      <a:pt x="106680" y="0"/>
                                      <a:pt x="68580" y="0"/>
                                    </a:cubicBezTo>
                                    <a:cubicBezTo>
                                      <a:pt x="30480" y="0"/>
                                      <a:pt x="0" y="30480"/>
                                      <a:pt x="0" y="68580"/>
                                    </a:cubicBezTo>
                                    <a:cubicBezTo>
                                      <a:pt x="0" y="97155"/>
                                      <a:pt x="17145" y="121920"/>
                                      <a:pt x="42863" y="132397"/>
                                    </a:cubicBezTo>
                                    <a:cubicBezTo>
                                      <a:pt x="43815" y="132397"/>
                                      <a:pt x="43815" y="132397"/>
                                      <a:pt x="44767" y="133350"/>
                                    </a:cubicBezTo>
                                    <a:lnTo>
                                      <a:pt x="44767" y="207645"/>
                                    </a:lnTo>
                                    <a:lnTo>
                                      <a:pt x="99060" y="207645"/>
                                    </a:lnTo>
                                    <a:lnTo>
                                      <a:pt x="99060" y="131445"/>
                                    </a:lnTo>
                                    <a:cubicBezTo>
                                      <a:pt x="120967" y="120015"/>
                                      <a:pt x="137160" y="96203"/>
                                      <a:pt x="137160" y="68580"/>
                                    </a:cubicBezTo>
                                    <a:close/>
                                  </a:path>
                                </a:pathLst>
                              </a:custGeom>
                              <a:grpFill/>
                              <a:ln w="19050" cap="flat">
                                <a:solidFill>
                                  <a:schemeClr val="bg1"/>
                                </a:solidFill>
                                <a:prstDash val="solid"/>
                                <a:miter/>
                              </a:ln>
                            </wps:spPr>
                            <wps:bodyPr rtlCol="0" anchor="ctr"/>
                          </wps:wsp>
                        </wpg:wgp>
                      </a:graphicData>
                    </a:graphic>
                  </wp:anchor>
                </w:drawing>
              </mc:Choice>
              <mc:Fallback xmlns:w16du="http://schemas.microsoft.com/office/word/2023/wordml/word16du" xmlns:arto="http://schemas.microsoft.com/office/word/2006/arto">
                <w:pict>
                  <v:group w14:anchorId="282D4056" id="Gráfico 23" o:spid="_x0000_s1026" style="position:absolute;margin-left:424.55pt;margin-top:118.45pt;width:71.45pt;height:91.8pt;z-index:251672576" coordorigin="56473,22014" coordsize="6858,8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">
                    <v:shape id="Forma Livre: Forma 1797503698" o:spid="_x0000_s1027" style="position:absolute;left:56473;top:22014;width:6858;height:8810;visibility:visible;mso-wrap-style:square;v-text-anchor:middle" coordsize="685800,881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" path="m594360,401955r953,-204787c595313,196215,595313,196215,595313,195263v,,,-953,,-953l595313,180023r,c584835,79058,476250,,342900,,209550,,100965,79058,90488,180023r-953,l89535,402908,,402908,,881063r685800,l685800,401955r-91440,xe" filled="f" strokecolor="white [3212]" strokeweight="1.5pt">
                      <v:stroke joinstyle="miter"/>
                      <v:path arrowok="t" o:connecttype="custom" o:connectlocs="594360,401955;595313,197168;595313,195263;595313,194310;595313,180023;595313,180023;342900,0;90488,180023;89535,180023;89535,402908;0,402908;0,881063;685800,881063;685800,401955;594360,401955" o:connectangles="0,0,0,0,0,0,0,0,0,0,0,0,0,0,0"/>
                    </v:shape>
                    <v:shape id="Forma Livre: Forma 421144735" o:spid="_x0000_s1028" style="position:absolute;left:58149;top:22633;width:3620;height:3400;visibility:visible;mso-wrap-style:square;v-text-anchor:middle" coordsize="361949,340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" path="m361950,131445c361950,59055,280987,,180975,,80963,,,59055,,131445v,,,953,,953l,132398,,340043r360045,l360045,146685v953,-5715,1905,-10477,1905,-15240xe" filled="f" strokecolor="white [3212]" strokeweight="1.5pt">
                      <v:stroke joinstyle="miter"/>
                      <v:path arrowok="t" o:connecttype="custom" o:connectlocs="361950,131445;180975,0;0,131445;0,132398;0,132398;0,340043;360045,340043;360045,146685;361950,131445" o:connectangles="0,0,0,0,0,0,0,0,0"/>
                    </v:shape>
                    <v:shape id="Forma Livre: Forma 286054556" o:spid="_x0000_s1029" style="position:absolute;left:59273;top:27700;width:1372;height:2076;visibility:visible;mso-wrap-style:square;v-text-anchor:middle" coordsize="137159,207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" path="m137160,68580c137160,30480,106680,,68580,,30480,,,30480,,68580v,28575,17145,53340,42863,63817c43815,132397,43815,132397,44767,133350r,74295l99060,207645r,-76200c120967,120015,137160,96203,137160,68580xe" filled="f" strokecolor="white [3212]" strokeweight="1.5pt">
                      <v:stroke joinstyle="miter"/>
                      <v:path arrowok="t" o:connecttype="custom" o:connectlocs="137160,68580;68580,0;0,68580;42863,132397;44767,133350;44767,207645;99060,207645;99060,131445;137160,68580" o:connectangles="0,0,0,0,0,0,0,0,0"/>
                    </v:shape>
                  </v:group>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9" behindDoc="0" locked="0" layoutInCell="1" allowOverlap="1" wp14:anchorId="421BC7F0" wp14:editId="15199A1E">
                    <wp:simplePos x="0" y="0"/>
                    <wp:positionH relativeFrom="column">
                      <wp:posOffset>5023485</wp:posOffset>
                    </wp:positionH>
                    <wp:positionV relativeFrom="paragraph">
                      <wp:posOffset>1726565</wp:posOffset>
                    </wp:positionV>
                    <wp:extent cx="1672590" cy="1176020"/>
                    <wp:effectExtent l="0" t="0" r="3810" b="5080"/>
                    <wp:wrapNone/>
                    <wp:docPr id="79" name="Retângulo 79">
                      <a:extLst xmlns:a="http://schemas.openxmlformats.org/drawingml/2006/main">
                        <a:ext uri="{FF2B5EF4-FFF2-40B4-BE49-F238E27FC236}">
                          <a16:creationId xmlns:a16="http://schemas.microsoft.com/office/drawing/2014/main" id="{1DBFE860-D5B3-450D-A122-E11289371AC6}"/>
                        </a:ext>
                      </a:extLst>
                    </wp:docPr>
                    <wp:cNvGraphicFramePr/>
                    <a:graphic xmlns:a="http://schemas.openxmlformats.org/drawingml/2006/main">
                      <a:graphicData uri="http://schemas.microsoft.com/office/word/2010/wordprocessingShape">
                        <wps:wsp>
                          <wps:cNvSpPr/>
                          <wps:spPr>
                            <a:xfrm>
                              <a:off x="0" y="0"/>
                              <a:ext cx="1672590" cy="117602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rect w14:anchorId="03AE4385" id="Retângulo 78" o:spid="_x0000_s1026" style="position:absolute;margin-left:395.55pt;margin-top:135.95pt;width:131.7pt;height:92.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8" behindDoc="0" locked="0" layoutInCell="1" allowOverlap="1" wp14:anchorId="3183F830" wp14:editId="784BF597">
                    <wp:simplePos x="0" y="0"/>
                    <wp:positionH relativeFrom="column">
                      <wp:posOffset>3630295</wp:posOffset>
                    </wp:positionH>
                    <wp:positionV relativeFrom="paragraph">
                      <wp:posOffset>737235</wp:posOffset>
                    </wp:positionV>
                    <wp:extent cx="1491615" cy="1118870"/>
                    <wp:effectExtent l="0" t="0" r="0" b="5080"/>
                    <wp:wrapNone/>
                    <wp:docPr id="78" name="Retângulo 78">
                      <a:extLst xmlns:a="http://schemas.openxmlformats.org/drawingml/2006/main">
                        <a:ext uri="{FF2B5EF4-FFF2-40B4-BE49-F238E27FC236}">
                          <a16:creationId xmlns:a16="http://schemas.microsoft.com/office/drawing/2014/main" id="{E912DA97-B749-4CD3-8E1A-8A412FF0475D}"/>
                        </a:ext>
                      </a:extLst>
                    </wp:docPr>
                    <wp:cNvGraphicFramePr/>
                    <a:graphic xmlns:a="http://schemas.openxmlformats.org/drawingml/2006/main">
                      <a:graphicData uri="http://schemas.microsoft.com/office/word/2010/wordprocessingShape">
                        <wps:wsp>
                          <wps:cNvSpPr/>
                          <wps:spPr>
                            <a:xfrm>
                              <a:off x="0" y="0"/>
                              <a:ext cx="1491615" cy="1118870"/>
                            </a:xfrm>
                            <a:prstGeom prst="rect">
                              <a:avLst/>
                            </a:prstGeom>
                            <a:solidFill>
                              <a:srgbClr val="002D4B"/>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rect w14:anchorId="4F894188" id="Retângulo 77" o:spid="_x0000_s1026" style="position:absolute;margin-left:285.85pt;margin-top:58.05pt;width:117.45pt;height:88.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" fillcolor="#002d4b" stroked="f" strokeweight=".5pt"/>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7" behindDoc="0" locked="0" layoutInCell="1" allowOverlap="1" wp14:anchorId="3CDA7691" wp14:editId="60004FAD">
                    <wp:simplePos x="0" y="0"/>
                    <wp:positionH relativeFrom="column">
                      <wp:posOffset>5665470</wp:posOffset>
                    </wp:positionH>
                    <wp:positionV relativeFrom="paragraph">
                      <wp:posOffset>2813050</wp:posOffset>
                    </wp:positionV>
                    <wp:extent cx="4076065" cy="4076065"/>
                    <wp:effectExtent l="0" t="0" r="19685" b="19685"/>
                    <wp:wrapNone/>
                    <wp:docPr id="40" name="Elipse 40">
                      <a:extLst xmlns:a="http://schemas.openxmlformats.org/drawingml/2006/main">
                        <a:ext uri="{FF2B5EF4-FFF2-40B4-BE49-F238E27FC236}">
                          <a16:creationId xmlns:a16="http://schemas.microsoft.com/office/drawing/2014/main" id="{B35C923F-C8A0-47C9-9A51-1C7E882F88A1}"/>
                        </a:ext>
                      </a:extLst>
                    </wp:docPr>
                    <wp:cNvGraphicFramePr/>
                    <a:graphic xmlns:a="http://schemas.openxmlformats.org/drawingml/2006/main">
                      <a:graphicData uri="http://schemas.microsoft.com/office/word/2010/wordprocessingShape">
                        <wps:wsp>
                          <wps:cNvSpPr/>
                          <wps:spPr>
                            <a:xfrm>
                              <a:off x="0" y="0"/>
                              <a:ext cx="4076065" cy="4076065"/>
                            </a:xfrm>
                            <a:prstGeom prst="ellipse">
                              <a:avLst/>
                            </a:prstGeom>
                            <a:noFill/>
                            <a:ln w="19050">
                              <a:solidFill>
                                <a:srgbClr val="FCFC30"/>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oval w14:anchorId="473590ED" id="Elipse 39" o:spid="_x0000_s1026" style="position:absolute;margin-left:446.1pt;margin-top:221.5pt;width:320.95pt;height:320.9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" filled="f" strokecolor="#fcfc30"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5" behindDoc="0" locked="0" layoutInCell="1" allowOverlap="1" wp14:anchorId="4503E9BB" wp14:editId="1D0DCF92">
                    <wp:simplePos x="0" y="0"/>
                    <wp:positionH relativeFrom="column">
                      <wp:posOffset>-255270</wp:posOffset>
                    </wp:positionH>
                    <wp:positionV relativeFrom="paragraph">
                      <wp:posOffset>5232400</wp:posOffset>
                    </wp:positionV>
                    <wp:extent cx="3756660" cy="930910"/>
                    <wp:effectExtent l="0" t="0" r="0" b="9525"/>
                    <wp:wrapNone/>
                    <wp:docPr id="1931845927" name="Caixa de Texto 1931845927"/>
                    <wp:cNvGraphicFramePr/>
                    <a:graphic xmlns:a="http://schemas.openxmlformats.org/drawingml/2006/main">
                      <a:graphicData uri="http://schemas.microsoft.com/office/word/2010/wordprocessingShape">
                        <wps:wsp>
                          <wps:cNvSpPr txBox="1"/>
                          <wps:spPr>
                            <a:xfrm>
                              <a:off x="0" y="0"/>
                              <a:ext cx="3756660" cy="930910"/>
                            </a:xfrm>
                            <a:prstGeom prst="rect">
                              <a:avLst/>
                            </a:prstGeom>
                            <a:solidFill>
                              <a:srgbClr val="002D4B"/>
                            </a:solidFill>
                          </wps:spPr>
                          <wps:txbx>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3639C581"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2023</w:t>
                                </w:r>
                              </w:p>
                            </w:txbxContent>
                          </wps:txbx>
                          <wps:bodyPr wrap="square" rtlCol="0">
                            <a:spAutoFit/>
                          </wps:bodyPr>
                        </wps:wsp>
                      </a:graphicData>
                    </a:graphic>
                  </wp:anchor>
                </w:drawing>
              </mc:Choice>
              <mc:Fallback>
                <w:pict>
                  <v:shape w14:anchorId="4503E9BB" id="Caixa de Texto 1931845927" o:spid="_x0000_s1027" type="#_x0000_t202" style="position:absolute;margin-left:-20.1pt;margin-top:412pt;width:295.8pt;height:73.3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" fillcolor="#002d4b" stroked="f">
                    <v:textbox style="mso-fit-shape-to-text:t">
                      <w:txbxContent>
                        <w:p w14:paraId="7BE1D6D8" w14:textId="77777777" w:rsidR="00E07E97" w:rsidRPr="00E07E97" w:rsidRDefault="00E07E97" w:rsidP="00E07E97">
                          <w:pPr>
                            <w:jc w:val="right"/>
                            <w:rPr>
                              <w:rFonts w:ascii="BancoDoBrasil Textos" w:hAnsi="BancoDoBrasil Textos" w:cs="Arial Black"/>
                              <w:color w:val="FFFFFF" w:themeColor="background1"/>
                              <w:kern w:val="24"/>
                              <w:sz w:val="36"/>
                              <w:szCs w:val="36"/>
                            </w:rPr>
                          </w:pPr>
                          <w:r w:rsidRPr="00E07E97">
                            <w:rPr>
                              <w:rFonts w:ascii="BancoDoBrasil Textos" w:hAnsi="BancoDoBrasil Textos" w:cs="Arial Black"/>
                              <w:color w:val="FFFFFF" w:themeColor="background1"/>
                              <w:kern w:val="24"/>
                              <w:sz w:val="36"/>
                              <w:szCs w:val="36"/>
                            </w:rPr>
                            <w:t>BB Seguridade Participações S.A.</w:t>
                          </w:r>
                        </w:p>
                        <w:p w14:paraId="21FC272A" w14:textId="3639C581" w:rsidR="00E07E97" w:rsidRDefault="00E07E97" w:rsidP="00E07E97">
                          <w:pPr>
                            <w:jc w:val="right"/>
                            <w:rPr>
                              <w:rFonts w:ascii="BancoDoBrasil Textos" w:hAnsi="BancoDoBrasil Textos" w:cs="Arial Black"/>
                              <w:color w:val="FFFFFF" w:themeColor="background1"/>
                              <w:kern w:val="24"/>
                              <w:sz w:val="36"/>
                              <w:szCs w:val="36"/>
                              <w:lang w:val="en-US"/>
                            </w:rPr>
                          </w:pPr>
                          <w:r>
                            <w:rPr>
                              <w:rFonts w:ascii="BancoDoBrasil Textos" w:hAnsi="BancoDoBrasil Textos" w:cs="Arial Black"/>
                              <w:color w:val="FFFFFF" w:themeColor="background1"/>
                              <w:kern w:val="24"/>
                              <w:sz w:val="36"/>
                              <w:szCs w:val="36"/>
                              <w:lang w:val="en-US"/>
                            </w:rPr>
                            <w:t>2023</w:t>
                          </w:r>
                        </w:p>
                      </w:txbxContent>
                    </v:textbox>
                  </v:shape>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4" behindDoc="0" locked="0" layoutInCell="1" allowOverlap="1" wp14:anchorId="0D9E108B" wp14:editId="52B197F2">
                    <wp:simplePos x="0" y="0"/>
                    <wp:positionH relativeFrom="column">
                      <wp:posOffset>2701290</wp:posOffset>
                    </wp:positionH>
                    <wp:positionV relativeFrom="paragraph">
                      <wp:posOffset>175895</wp:posOffset>
                    </wp:positionV>
                    <wp:extent cx="9707880" cy="9707880"/>
                    <wp:effectExtent l="0" t="0" r="26670" b="26670"/>
                    <wp:wrapNone/>
                    <wp:docPr id="30" name="Elipse 30">
                      <a:extLst xmlns:a="http://schemas.openxmlformats.org/drawingml/2006/main">
                        <a:ext uri="{FF2B5EF4-FFF2-40B4-BE49-F238E27FC236}">
                          <a16:creationId xmlns:a16="http://schemas.microsoft.com/office/drawing/2014/main" id="{8AA5BD46-45A6-4E54-B9FB-78B5C2B1EDED}"/>
                        </a:ext>
                      </a:extLst>
                    </wp:docPr>
                    <wp:cNvGraphicFramePr/>
                    <a:graphic xmlns:a="http://schemas.openxmlformats.org/drawingml/2006/main">
                      <a:graphicData uri="http://schemas.microsoft.com/office/word/2010/wordprocessingShape">
                        <wps:wsp>
                          <wps:cNvSpPr/>
                          <wps:spPr>
                            <a:xfrm>
                              <a:off x="0" y="0"/>
                              <a:ext cx="9707880" cy="9707880"/>
                            </a:xfrm>
                            <a:prstGeom prst="ellipse">
                              <a:avLst/>
                            </a:prstGeom>
                            <a:noFill/>
                            <a:ln w="19050">
                              <a:solidFill>
                                <a:schemeClr val="bg1"/>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oval w14:anchorId="34A8A363" id="Elipse 29" o:spid="_x0000_s1026" style="position:absolute;margin-left:212.7pt;margin-top:13.85pt;width:764.4pt;height:764.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" filled="f" strokecolor="white [321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3" behindDoc="0" locked="0" layoutInCell="1" allowOverlap="1" wp14:anchorId="377F7D38" wp14:editId="67E985AD">
                    <wp:simplePos x="0" y="0"/>
                    <wp:positionH relativeFrom="column">
                      <wp:posOffset>4275455</wp:posOffset>
                    </wp:positionH>
                    <wp:positionV relativeFrom="paragraph">
                      <wp:posOffset>1733550</wp:posOffset>
                    </wp:positionV>
                    <wp:extent cx="6559550" cy="6559550"/>
                    <wp:effectExtent l="0" t="0" r="12700" b="12700"/>
                    <wp:wrapNone/>
                    <wp:docPr id="21" name="Elipse 21">
                      <a:extLst xmlns:a="http://schemas.openxmlformats.org/drawingml/2006/main">
                        <a:ext uri="{FF2B5EF4-FFF2-40B4-BE49-F238E27FC236}">
                          <a16:creationId xmlns:a16="http://schemas.microsoft.com/office/drawing/2014/main" id="{73894830-1EB3-49F7-B713-9B899F033FF5}"/>
                        </a:ext>
                      </a:extLst>
                    </wp:docPr>
                    <wp:cNvGraphicFramePr/>
                    <a:graphic xmlns:a="http://schemas.openxmlformats.org/drawingml/2006/main">
                      <a:graphicData uri="http://schemas.microsoft.com/office/word/2010/wordprocessingShape">
                        <wps:wsp>
                          <wps:cNvSpPr/>
                          <wps:spPr>
                            <a:xfrm>
                              <a:off x="0" y="0"/>
                              <a:ext cx="6559550" cy="6559550"/>
                            </a:xfrm>
                            <a:prstGeom prst="ellipse">
                              <a:avLst/>
                            </a:prstGeom>
                            <a:noFill/>
                            <a:ln w="19050">
                              <a:solidFill>
                                <a:srgbClr val="B4AFD2"/>
                              </a:solidFill>
                            </a:ln>
                            <a:effectLst/>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du="http://schemas.microsoft.com/office/word/2023/wordml/word16du" xmlns:arto="http://schemas.microsoft.com/office/word/2006/arto">
                <w:pict>
                  <v:oval w14:anchorId="72A9151D" id="Elipse 20" o:spid="_x0000_s1026" style="position:absolute;margin-left:336.65pt;margin-top:136.5pt;width:516.5pt;height:51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" filled="f" strokecolor="#b4afd2" strokeweight="1.5pt">
                    <v:stroke joinstyle="miter"/>
                  </v:oval>
                </w:pict>
              </mc:Fallback>
            </mc:AlternateContent>
          </w:r>
          <w:r w:rsidR="00E07E97" w:rsidRPr="00E07E97">
            <w:rPr>
              <w:rFonts w:ascii="Arial" w:hAnsi="Arial" w:cs="Arial"/>
              <w:b/>
              <w:noProof/>
              <w:color w:val="1F3864" w:themeColor="accent1" w:themeShade="80"/>
              <w:sz w:val="20"/>
              <w:szCs w:val="20"/>
              <w:lang w:eastAsia="pt-BR"/>
            </w:rPr>
            <mc:AlternateContent>
              <mc:Choice Requires="wps">
                <w:drawing>
                  <wp:anchor distT="0" distB="0" distL="114300" distR="114300" simplePos="0" relativeHeight="251658242" behindDoc="0" locked="0" layoutInCell="1" allowOverlap="1" wp14:anchorId="5A21CCC6" wp14:editId="208C77AB">
                    <wp:simplePos x="0" y="0"/>
                    <wp:positionH relativeFrom="column">
                      <wp:posOffset>1973471</wp:posOffset>
                    </wp:positionH>
                    <wp:positionV relativeFrom="paragraph">
                      <wp:posOffset>5536565</wp:posOffset>
                    </wp:positionV>
                    <wp:extent cx="184150" cy="417195"/>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184150" cy="417195"/>
                            </a:xfrm>
                            <a:prstGeom prst="rect">
                              <a:avLst/>
                            </a:prstGeom>
                            <a:noFill/>
                          </wps:spPr>
                          <wps:bodyPr wrap="none" rtlCol="0">
                            <a:spAutoFit/>
                          </wps:bodyPr>
                        </wps:wsp>
                      </a:graphicData>
                    </a:graphic>
                  </wp:anchor>
                </w:drawing>
              </mc:Choice>
              <mc:Fallback xmlns:w16du="http://schemas.microsoft.com/office/word/2023/wordml/word16du" xmlns:arto="http://schemas.microsoft.com/office/word/2006/arto">
                <w:pict>
                  <v:shape w14:anchorId="5F11EB5C" id="TextBox 13" o:spid="_x0000_s1026" type="#_x0000_t202" style="position:absolute;margin-left:155.4pt;margin-top:435.95pt;width:14.5pt;height:32.85pt;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" filled="f" stroked="f">
                    <v:textbox style="mso-fit-shape-to-text:t"/>
                  </v:shape>
                </w:pict>
              </mc:Fallback>
            </mc:AlternateContent>
          </w:r>
          <w:r w:rsidR="00734925">
            <w:rPr>
              <w:rFonts w:ascii="Arial" w:hAnsi="Arial" w:cs="Arial"/>
              <w:b/>
              <w:color w:val="1F3864" w:themeColor="accent1" w:themeShade="80"/>
              <w:sz w:val="20"/>
              <w:szCs w:val="20"/>
            </w:rPr>
            <w:br w:type="page"/>
          </w:r>
        </w:p>
      </w:sdtContent>
    </w:sdt>
    <w:p w14:paraId="7B8D4856" w14:textId="24D013D2" w:rsidR="001C0179" w:rsidRPr="00432934" w:rsidRDefault="001C0179" w:rsidP="0006352D">
      <w:pPr>
        <w:tabs>
          <w:tab w:val="left" w:pos="6249"/>
        </w:tabs>
        <w:rPr>
          <w:rFonts w:ascii="Arial" w:hAnsi="Arial" w:cs="Arial"/>
          <w:lang w:val="en-US"/>
        </w:rPr>
        <w:sectPr w:rsidR="001C0179" w:rsidRPr="00432934" w:rsidSect="00B63F8F">
          <w:headerReference w:type="even" r:id="rId10"/>
          <w:headerReference w:type="default" r:id="rId11"/>
          <w:footerReference w:type="default" r:id="rId12"/>
          <w:headerReference w:type="first" r:id="rId13"/>
          <w:pgSz w:w="11906" w:h="16838" w:code="9"/>
          <w:pgMar w:top="1134" w:right="1134" w:bottom="851" w:left="1134" w:header="851" w:footer="284" w:gutter="0"/>
          <w:pgNumType w:start="0"/>
          <w:cols w:space="708"/>
          <w:titlePg/>
          <w:docGrid w:linePitch="360"/>
        </w:sectPr>
      </w:pPr>
    </w:p>
    <w:p w14:paraId="575928D8" w14:textId="4FDE18E9" w:rsidR="00871A7A" w:rsidRDefault="008E65B8" w:rsidP="00F562D6">
      <w:pPr>
        <w:pStyle w:val="Ttulo1"/>
        <w:spacing w:line="259" w:lineRule="auto"/>
        <w:jc w:val="both"/>
        <w:rPr>
          <w:rFonts w:ascii="Arial" w:hAnsi="Arial" w:cs="Arial"/>
          <w:b/>
          <w:color w:val="1F3864" w:themeColor="accent1" w:themeShade="80"/>
          <w:sz w:val="20"/>
          <w:lang w:val="en-US"/>
        </w:rPr>
      </w:pPr>
      <w:bookmarkStart w:id="1" w:name="_Toc149573377"/>
      <w:bookmarkStart w:id="2" w:name="_Toc157446705"/>
      <w:bookmarkStart w:id="3" w:name="_Toc157704634"/>
      <w:r w:rsidRPr="00432934">
        <w:rPr>
          <w:rFonts w:ascii="Arial" w:hAnsi="Arial" w:cs="Arial"/>
          <w:b/>
          <w:color w:val="1F3864" w:themeColor="accent1" w:themeShade="80"/>
          <w:sz w:val="20"/>
          <w:lang w:val="en-US"/>
        </w:rPr>
        <w:lastRenderedPageBreak/>
        <w:t>MANAGEMENT COMMENTS ON PERFORMACE</w:t>
      </w:r>
      <w:bookmarkEnd w:id="1"/>
      <w:bookmarkEnd w:id="2"/>
      <w:bookmarkEnd w:id="3"/>
    </w:p>
    <w:p w14:paraId="6EBC8B62" w14:textId="77777777" w:rsidR="00447F93" w:rsidRPr="00447F93" w:rsidRDefault="00447F93" w:rsidP="00447F93">
      <w:pPr>
        <w:rPr>
          <w:rFonts w:ascii="Arial" w:hAnsi="Arial" w:cs="Arial"/>
          <w:sz w:val="20"/>
          <w:szCs w:val="20"/>
          <w:lang w:val="en-US"/>
        </w:rPr>
      </w:pPr>
    </w:p>
    <w:p w14:paraId="69BFA7E0" w14:textId="4C0F4D77" w:rsidR="00447F93" w:rsidRPr="00447F93" w:rsidRDefault="00B03186" w:rsidP="003C4F2E">
      <w:pPr>
        <w:pStyle w:val="05-Textonormal"/>
        <w:rPr>
          <w:b/>
          <w:color w:val="1F3864" w:themeColor="accent1" w:themeShade="80"/>
          <w:sz w:val="20"/>
          <w:szCs w:val="20"/>
          <w:lang w:val="en-US"/>
        </w:rPr>
      </w:pPr>
      <w:r w:rsidRPr="00447F93">
        <w:rPr>
          <w:b/>
          <w:color w:val="1F3864" w:themeColor="accent1" w:themeShade="80"/>
          <w:sz w:val="20"/>
          <w:szCs w:val="20"/>
          <w:lang w:val="en-US"/>
        </w:rPr>
        <w:t>Dear Shareholders, Employees and Business Partners</w:t>
      </w:r>
    </w:p>
    <w:p w14:paraId="5AA59327" w14:textId="23D9A761" w:rsidR="003C4F2E" w:rsidRPr="00BC754A" w:rsidRDefault="003C4F2E" w:rsidP="003C4F2E">
      <w:pPr>
        <w:pStyle w:val="05-Textonormal"/>
        <w:rPr>
          <w:rFonts w:cs="Arial"/>
          <w:lang w:val="en-US"/>
        </w:rPr>
      </w:pPr>
      <w:r w:rsidRPr="00591873">
        <w:rPr>
          <w:rFonts w:cs="Arial"/>
          <w:lang w:val="en-US"/>
        </w:rPr>
        <w:t xml:space="preserve">We present the Annual Management Report of BB </w:t>
      </w:r>
      <w:proofErr w:type="spellStart"/>
      <w:r w:rsidRPr="00591873">
        <w:rPr>
          <w:rFonts w:cs="Arial"/>
          <w:lang w:val="en-US"/>
        </w:rPr>
        <w:t>Seguridade</w:t>
      </w:r>
      <w:proofErr w:type="spellEnd"/>
      <w:r w:rsidRPr="00591873">
        <w:rPr>
          <w:rFonts w:cs="Arial"/>
          <w:lang w:val="en-US"/>
        </w:rPr>
        <w:t xml:space="preserve"> </w:t>
      </w:r>
      <w:proofErr w:type="spellStart"/>
      <w:r w:rsidRPr="00591873">
        <w:rPr>
          <w:rFonts w:cs="Arial"/>
          <w:lang w:val="en-US"/>
        </w:rPr>
        <w:t>Participações</w:t>
      </w:r>
      <w:proofErr w:type="spellEnd"/>
      <w:r w:rsidRPr="00591873">
        <w:rPr>
          <w:rFonts w:cs="Arial"/>
          <w:lang w:val="en-US"/>
        </w:rPr>
        <w:t xml:space="preserve"> S.A. (“BB </w:t>
      </w:r>
      <w:proofErr w:type="spellStart"/>
      <w:r w:rsidRPr="00591873">
        <w:rPr>
          <w:rFonts w:cs="Arial"/>
          <w:lang w:val="en-US"/>
        </w:rPr>
        <w:t>Seguridade</w:t>
      </w:r>
      <w:proofErr w:type="spellEnd"/>
      <w:r w:rsidRPr="00591873">
        <w:rPr>
          <w:rFonts w:cs="Arial"/>
          <w:lang w:val="en-US"/>
        </w:rPr>
        <w:t xml:space="preserve">” or “Company”) for the year 2023, in accordance with the requirements of the Brazilian Stock Corporations Act, the Securities and Exchange Commission (CVM) and its </w:t>
      </w:r>
      <w:r>
        <w:rPr>
          <w:rFonts w:cs="Arial"/>
          <w:lang w:val="en-US"/>
        </w:rPr>
        <w:t>Bylaws</w:t>
      </w:r>
      <w:r w:rsidRPr="00591873">
        <w:rPr>
          <w:rFonts w:cs="Arial"/>
          <w:lang w:val="en-US"/>
        </w:rPr>
        <w:t>.</w:t>
      </w:r>
    </w:p>
    <w:p w14:paraId="1D0B1CAE" w14:textId="77777777" w:rsidR="003C4F2E" w:rsidRPr="00706C51" w:rsidRDefault="003C4F2E" w:rsidP="003C4F2E">
      <w:pPr>
        <w:pStyle w:val="05-Textonormal"/>
        <w:rPr>
          <w:rFonts w:cs="Arial"/>
          <w:lang w:val="en-US"/>
        </w:rPr>
      </w:pPr>
      <w:r w:rsidRPr="00706C51">
        <w:rPr>
          <w:rFonts w:cs="Arial"/>
          <w:lang w:val="en-US"/>
        </w:rPr>
        <w:t>The consolidated financial statements were prepared and are being presented in accordance with the International Financial Reporting Standards (IFRS), issued by the International Accounting Standards Board (IASB) and with the accounting practices adopted in Brazil.</w:t>
      </w:r>
    </w:p>
    <w:p w14:paraId="4E580D10" w14:textId="77777777" w:rsidR="003C4F2E" w:rsidRDefault="003C4F2E" w:rsidP="003C4F2E">
      <w:pPr>
        <w:pStyle w:val="05-Textonormal"/>
        <w:rPr>
          <w:rFonts w:cs="Arial"/>
          <w:lang w:val="en-US"/>
        </w:rPr>
      </w:pPr>
      <w:r w:rsidRPr="00706C51">
        <w:rPr>
          <w:rFonts w:cs="Arial"/>
          <w:lang w:val="en-US"/>
        </w:rPr>
        <w:t>The individual financial statements were prepared and are being presented in accordance with the accounting practices adopted in Brazil, which include the guidelines issued by the Brazilian Corporation Law and the pronouncements of the Accounting Pronouncements Committee (CPC), approved by the Federal Accounting Council (CFC).</w:t>
      </w:r>
    </w:p>
    <w:p w14:paraId="22F9EE17" w14:textId="77777777" w:rsidR="003C4F2E" w:rsidRPr="00BC754A" w:rsidRDefault="003C4F2E" w:rsidP="003C4F2E">
      <w:pPr>
        <w:pStyle w:val="05-Textonormal"/>
        <w:rPr>
          <w:rFonts w:cs="Arial"/>
          <w:lang w:val="en-US"/>
        </w:rPr>
      </w:pPr>
      <w:r w:rsidRPr="00591873">
        <w:rPr>
          <w:rFonts w:cs="Arial"/>
          <w:lang w:val="en-US"/>
        </w:rPr>
        <w:t xml:space="preserve">It is noteworthy that this report presents accounting data of the companies invested in by BB </w:t>
      </w:r>
      <w:proofErr w:type="spellStart"/>
      <w:r w:rsidRPr="00591873">
        <w:rPr>
          <w:rFonts w:cs="Arial"/>
          <w:lang w:val="en-US"/>
        </w:rPr>
        <w:t>Seguridade</w:t>
      </w:r>
      <w:proofErr w:type="spellEnd"/>
      <w:r w:rsidRPr="00591873">
        <w:rPr>
          <w:rFonts w:cs="Arial"/>
          <w:lang w:val="en-US"/>
        </w:rPr>
        <w:t xml:space="preserve">, which may differ from those disclosed by the affiliates, both due to differences in the financial reporting standards used and to the possible amortization of intangibles, deduction of results among affiliates, or due to other reasons. In this context, the net profit attributed to the investees reflects the results determined by the Company for each business segment, as per the Explanatory Note on </w:t>
      </w:r>
      <w:r>
        <w:rPr>
          <w:rFonts w:cs="Arial"/>
          <w:lang w:val="en-US"/>
        </w:rPr>
        <w:t xml:space="preserve">Equity </w:t>
      </w:r>
      <w:r w:rsidRPr="00591873">
        <w:rPr>
          <w:rFonts w:cs="Arial"/>
          <w:lang w:val="en-US"/>
        </w:rPr>
        <w:t>Investments.</w:t>
      </w:r>
    </w:p>
    <w:p w14:paraId="692FA293" w14:textId="77777777" w:rsidR="003C4F2E" w:rsidRPr="00BC754A" w:rsidRDefault="003C4F2E" w:rsidP="003C4F2E">
      <w:pPr>
        <w:pStyle w:val="05-Textonormal"/>
        <w:rPr>
          <w:rFonts w:cs="Arial"/>
          <w:lang w:val="en-US"/>
        </w:rPr>
      </w:pPr>
      <w:r w:rsidRPr="00591873">
        <w:rPr>
          <w:rFonts w:cs="Arial"/>
          <w:lang w:val="en-US"/>
        </w:rPr>
        <w:t>Throughout this report, we will address the actions taken and results achieved in the year, as well as presenting the Company's strategic priorities.</w:t>
      </w:r>
    </w:p>
    <w:p w14:paraId="637CC069" w14:textId="77777777" w:rsidR="003C4F2E" w:rsidRDefault="003C4F2E" w:rsidP="003C4F2E">
      <w:pPr>
        <w:pStyle w:val="05-Textonormal"/>
        <w:rPr>
          <w:rFonts w:cs="Arial"/>
          <w:lang w:val="en-US"/>
        </w:rPr>
      </w:pPr>
    </w:p>
    <w:p w14:paraId="43EE6246" w14:textId="77777777" w:rsidR="003C4F2E" w:rsidRPr="008F368D" w:rsidRDefault="003C4F2E" w:rsidP="003C4F2E">
      <w:pPr>
        <w:pStyle w:val="01-TtulodeNota"/>
        <w:numPr>
          <w:ilvl w:val="0"/>
          <w:numId w:val="57"/>
        </w:numPr>
        <w:ind w:left="357" w:hanging="357"/>
        <w:rPr>
          <w:color w:val="1F3864" w:themeColor="accent1" w:themeShade="80"/>
        </w:rPr>
      </w:pPr>
      <w:r w:rsidRPr="008F368D">
        <w:rPr>
          <w:color w:val="1F3864" w:themeColor="accent1" w:themeShade="80"/>
        </w:rPr>
        <w:t>FINANCIAL PERFORMANCE</w:t>
      </w:r>
    </w:p>
    <w:p w14:paraId="2B3CE103" w14:textId="77777777" w:rsidR="003C4F2E" w:rsidRPr="008F368D" w:rsidRDefault="003C4F2E" w:rsidP="003C4F2E">
      <w:pPr>
        <w:pStyle w:val="06-Rmil"/>
        <w:jc w:val="both"/>
        <w:rPr>
          <w:rFonts w:cs="Arial"/>
          <w:b w:val="0"/>
          <w:sz w:val="18"/>
          <w:lang w:val="en-US"/>
        </w:rPr>
      </w:pPr>
      <w:r w:rsidRPr="008F368D">
        <w:rPr>
          <w:rFonts w:cs="Arial"/>
          <w:b w:val="0"/>
          <w:sz w:val="18"/>
          <w:lang w:val="en-US"/>
        </w:rPr>
        <w:t xml:space="preserve">As a holding company, BB </w:t>
      </w:r>
      <w:proofErr w:type="spellStart"/>
      <w:r w:rsidRPr="008F368D">
        <w:rPr>
          <w:rFonts w:cs="Arial"/>
          <w:b w:val="0"/>
          <w:sz w:val="18"/>
          <w:lang w:val="en-US"/>
        </w:rPr>
        <w:t>Seguridade’s</w:t>
      </w:r>
      <w:proofErr w:type="spellEnd"/>
      <w:r w:rsidRPr="008F368D">
        <w:rPr>
          <w:rFonts w:cs="Arial"/>
          <w:b w:val="0"/>
          <w:sz w:val="18"/>
          <w:lang w:val="en-US"/>
        </w:rPr>
        <w:t xml:space="preserve"> net income consists of the equity income arising from its investees, along with the holding standalone operating and financial income and expenses. </w:t>
      </w:r>
    </w:p>
    <w:p w14:paraId="5990F1CD" w14:textId="77777777" w:rsidR="003C4F2E" w:rsidRPr="008F368D" w:rsidRDefault="003C4F2E" w:rsidP="003C4F2E">
      <w:pPr>
        <w:pStyle w:val="06-Rmil"/>
        <w:jc w:val="both"/>
        <w:rPr>
          <w:rFonts w:cs="Arial"/>
          <w:b w:val="0"/>
          <w:sz w:val="18"/>
          <w:lang w:val="en-US"/>
        </w:rPr>
      </w:pPr>
    </w:p>
    <w:p w14:paraId="28992AC7" w14:textId="77777777" w:rsidR="003C4F2E" w:rsidRPr="008F368D" w:rsidRDefault="003C4F2E" w:rsidP="003C4F2E">
      <w:pPr>
        <w:pStyle w:val="06-Rmil"/>
        <w:jc w:val="both"/>
        <w:rPr>
          <w:rFonts w:cs="Arial"/>
          <w:lang w:val="en-US"/>
        </w:rPr>
      </w:pPr>
      <w:r w:rsidRPr="008F368D">
        <w:rPr>
          <w:rFonts w:cs="Arial"/>
          <w:b w:val="0"/>
          <w:sz w:val="18"/>
          <w:lang w:val="en-US"/>
        </w:rPr>
        <w:t xml:space="preserve">The table below presents BB </w:t>
      </w:r>
      <w:proofErr w:type="spellStart"/>
      <w:r w:rsidRPr="008F368D">
        <w:rPr>
          <w:rFonts w:cs="Arial"/>
          <w:b w:val="0"/>
          <w:sz w:val="18"/>
          <w:lang w:val="en-US"/>
        </w:rPr>
        <w:t>Seguridade´s</w:t>
      </w:r>
      <w:proofErr w:type="spellEnd"/>
      <w:r w:rsidRPr="008F368D">
        <w:rPr>
          <w:rFonts w:cs="Arial"/>
          <w:b w:val="0"/>
          <w:sz w:val="18"/>
          <w:lang w:val="en-US"/>
        </w:rPr>
        <w:t xml:space="preserve"> income statement for 2023 and 2022, as well as the comments on the main variations of the year:</w:t>
      </w:r>
    </w:p>
    <w:p w14:paraId="170ADDF3" w14:textId="22B58896" w:rsidR="003C4F2E" w:rsidRDefault="003C4F2E" w:rsidP="003C4F2E">
      <w:pPr>
        <w:pStyle w:val="01-TtulodeNota"/>
        <w:rPr>
          <w:b w:val="0"/>
          <w:sz w:val="14"/>
          <w:lang w:val="en-US"/>
        </w:rPr>
      </w:pPr>
      <w:r w:rsidRPr="008F368D">
        <w:rPr>
          <w:rFonts w:cs="Arial"/>
          <w:b w:val="0"/>
          <w:sz w:val="14"/>
          <w:szCs w:val="14"/>
          <w:lang w:val="en-US"/>
        </w:rPr>
        <w:t xml:space="preserve">Table </w:t>
      </w:r>
      <w:r w:rsidRPr="008F368D">
        <w:rPr>
          <w:rFonts w:cs="Arial"/>
          <w:b w:val="0"/>
          <w:sz w:val="14"/>
          <w:szCs w:val="14"/>
        </w:rPr>
        <w:fldChar w:fldCharType="begin"/>
      </w:r>
      <w:r w:rsidRPr="008F368D">
        <w:rPr>
          <w:rFonts w:cs="Arial"/>
          <w:b w:val="0"/>
          <w:sz w:val="14"/>
          <w:szCs w:val="14"/>
          <w:lang w:val="en-US"/>
        </w:rPr>
        <w:instrText xml:space="preserve"> SEQ Tabela \* ARABIC </w:instrText>
      </w:r>
      <w:r w:rsidRPr="008F368D">
        <w:rPr>
          <w:rFonts w:cs="Arial"/>
          <w:b w:val="0"/>
          <w:sz w:val="14"/>
          <w:szCs w:val="14"/>
        </w:rPr>
        <w:fldChar w:fldCharType="separate"/>
      </w:r>
      <w:r w:rsidR="001125FF">
        <w:rPr>
          <w:rFonts w:cs="Arial"/>
          <w:b w:val="0"/>
          <w:noProof/>
          <w:sz w:val="14"/>
          <w:szCs w:val="14"/>
          <w:lang w:val="en-US"/>
        </w:rPr>
        <w:t>1</w:t>
      </w:r>
      <w:r w:rsidRPr="008F368D">
        <w:rPr>
          <w:rFonts w:cs="Arial"/>
          <w:b w:val="0"/>
          <w:noProof/>
          <w:sz w:val="14"/>
          <w:szCs w:val="14"/>
        </w:rPr>
        <w:fldChar w:fldCharType="end"/>
      </w:r>
      <w:r w:rsidRPr="008F368D">
        <w:rPr>
          <w:b w:val="0"/>
          <w:sz w:val="14"/>
          <w:lang w:val="en-US"/>
        </w:rPr>
        <w:t xml:space="preserve"> – Financial performance | Income statement – </w:t>
      </w:r>
      <w:r>
        <w:rPr>
          <w:b w:val="0"/>
          <w:sz w:val="14"/>
          <w:lang w:val="en-US"/>
        </w:rPr>
        <w:t>Parent</w:t>
      </w:r>
      <w:r w:rsidRPr="008F368D">
        <w:rPr>
          <w:b w:val="0"/>
          <w:sz w:val="14"/>
          <w:lang w:val="en-US"/>
        </w:rPr>
        <w:t>.</w:t>
      </w:r>
    </w:p>
    <w:tbl>
      <w:tblPr>
        <w:tblStyle w:val="TabeladeLista6Colorida-nfase5"/>
        <w:tblW w:w="9639" w:type="dxa"/>
        <w:tblLook w:val="04A0" w:firstRow="1" w:lastRow="0" w:firstColumn="1" w:lastColumn="0" w:noHBand="0" w:noVBand="1"/>
      </w:tblPr>
      <w:tblGrid>
        <w:gridCol w:w="4066"/>
        <w:gridCol w:w="1860"/>
        <w:gridCol w:w="1860"/>
        <w:gridCol w:w="1853"/>
      </w:tblGrid>
      <w:tr w:rsidR="003C4F2E" w:rsidRPr="006970A5" w14:paraId="4387C834" w14:textId="77777777" w:rsidTr="00447F9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2F5496" w:themeColor="accent1" w:themeShade="BF"/>
              <w:left w:val="nil"/>
              <w:bottom w:val="nil"/>
              <w:right w:val="nil"/>
            </w:tcBorders>
            <w:shd w:val="clear" w:color="auto" w:fill="auto"/>
            <w:vAlign w:val="center"/>
          </w:tcPr>
          <w:p w14:paraId="16F17BF6" w14:textId="77777777" w:rsidR="003C4F2E" w:rsidRPr="006970A5" w:rsidRDefault="003C4F2E">
            <w:pPr>
              <w:pStyle w:val="08-Tabelageral"/>
              <w:jc w:val="left"/>
              <w:rPr>
                <w:rFonts w:cs="Arial"/>
                <w:lang w:eastAsia="en-US"/>
              </w:rPr>
            </w:pPr>
            <w:bookmarkStart w:id="4" w:name="_Hlk157580692"/>
            <w:r>
              <w:rPr>
                <w:rFonts w:cs="Arial"/>
                <w:lang w:eastAsia="en-US"/>
              </w:rPr>
              <w:t xml:space="preserve">BRL </w:t>
            </w:r>
            <w:proofErr w:type="spellStart"/>
            <w:r>
              <w:rPr>
                <w:rFonts w:cs="Arial"/>
                <w:lang w:eastAsia="en-US"/>
              </w:rPr>
              <w:t>thousand</w:t>
            </w:r>
            <w:proofErr w:type="spellEnd"/>
          </w:p>
        </w:tc>
        <w:tc>
          <w:tcPr>
            <w:tcW w:w="1860" w:type="dxa"/>
            <w:vMerge w:val="restart"/>
            <w:tcBorders>
              <w:top w:val="single" w:sz="2" w:space="0" w:color="2F5496" w:themeColor="accent1" w:themeShade="BF"/>
              <w:left w:val="nil"/>
              <w:bottom w:val="single" w:sz="2" w:space="0" w:color="9CC2E5" w:themeColor="accent5" w:themeTint="99"/>
              <w:right w:val="nil"/>
            </w:tcBorders>
            <w:shd w:val="clear" w:color="auto" w:fill="auto"/>
            <w:vAlign w:val="center"/>
            <w:hideMark/>
          </w:tcPr>
          <w:p w14:paraId="492D4730"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FY 2023</w:t>
            </w:r>
          </w:p>
        </w:tc>
        <w:tc>
          <w:tcPr>
            <w:tcW w:w="1860" w:type="dxa"/>
            <w:vMerge w:val="restart"/>
            <w:tcBorders>
              <w:top w:val="single" w:sz="2" w:space="0" w:color="2F5496" w:themeColor="accent1" w:themeShade="BF"/>
              <w:left w:val="nil"/>
              <w:bottom w:val="single" w:sz="2" w:space="0" w:color="9CC2E5" w:themeColor="accent5" w:themeTint="99"/>
              <w:right w:val="nil"/>
            </w:tcBorders>
            <w:shd w:val="clear" w:color="auto" w:fill="auto"/>
            <w:vAlign w:val="center"/>
            <w:hideMark/>
          </w:tcPr>
          <w:p w14:paraId="6910C677" w14:textId="77777777" w:rsidR="003C4F2E"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bCs w:val="0"/>
                <w:lang w:eastAsia="en-US"/>
              </w:rPr>
            </w:pPr>
            <w:r>
              <w:rPr>
                <w:rFonts w:cs="Arial"/>
                <w:lang w:eastAsia="en-US"/>
              </w:rPr>
              <w:t>FY 2022</w:t>
            </w:r>
            <w:r w:rsidRPr="006970A5">
              <w:rPr>
                <w:rFonts w:cs="Arial"/>
                <w:lang w:eastAsia="en-US"/>
              </w:rPr>
              <w:t xml:space="preserve"> </w:t>
            </w:r>
          </w:p>
          <w:p w14:paraId="439AAEC1"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6970A5">
              <w:rPr>
                <w:rFonts w:cs="Arial"/>
                <w:lang w:eastAsia="en-US"/>
              </w:rPr>
              <w:t>(</w:t>
            </w:r>
            <w:proofErr w:type="spellStart"/>
            <w:r>
              <w:rPr>
                <w:rFonts w:cs="Arial"/>
                <w:lang w:eastAsia="en-US"/>
              </w:rPr>
              <w:t>resubmitted</w:t>
            </w:r>
            <w:proofErr w:type="spellEnd"/>
            <w:r w:rsidRPr="006970A5">
              <w:rPr>
                <w:rFonts w:cs="Arial"/>
                <w:lang w:eastAsia="en-US"/>
              </w:rPr>
              <w:t>)</w:t>
            </w:r>
          </w:p>
        </w:tc>
        <w:tc>
          <w:tcPr>
            <w:tcW w:w="1853" w:type="dxa"/>
            <w:tcBorders>
              <w:top w:val="single" w:sz="2" w:space="0" w:color="2F5496" w:themeColor="accent1" w:themeShade="BF"/>
              <w:left w:val="nil"/>
              <w:bottom w:val="nil"/>
              <w:right w:val="nil"/>
            </w:tcBorders>
            <w:shd w:val="clear" w:color="auto" w:fill="auto"/>
            <w:vAlign w:val="center"/>
            <w:hideMark/>
          </w:tcPr>
          <w:p w14:paraId="202EEEB1" w14:textId="77777777" w:rsidR="003C4F2E" w:rsidRPr="006970A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6970A5">
              <w:rPr>
                <w:rFonts w:cs="Arial"/>
                <w:lang w:eastAsia="en-US"/>
              </w:rPr>
              <w:t>Var.%</w:t>
            </w:r>
          </w:p>
        </w:tc>
      </w:tr>
      <w:tr w:rsidR="003C4F2E" w:rsidRPr="006970A5" w14:paraId="3990C77A"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2F5496" w:themeColor="accent1" w:themeShade="BF"/>
              <w:right w:val="nil"/>
            </w:tcBorders>
            <w:shd w:val="clear" w:color="auto" w:fill="auto"/>
          </w:tcPr>
          <w:p w14:paraId="4B184CCE" w14:textId="77777777" w:rsidR="003C4F2E" w:rsidRPr="006970A5" w:rsidRDefault="003C4F2E">
            <w:pPr>
              <w:pStyle w:val="08-Tabelageral"/>
              <w:jc w:val="left"/>
              <w:rPr>
                <w:rFonts w:cs="Arial"/>
                <w:bCs w:val="0"/>
                <w:szCs w:val="14"/>
                <w:lang w:eastAsia="en-US"/>
              </w:rPr>
            </w:pPr>
          </w:p>
        </w:tc>
        <w:tc>
          <w:tcPr>
            <w:tcW w:w="0" w:type="auto"/>
            <w:vMerge/>
            <w:tcBorders>
              <w:top w:val="single" w:sz="2" w:space="0" w:color="9CC2E5" w:themeColor="accent5" w:themeTint="99"/>
              <w:left w:val="nil"/>
              <w:bottom w:val="single" w:sz="2" w:space="0" w:color="2F5496" w:themeColor="accent1" w:themeShade="BF"/>
              <w:right w:val="nil"/>
            </w:tcBorders>
            <w:shd w:val="clear" w:color="auto" w:fill="auto"/>
            <w:vAlign w:val="center"/>
            <w:hideMark/>
          </w:tcPr>
          <w:p w14:paraId="7E475379" w14:textId="77777777" w:rsidR="003C4F2E" w:rsidRPr="006970A5" w:rsidRDefault="003C4F2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9CC2E5" w:themeColor="accent5" w:themeTint="99"/>
              <w:left w:val="nil"/>
              <w:bottom w:val="single" w:sz="2" w:space="0" w:color="2F5496" w:themeColor="accent1" w:themeShade="BF"/>
              <w:right w:val="nil"/>
            </w:tcBorders>
            <w:shd w:val="clear" w:color="auto" w:fill="auto"/>
            <w:vAlign w:val="center"/>
            <w:hideMark/>
          </w:tcPr>
          <w:p w14:paraId="115A4498" w14:textId="77777777" w:rsidR="003C4F2E" w:rsidRPr="006970A5" w:rsidRDefault="003C4F2E">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853" w:type="dxa"/>
            <w:tcBorders>
              <w:top w:val="nil"/>
              <w:left w:val="nil"/>
              <w:bottom w:val="single" w:sz="2" w:space="0" w:color="2F5496" w:themeColor="accent1" w:themeShade="BF"/>
              <w:right w:val="nil"/>
            </w:tcBorders>
            <w:shd w:val="clear" w:color="auto" w:fill="auto"/>
            <w:vAlign w:val="center"/>
            <w:hideMark/>
          </w:tcPr>
          <w:p w14:paraId="4F06239B"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Pr>
                <w:rFonts w:cs="Arial"/>
                <w:b/>
                <w:color w:val="auto"/>
                <w:lang w:eastAsia="en-US"/>
              </w:rPr>
              <w:t>on</w:t>
            </w:r>
            <w:proofErr w:type="spellEnd"/>
            <w:r w:rsidRPr="006970A5">
              <w:rPr>
                <w:rFonts w:cs="Arial"/>
                <w:b/>
                <w:color w:val="auto"/>
                <w:lang w:eastAsia="en-US"/>
              </w:rPr>
              <w:t xml:space="preserve"> 2022</w:t>
            </w:r>
          </w:p>
        </w:tc>
      </w:tr>
      <w:tr w:rsidR="003C4F2E" w:rsidRPr="006970A5" w14:paraId="5F4B9910" w14:textId="77777777" w:rsidTr="00447F93">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2F5496" w:themeColor="accent1" w:themeShade="BF"/>
              <w:left w:val="nil"/>
              <w:bottom w:val="nil"/>
              <w:right w:val="nil"/>
            </w:tcBorders>
            <w:shd w:val="clear" w:color="auto" w:fill="auto"/>
            <w:hideMark/>
          </w:tcPr>
          <w:p w14:paraId="024168D1" w14:textId="77777777" w:rsidR="003C4F2E" w:rsidRPr="006970A5" w:rsidRDefault="003C4F2E">
            <w:pPr>
              <w:pStyle w:val="08-Tabelageral"/>
              <w:jc w:val="left"/>
              <w:rPr>
                <w:rFonts w:cs="Arial"/>
                <w:snapToGrid w:val="0"/>
                <w:lang w:eastAsia="en-US"/>
              </w:rPr>
            </w:pPr>
            <w:r w:rsidRPr="008F368D">
              <w:rPr>
                <w:rFonts w:cs="Arial"/>
                <w:lang w:eastAsia="en-US"/>
              </w:rPr>
              <w:t>Equity income</w:t>
            </w:r>
          </w:p>
        </w:tc>
        <w:tc>
          <w:tcPr>
            <w:tcW w:w="1860" w:type="dxa"/>
            <w:tcBorders>
              <w:top w:val="single" w:sz="2" w:space="0" w:color="2F5496" w:themeColor="accent1" w:themeShade="BF"/>
              <w:left w:val="nil"/>
              <w:bottom w:val="nil"/>
              <w:right w:val="nil"/>
            </w:tcBorders>
            <w:shd w:val="clear" w:color="auto" w:fill="auto"/>
            <w:vAlign w:val="center"/>
            <w:hideMark/>
          </w:tcPr>
          <w:p w14:paraId="225ED712"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b/>
                <w:color w:val="auto"/>
                <w:szCs w:val="14"/>
                <w:lang w:eastAsia="en-US"/>
              </w:rPr>
              <w:t>7,925,902</w:t>
            </w:r>
          </w:p>
        </w:tc>
        <w:tc>
          <w:tcPr>
            <w:tcW w:w="1860" w:type="dxa"/>
            <w:tcBorders>
              <w:top w:val="single" w:sz="2" w:space="0" w:color="2F5496" w:themeColor="accent1" w:themeShade="BF"/>
              <w:left w:val="nil"/>
              <w:bottom w:val="nil"/>
              <w:right w:val="nil"/>
            </w:tcBorders>
            <w:shd w:val="clear" w:color="auto" w:fill="auto"/>
            <w:vAlign w:val="center"/>
            <w:hideMark/>
          </w:tcPr>
          <w:p w14:paraId="2B6D896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b/>
                <w:color w:val="auto"/>
                <w:szCs w:val="14"/>
                <w:lang w:eastAsia="en-US"/>
              </w:rPr>
              <w:t>6,194,632</w:t>
            </w:r>
          </w:p>
        </w:tc>
        <w:tc>
          <w:tcPr>
            <w:tcW w:w="1853" w:type="dxa"/>
            <w:tcBorders>
              <w:top w:val="single" w:sz="2" w:space="0" w:color="2F5496" w:themeColor="accent1" w:themeShade="BF"/>
              <w:left w:val="nil"/>
              <w:bottom w:val="nil"/>
              <w:right w:val="nil"/>
            </w:tcBorders>
            <w:shd w:val="clear" w:color="auto" w:fill="auto"/>
            <w:hideMark/>
          </w:tcPr>
          <w:p w14:paraId="243D50A5"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8F368D">
              <w:rPr>
                <w:b/>
                <w:bCs/>
                <w:color w:val="auto"/>
              </w:rPr>
              <w:t>27.9</w:t>
            </w:r>
          </w:p>
        </w:tc>
      </w:tr>
      <w:tr w:rsidR="003C4F2E" w:rsidRPr="006970A5" w14:paraId="2806F4C9"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723BF3D2"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BB MAPFRE Participações S.A. (</w:t>
            </w:r>
            <w:proofErr w:type="spellStart"/>
            <w:r w:rsidRPr="008F368D">
              <w:rPr>
                <w:rFonts w:cs="Arial"/>
                <w:b w:val="0"/>
                <w:lang w:eastAsia="en-US"/>
              </w:rPr>
              <w:t>Brasilseg</w:t>
            </w:r>
            <w:proofErr w:type="spellEnd"/>
            <w:r>
              <w:rPr>
                <w:rFonts w:cs="Arial"/>
                <w:b w:val="0"/>
                <w:lang w:eastAsia="en-US"/>
              </w:rPr>
              <w:t xml:space="preserve"> </w:t>
            </w:r>
            <w:proofErr w:type="spellStart"/>
            <w:r>
              <w:rPr>
                <w:rFonts w:cs="Arial"/>
                <w:b w:val="0"/>
                <w:lang w:eastAsia="en-US"/>
              </w:rPr>
              <w:t>and</w:t>
            </w:r>
            <w:proofErr w:type="spellEnd"/>
            <w:r>
              <w:rPr>
                <w:rFonts w:cs="Arial"/>
                <w:b w:val="0"/>
                <w:lang w:eastAsia="en-US"/>
              </w:rPr>
              <w:t xml:space="preserve"> ABS</w:t>
            </w:r>
            <w:r w:rsidRPr="008F368D">
              <w:rPr>
                <w:rFonts w:cs="Arial"/>
                <w:b w:val="0"/>
                <w:lang w:eastAsia="en-US"/>
              </w:rPr>
              <w:t>)</w:t>
            </w:r>
          </w:p>
        </w:tc>
        <w:tc>
          <w:tcPr>
            <w:tcW w:w="1860" w:type="dxa"/>
            <w:tcBorders>
              <w:top w:val="nil"/>
              <w:left w:val="nil"/>
              <w:bottom w:val="nil"/>
              <w:right w:val="nil"/>
            </w:tcBorders>
            <w:shd w:val="clear" w:color="auto" w:fill="auto"/>
            <w:vAlign w:val="center"/>
            <w:hideMark/>
          </w:tcPr>
          <w:p w14:paraId="0105A68B"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2,899,970</w:t>
            </w:r>
          </w:p>
        </w:tc>
        <w:tc>
          <w:tcPr>
            <w:tcW w:w="1860" w:type="dxa"/>
            <w:tcBorders>
              <w:top w:val="nil"/>
              <w:left w:val="nil"/>
              <w:bottom w:val="nil"/>
              <w:right w:val="nil"/>
            </w:tcBorders>
            <w:shd w:val="clear" w:color="auto" w:fill="auto"/>
            <w:vAlign w:val="center"/>
            <w:hideMark/>
          </w:tcPr>
          <w:p w14:paraId="50D2E1A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1,937,654</w:t>
            </w:r>
          </w:p>
        </w:tc>
        <w:tc>
          <w:tcPr>
            <w:tcW w:w="1853" w:type="dxa"/>
            <w:tcBorders>
              <w:top w:val="nil"/>
              <w:left w:val="nil"/>
              <w:bottom w:val="nil"/>
              <w:right w:val="nil"/>
            </w:tcBorders>
            <w:shd w:val="clear" w:color="auto" w:fill="auto"/>
            <w:hideMark/>
          </w:tcPr>
          <w:p w14:paraId="4527EEF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49.7</w:t>
            </w:r>
          </w:p>
        </w:tc>
      </w:tr>
      <w:tr w:rsidR="003C4F2E" w:rsidRPr="006970A5" w14:paraId="6B71CE64"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DE99D4F"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Brasilprev Seguros e Previdência S.A.</w:t>
            </w:r>
          </w:p>
        </w:tc>
        <w:tc>
          <w:tcPr>
            <w:tcW w:w="1860" w:type="dxa"/>
            <w:tcBorders>
              <w:top w:val="nil"/>
              <w:left w:val="nil"/>
              <w:bottom w:val="nil"/>
              <w:right w:val="nil"/>
            </w:tcBorders>
            <w:shd w:val="clear" w:color="auto" w:fill="auto"/>
            <w:vAlign w:val="center"/>
            <w:hideMark/>
          </w:tcPr>
          <w:p w14:paraId="7644B4D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1,789,794</w:t>
            </w:r>
          </w:p>
        </w:tc>
        <w:tc>
          <w:tcPr>
            <w:tcW w:w="1860" w:type="dxa"/>
            <w:tcBorders>
              <w:top w:val="nil"/>
              <w:left w:val="nil"/>
              <w:bottom w:val="nil"/>
              <w:right w:val="nil"/>
            </w:tcBorders>
            <w:shd w:val="clear" w:color="auto" w:fill="auto"/>
            <w:vAlign w:val="center"/>
            <w:hideMark/>
          </w:tcPr>
          <w:p w14:paraId="44D99CF4"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1,417,563</w:t>
            </w:r>
          </w:p>
        </w:tc>
        <w:tc>
          <w:tcPr>
            <w:tcW w:w="1853" w:type="dxa"/>
            <w:tcBorders>
              <w:top w:val="nil"/>
              <w:left w:val="nil"/>
              <w:bottom w:val="nil"/>
              <w:right w:val="nil"/>
            </w:tcBorders>
            <w:shd w:val="clear" w:color="auto" w:fill="auto"/>
            <w:hideMark/>
          </w:tcPr>
          <w:p w14:paraId="6B670D3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26.3</w:t>
            </w:r>
          </w:p>
        </w:tc>
      </w:tr>
      <w:tr w:rsidR="003C4F2E" w:rsidRPr="006970A5" w14:paraId="0F90160C"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807B829"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Brasilcap Capitalização S.A.</w:t>
            </w:r>
          </w:p>
        </w:tc>
        <w:tc>
          <w:tcPr>
            <w:tcW w:w="1860" w:type="dxa"/>
            <w:tcBorders>
              <w:top w:val="nil"/>
              <w:left w:val="nil"/>
              <w:bottom w:val="nil"/>
              <w:right w:val="nil"/>
            </w:tcBorders>
            <w:shd w:val="clear" w:color="auto" w:fill="auto"/>
            <w:vAlign w:val="center"/>
            <w:hideMark/>
          </w:tcPr>
          <w:p w14:paraId="2B30AAAD"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179,162</w:t>
            </w:r>
          </w:p>
        </w:tc>
        <w:tc>
          <w:tcPr>
            <w:tcW w:w="1860" w:type="dxa"/>
            <w:tcBorders>
              <w:top w:val="nil"/>
              <w:left w:val="nil"/>
              <w:bottom w:val="nil"/>
              <w:right w:val="nil"/>
            </w:tcBorders>
            <w:shd w:val="clear" w:color="auto" w:fill="auto"/>
            <w:vAlign w:val="center"/>
            <w:hideMark/>
          </w:tcPr>
          <w:p w14:paraId="0510880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145,199</w:t>
            </w:r>
          </w:p>
        </w:tc>
        <w:tc>
          <w:tcPr>
            <w:tcW w:w="1853" w:type="dxa"/>
            <w:tcBorders>
              <w:top w:val="nil"/>
              <w:left w:val="nil"/>
              <w:bottom w:val="nil"/>
              <w:right w:val="nil"/>
            </w:tcBorders>
            <w:shd w:val="clear" w:color="auto" w:fill="auto"/>
            <w:hideMark/>
          </w:tcPr>
          <w:p w14:paraId="663EBAC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23.4</w:t>
            </w:r>
          </w:p>
        </w:tc>
      </w:tr>
      <w:tr w:rsidR="003C4F2E" w:rsidRPr="006970A5" w14:paraId="42EC9F89"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25AA9537" w14:textId="77777777" w:rsidR="003C4F2E" w:rsidRPr="006970A5" w:rsidRDefault="003C4F2E">
            <w:pPr>
              <w:pStyle w:val="08-Tabelageral"/>
              <w:ind w:left="113"/>
              <w:jc w:val="left"/>
              <w:rPr>
                <w:rFonts w:cs="Arial"/>
                <w:b w:val="0"/>
                <w:snapToGrid w:val="0"/>
                <w:vertAlign w:val="superscript"/>
                <w:lang w:eastAsia="en-US"/>
              </w:rPr>
            </w:pPr>
            <w:proofErr w:type="spellStart"/>
            <w:r w:rsidRPr="008F368D">
              <w:rPr>
                <w:rFonts w:cs="Arial"/>
                <w:b w:val="0"/>
                <w:lang w:eastAsia="en-US"/>
              </w:rPr>
              <w:t>Brasildental</w:t>
            </w:r>
            <w:proofErr w:type="spellEnd"/>
            <w:r w:rsidRPr="008F368D">
              <w:rPr>
                <w:rFonts w:cs="Arial"/>
                <w:b w:val="0"/>
                <w:lang w:eastAsia="en-US"/>
              </w:rPr>
              <w:t xml:space="preserve"> Operadora de Planos Odontológicos S.A.</w:t>
            </w:r>
          </w:p>
        </w:tc>
        <w:tc>
          <w:tcPr>
            <w:tcW w:w="1860" w:type="dxa"/>
            <w:tcBorders>
              <w:top w:val="nil"/>
              <w:left w:val="nil"/>
              <w:bottom w:val="nil"/>
              <w:right w:val="nil"/>
            </w:tcBorders>
            <w:shd w:val="clear" w:color="auto" w:fill="auto"/>
            <w:vAlign w:val="center"/>
            <w:hideMark/>
          </w:tcPr>
          <w:p w14:paraId="1C2B241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lang w:eastAsia="en-US"/>
              </w:rPr>
              <w:t>18,213</w:t>
            </w:r>
          </w:p>
        </w:tc>
        <w:tc>
          <w:tcPr>
            <w:tcW w:w="1860" w:type="dxa"/>
            <w:tcBorders>
              <w:top w:val="nil"/>
              <w:left w:val="nil"/>
              <w:bottom w:val="nil"/>
              <w:right w:val="nil"/>
            </w:tcBorders>
            <w:shd w:val="clear" w:color="auto" w:fill="auto"/>
            <w:vAlign w:val="center"/>
            <w:hideMark/>
          </w:tcPr>
          <w:p w14:paraId="3E1365C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lang w:eastAsia="en-US"/>
              </w:rPr>
              <w:t>15,866</w:t>
            </w:r>
          </w:p>
        </w:tc>
        <w:tc>
          <w:tcPr>
            <w:tcW w:w="1853" w:type="dxa"/>
            <w:tcBorders>
              <w:top w:val="nil"/>
              <w:left w:val="nil"/>
              <w:bottom w:val="nil"/>
              <w:right w:val="nil"/>
            </w:tcBorders>
            <w:shd w:val="clear" w:color="auto" w:fill="auto"/>
            <w:hideMark/>
          </w:tcPr>
          <w:p w14:paraId="0934A00C"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14.8</w:t>
            </w:r>
          </w:p>
        </w:tc>
      </w:tr>
      <w:tr w:rsidR="003C4F2E" w:rsidRPr="006970A5" w14:paraId="6FA80A7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0AB126EF" w14:textId="77777777" w:rsidR="003C4F2E" w:rsidRPr="006970A5" w:rsidRDefault="003C4F2E">
            <w:pPr>
              <w:pStyle w:val="08-Tabelageral"/>
              <w:ind w:left="113"/>
              <w:jc w:val="left"/>
              <w:rPr>
                <w:rFonts w:cs="Arial"/>
                <w:b w:val="0"/>
                <w:snapToGrid w:val="0"/>
                <w:lang w:eastAsia="en-US"/>
              </w:rPr>
            </w:pPr>
            <w:r w:rsidRPr="008F368D">
              <w:rPr>
                <w:rFonts w:cs="Arial"/>
                <w:b w:val="0"/>
                <w:lang w:eastAsia="en-US"/>
              </w:rPr>
              <w:t>BB Corretora de Seguros e Administradora de Bens S.A.</w:t>
            </w:r>
          </w:p>
        </w:tc>
        <w:tc>
          <w:tcPr>
            <w:tcW w:w="1860" w:type="dxa"/>
            <w:tcBorders>
              <w:top w:val="nil"/>
              <w:left w:val="nil"/>
              <w:bottom w:val="nil"/>
              <w:right w:val="nil"/>
            </w:tcBorders>
            <w:shd w:val="clear" w:color="auto" w:fill="auto"/>
            <w:vAlign w:val="center"/>
            <w:hideMark/>
          </w:tcPr>
          <w:p w14:paraId="492F6256"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2,988,399</w:t>
            </w:r>
          </w:p>
        </w:tc>
        <w:tc>
          <w:tcPr>
            <w:tcW w:w="1860" w:type="dxa"/>
            <w:tcBorders>
              <w:top w:val="nil"/>
              <w:left w:val="nil"/>
              <w:bottom w:val="nil"/>
              <w:right w:val="nil"/>
            </w:tcBorders>
            <w:shd w:val="clear" w:color="auto" w:fill="auto"/>
            <w:vAlign w:val="center"/>
            <w:hideMark/>
          </w:tcPr>
          <w:p w14:paraId="39DC49F8"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2,729,478</w:t>
            </w:r>
          </w:p>
        </w:tc>
        <w:tc>
          <w:tcPr>
            <w:tcW w:w="1853" w:type="dxa"/>
            <w:tcBorders>
              <w:top w:val="nil"/>
              <w:left w:val="nil"/>
              <w:bottom w:val="nil"/>
              <w:right w:val="nil"/>
            </w:tcBorders>
            <w:shd w:val="clear" w:color="auto" w:fill="auto"/>
            <w:hideMark/>
          </w:tcPr>
          <w:p w14:paraId="530E88E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9.5</w:t>
            </w:r>
          </w:p>
        </w:tc>
      </w:tr>
      <w:tr w:rsidR="003C4F2E" w:rsidRPr="006970A5" w14:paraId="32F7E7CA" w14:textId="77777777">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CA78387" w14:textId="77777777" w:rsidR="003C4F2E" w:rsidRPr="006970A5" w:rsidRDefault="003C4F2E">
            <w:pPr>
              <w:pStyle w:val="08-Tabelageral"/>
              <w:ind w:left="113"/>
              <w:jc w:val="left"/>
              <w:rPr>
                <w:rFonts w:cs="Arial"/>
                <w:b w:val="0"/>
                <w:lang w:eastAsia="en-US"/>
              </w:rPr>
            </w:pPr>
            <w:r w:rsidRPr="008F368D">
              <w:rPr>
                <w:rFonts w:cs="Arial"/>
                <w:b w:val="0"/>
                <w:lang w:eastAsia="en-US"/>
              </w:rPr>
              <w:t>Other</w:t>
            </w:r>
          </w:p>
        </w:tc>
        <w:tc>
          <w:tcPr>
            <w:tcW w:w="1860" w:type="dxa"/>
            <w:tcBorders>
              <w:top w:val="nil"/>
              <w:left w:val="nil"/>
              <w:bottom w:val="nil"/>
              <w:right w:val="nil"/>
            </w:tcBorders>
            <w:shd w:val="clear" w:color="auto" w:fill="auto"/>
            <w:vAlign w:val="center"/>
            <w:hideMark/>
          </w:tcPr>
          <w:p w14:paraId="616DA057"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50,36</w:t>
            </w:r>
            <w:r>
              <w:rPr>
                <w:rFonts w:cs="Arial"/>
                <w:color w:val="auto"/>
                <w:szCs w:val="14"/>
                <w:lang w:eastAsia="en-US"/>
              </w:rPr>
              <w:t>4</w:t>
            </w:r>
          </w:p>
        </w:tc>
        <w:tc>
          <w:tcPr>
            <w:tcW w:w="1860" w:type="dxa"/>
            <w:tcBorders>
              <w:top w:val="nil"/>
              <w:left w:val="nil"/>
              <w:bottom w:val="nil"/>
              <w:right w:val="nil"/>
            </w:tcBorders>
            <w:shd w:val="clear" w:color="auto" w:fill="auto"/>
            <w:vAlign w:val="center"/>
            <w:hideMark/>
          </w:tcPr>
          <w:p w14:paraId="45AD22B1"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(51,127)</w:t>
            </w:r>
          </w:p>
        </w:tc>
        <w:tc>
          <w:tcPr>
            <w:tcW w:w="1853" w:type="dxa"/>
            <w:tcBorders>
              <w:top w:val="nil"/>
              <w:left w:val="nil"/>
              <w:bottom w:val="nil"/>
              <w:right w:val="nil"/>
            </w:tcBorders>
            <w:shd w:val="clear" w:color="auto" w:fill="auto"/>
            <w:hideMark/>
          </w:tcPr>
          <w:p w14:paraId="1E18A82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w:t>
            </w:r>
          </w:p>
        </w:tc>
      </w:tr>
      <w:tr w:rsidR="003C4F2E" w:rsidRPr="006970A5" w14:paraId="34BA50B1"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B840161" w14:textId="77777777" w:rsidR="003C4F2E" w:rsidRPr="006970A5" w:rsidRDefault="003C4F2E">
            <w:pPr>
              <w:pStyle w:val="08-Tabelageral"/>
              <w:jc w:val="left"/>
              <w:rPr>
                <w:rFonts w:cs="Arial"/>
                <w:b w:val="0"/>
                <w:lang w:eastAsia="en-US"/>
              </w:rPr>
            </w:pPr>
            <w:r w:rsidRPr="008F368D">
              <w:rPr>
                <w:rFonts w:cs="Arial"/>
                <w:lang w:eastAsia="en-US"/>
              </w:rPr>
              <w:t xml:space="preserve">Other income </w:t>
            </w:r>
            <w:proofErr w:type="spellStart"/>
            <w:r w:rsidRPr="008F368D">
              <w:rPr>
                <w:rFonts w:cs="Arial"/>
                <w:lang w:eastAsia="en-US"/>
              </w:rPr>
              <w:t>and</w:t>
            </w:r>
            <w:proofErr w:type="spellEnd"/>
            <w:r w:rsidRPr="008F368D">
              <w:rPr>
                <w:rFonts w:cs="Arial"/>
                <w:lang w:eastAsia="en-US"/>
              </w:rPr>
              <w:t xml:space="preserve"> </w:t>
            </w:r>
            <w:proofErr w:type="spellStart"/>
            <w:r w:rsidRPr="008F368D">
              <w:rPr>
                <w:rFonts w:cs="Arial"/>
                <w:lang w:eastAsia="en-US"/>
              </w:rPr>
              <w:t>expenses</w:t>
            </w:r>
            <w:proofErr w:type="spellEnd"/>
          </w:p>
        </w:tc>
        <w:tc>
          <w:tcPr>
            <w:tcW w:w="1860" w:type="dxa"/>
            <w:tcBorders>
              <w:top w:val="nil"/>
              <w:left w:val="nil"/>
              <w:bottom w:val="nil"/>
              <w:right w:val="nil"/>
            </w:tcBorders>
            <w:shd w:val="clear" w:color="auto" w:fill="auto"/>
            <w:vAlign w:val="center"/>
            <w:hideMark/>
          </w:tcPr>
          <w:p w14:paraId="4235CDA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(18,117)</w:t>
            </w:r>
          </w:p>
        </w:tc>
        <w:tc>
          <w:tcPr>
            <w:tcW w:w="1860" w:type="dxa"/>
            <w:tcBorders>
              <w:top w:val="nil"/>
              <w:left w:val="nil"/>
              <w:bottom w:val="nil"/>
              <w:right w:val="nil"/>
            </w:tcBorders>
            <w:shd w:val="clear" w:color="auto" w:fill="auto"/>
            <w:vAlign w:val="center"/>
            <w:hideMark/>
          </w:tcPr>
          <w:p w14:paraId="251ED988"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(13,537)</w:t>
            </w:r>
          </w:p>
        </w:tc>
        <w:tc>
          <w:tcPr>
            <w:tcW w:w="1853" w:type="dxa"/>
            <w:tcBorders>
              <w:top w:val="nil"/>
              <w:left w:val="nil"/>
              <w:bottom w:val="nil"/>
              <w:right w:val="nil"/>
            </w:tcBorders>
            <w:shd w:val="clear" w:color="auto" w:fill="auto"/>
            <w:hideMark/>
          </w:tcPr>
          <w:p w14:paraId="2B8BFECA"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33.8</w:t>
            </w:r>
          </w:p>
        </w:tc>
      </w:tr>
      <w:tr w:rsidR="003C4F2E" w:rsidRPr="006970A5" w14:paraId="5891AA26"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AB670D0" w14:textId="77777777" w:rsidR="003C4F2E" w:rsidRPr="006970A5" w:rsidRDefault="003C4F2E">
            <w:pPr>
              <w:pStyle w:val="08-Tabelageral"/>
              <w:ind w:left="113"/>
              <w:jc w:val="left"/>
              <w:rPr>
                <w:rFonts w:cs="Arial"/>
                <w:snapToGrid w:val="0"/>
                <w:lang w:eastAsia="en-US"/>
              </w:rPr>
            </w:pPr>
            <w:proofErr w:type="spellStart"/>
            <w:r w:rsidRPr="008F368D">
              <w:rPr>
                <w:rFonts w:cs="Arial"/>
                <w:b w:val="0"/>
                <w:lang w:eastAsia="en-US"/>
              </w:rPr>
              <w:t>Personnel</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7412C595"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(13,129)</w:t>
            </w:r>
          </w:p>
        </w:tc>
        <w:tc>
          <w:tcPr>
            <w:tcW w:w="1860" w:type="dxa"/>
            <w:tcBorders>
              <w:top w:val="nil"/>
              <w:left w:val="nil"/>
              <w:bottom w:val="nil"/>
              <w:right w:val="nil"/>
            </w:tcBorders>
            <w:shd w:val="clear" w:color="auto" w:fill="auto"/>
            <w:vAlign w:val="center"/>
            <w:hideMark/>
          </w:tcPr>
          <w:p w14:paraId="0F32E629"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(14,955)</w:t>
            </w:r>
          </w:p>
        </w:tc>
        <w:tc>
          <w:tcPr>
            <w:tcW w:w="1853" w:type="dxa"/>
            <w:tcBorders>
              <w:top w:val="nil"/>
              <w:left w:val="nil"/>
              <w:bottom w:val="nil"/>
              <w:right w:val="nil"/>
            </w:tcBorders>
            <w:shd w:val="clear" w:color="auto" w:fill="auto"/>
            <w:hideMark/>
          </w:tcPr>
          <w:p w14:paraId="2EB45E48"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color w:val="auto"/>
              </w:rPr>
              <w:t>(12.2)</w:t>
            </w:r>
          </w:p>
        </w:tc>
      </w:tr>
      <w:tr w:rsidR="003C4F2E" w:rsidRPr="006970A5" w14:paraId="453826F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7396445" w14:textId="77777777" w:rsidR="003C4F2E" w:rsidRPr="006970A5" w:rsidRDefault="003C4F2E">
            <w:pPr>
              <w:pStyle w:val="08-Tabelageral"/>
              <w:ind w:left="113"/>
              <w:jc w:val="left"/>
              <w:rPr>
                <w:rFonts w:cs="Arial"/>
                <w:b w:val="0"/>
                <w:snapToGrid w:val="0"/>
                <w:lang w:eastAsia="en-US"/>
              </w:rPr>
            </w:pPr>
            <w:proofErr w:type="spellStart"/>
            <w:r w:rsidRPr="008F368D">
              <w:rPr>
                <w:rFonts w:cs="Arial"/>
                <w:b w:val="0"/>
                <w:lang w:eastAsia="en-US"/>
              </w:rPr>
              <w:t>Administrative</w:t>
            </w:r>
            <w:proofErr w:type="spellEnd"/>
            <w:r w:rsidRPr="008F368D">
              <w:rPr>
                <w:rFonts w:cs="Arial"/>
                <w:b w:val="0"/>
                <w:lang w:eastAsia="en-US"/>
              </w:rPr>
              <w:t xml:space="preserve">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1FC89D8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(3,589)</w:t>
            </w:r>
          </w:p>
        </w:tc>
        <w:tc>
          <w:tcPr>
            <w:tcW w:w="1860" w:type="dxa"/>
            <w:tcBorders>
              <w:top w:val="nil"/>
              <w:left w:val="nil"/>
              <w:bottom w:val="nil"/>
              <w:right w:val="nil"/>
            </w:tcBorders>
            <w:shd w:val="clear" w:color="auto" w:fill="auto"/>
            <w:vAlign w:val="center"/>
            <w:hideMark/>
          </w:tcPr>
          <w:p w14:paraId="6E513F67"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(3,867)</w:t>
            </w:r>
          </w:p>
        </w:tc>
        <w:tc>
          <w:tcPr>
            <w:tcW w:w="1853" w:type="dxa"/>
            <w:tcBorders>
              <w:top w:val="nil"/>
              <w:left w:val="nil"/>
              <w:bottom w:val="nil"/>
              <w:right w:val="nil"/>
            </w:tcBorders>
            <w:shd w:val="clear" w:color="auto" w:fill="auto"/>
            <w:hideMark/>
          </w:tcPr>
          <w:p w14:paraId="3DFA450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(7.2)</w:t>
            </w:r>
          </w:p>
        </w:tc>
      </w:tr>
      <w:tr w:rsidR="003C4F2E" w:rsidRPr="006970A5" w14:paraId="4821F3A1" w14:textId="77777777">
        <w:trPr>
          <w:cnfStyle w:val="000000010000" w:firstRow="0" w:lastRow="0" w:firstColumn="0" w:lastColumn="0" w:oddVBand="0" w:evenVBand="0" w:oddHBand="0" w:evenHBand="1"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63CB03F" w14:textId="77777777" w:rsidR="003C4F2E" w:rsidRPr="006970A5" w:rsidRDefault="003C4F2E">
            <w:pPr>
              <w:pStyle w:val="08-Tabelageral"/>
              <w:ind w:left="113"/>
              <w:jc w:val="left"/>
              <w:rPr>
                <w:rFonts w:cs="Arial"/>
                <w:b w:val="0"/>
                <w:lang w:eastAsia="en-US"/>
              </w:rPr>
            </w:pPr>
            <w:r w:rsidRPr="008F368D">
              <w:rPr>
                <w:rFonts w:cs="Arial"/>
                <w:b w:val="0"/>
                <w:lang w:eastAsia="en-US"/>
              </w:rPr>
              <w:t xml:space="preserve">Tax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31422FCA"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(6,798)</w:t>
            </w:r>
          </w:p>
        </w:tc>
        <w:tc>
          <w:tcPr>
            <w:tcW w:w="1860" w:type="dxa"/>
            <w:tcBorders>
              <w:top w:val="nil"/>
              <w:left w:val="nil"/>
              <w:bottom w:val="nil"/>
              <w:right w:val="nil"/>
            </w:tcBorders>
            <w:shd w:val="clear" w:color="auto" w:fill="auto"/>
            <w:vAlign w:val="center"/>
            <w:hideMark/>
          </w:tcPr>
          <w:p w14:paraId="5330161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(2,914)</w:t>
            </w:r>
          </w:p>
        </w:tc>
        <w:tc>
          <w:tcPr>
            <w:tcW w:w="1853" w:type="dxa"/>
            <w:tcBorders>
              <w:top w:val="nil"/>
              <w:left w:val="nil"/>
              <w:bottom w:val="nil"/>
              <w:right w:val="nil"/>
            </w:tcBorders>
            <w:shd w:val="clear" w:color="auto" w:fill="auto"/>
            <w:hideMark/>
          </w:tcPr>
          <w:p w14:paraId="76CD96E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133.3</w:t>
            </w:r>
          </w:p>
        </w:tc>
      </w:tr>
      <w:tr w:rsidR="003C4F2E" w:rsidRPr="006970A5" w14:paraId="63322386" w14:textId="77777777">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598C42D3" w14:textId="77777777" w:rsidR="003C4F2E" w:rsidRPr="006970A5" w:rsidRDefault="003C4F2E">
            <w:pPr>
              <w:pStyle w:val="08-Tabelageral"/>
              <w:ind w:left="113"/>
              <w:jc w:val="left"/>
              <w:rPr>
                <w:rFonts w:cs="Arial"/>
                <w:b w:val="0"/>
                <w:lang w:eastAsia="en-US"/>
              </w:rPr>
            </w:pPr>
            <w:r w:rsidRPr="008F368D">
              <w:rPr>
                <w:rFonts w:cs="Arial"/>
                <w:b w:val="0"/>
                <w:lang w:eastAsia="en-US"/>
              </w:rPr>
              <w:t xml:space="preserve">Other </w:t>
            </w:r>
            <w:proofErr w:type="spellStart"/>
            <w:r w:rsidRPr="008F368D">
              <w:rPr>
                <w:rFonts w:cs="Arial"/>
                <w:b w:val="0"/>
                <w:lang w:eastAsia="en-US"/>
              </w:rPr>
              <w:t>operating</w:t>
            </w:r>
            <w:proofErr w:type="spellEnd"/>
            <w:r w:rsidRPr="008F368D">
              <w:rPr>
                <w:rFonts w:cs="Arial"/>
                <w:b w:val="0"/>
                <w:lang w:eastAsia="en-US"/>
              </w:rPr>
              <w:t xml:space="preserve"> income/(</w:t>
            </w:r>
            <w:proofErr w:type="spellStart"/>
            <w:r w:rsidRPr="008F368D">
              <w:rPr>
                <w:rFonts w:cs="Arial"/>
                <w:b w:val="0"/>
                <w:lang w:eastAsia="en-US"/>
              </w:rPr>
              <w:t>expenses</w:t>
            </w:r>
            <w:proofErr w:type="spellEnd"/>
            <w:r w:rsidRPr="008F368D">
              <w:rPr>
                <w:rFonts w:cs="Arial"/>
                <w:b w:val="0"/>
                <w:lang w:eastAsia="en-US"/>
              </w:rPr>
              <w:t>)</w:t>
            </w:r>
          </w:p>
        </w:tc>
        <w:tc>
          <w:tcPr>
            <w:tcW w:w="1860" w:type="dxa"/>
            <w:tcBorders>
              <w:top w:val="nil"/>
              <w:left w:val="nil"/>
              <w:bottom w:val="nil"/>
              <w:right w:val="nil"/>
            </w:tcBorders>
            <w:shd w:val="clear" w:color="auto" w:fill="auto"/>
            <w:vAlign w:val="center"/>
            <w:hideMark/>
          </w:tcPr>
          <w:p w14:paraId="74EC829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5,399</w:t>
            </w:r>
          </w:p>
        </w:tc>
        <w:tc>
          <w:tcPr>
            <w:tcW w:w="1860" w:type="dxa"/>
            <w:tcBorders>
              <w:top w:val="nil"/>
              <w:left w:val="nil"/>
              <w:bottom w:val="nil"/>
              <w:right w:val="nil"/>
            </w:tcBorders>
            <w:shd w:val="clear" w:color="auto" w:fill="auto"/>
            <w:vAlign w:val="center"/>
            <w:hideMark/>
          </w:tcPr>
          <w:p w14:paraId="305B21A4"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color w:val="auto"/>
                <w:szCs w:val="14"/>
                <w:lang w:eastAsia="en-US"/>
              </w:rPr>
              <w:t>8,199</w:t>
            </w:r>
          </w:p>
        </w:tc>
        <w:tc>
          <w:tcPr>
            <w:tcW w:w="1853" w:type="dxa"/>
            <w:tcBorders>
              <w:top w:val="nil"/>
              <w:left w:val="nil"/>
              <w:bottom w:val="nil"/>
              <w:right w:val="nil"/>
            </w:tcBorders>
            <w:shd w:val="clear" w:color="auto" w:fill="auto"/>
            <w:hideMark/>
          </w:tcPr>
          <w:p w14:paraId="3326665F"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color w:val="auto"/>
              </w:rPr>
              <w:t>(34.2)</w:t>
            </w:r>
          </w:p>
        </w:tc>
      </w:tr>
      <w:tr w:rsidR="003C4F2E" w:rsidRPr="006970A5" w14:paraId="7840D45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589C3CB" w14:textId="77777777" w:rsidR="003C4F2E" w:rsidRPr="006970A5" w:rsidRDefault="003C4F2E">
            <w:pPr>
              <w:pStyle w:val="08-Tabelageral"/>
              <w:jc w:val="left"/>
              <w:rPr>
                <w:rFonts w:cs="Arial"/>
                <w:b w:val="0"/>
                <w:snapToGrid w:val="0"/>
                <w:lang w:eastAsia="en-US"/>
              </w:rPr>
            </w:pPr>
            <w:r w:rsidRPr="008F368D">
              <w:rPr>
                <w:rFonts w:cs="Arial"/>
                <w:snapToGrid w:val="0"/>
                <w:lang w:eastAsia="en-US"/>
              </w:rPr>
              <w:t xml:space="preserve">Net </w:t>
            </w:r>
            <w:proofErr w:type="spellStart"/>
            <w:r w:rsidRPr="008F368D">
              <w:rPr>
                <w:rFonts w:cs="Arial"/>
                <w:snapToGrid w:val="0"/>
                <w:lang w:eastAsia="en-US"/>
              </w:rPr>
              <w:t>investment</w:t>
            </w:r>
            <w:proofErr w:type="spellEnd"/>
            <w:r w:rsidRPr="008F368D">
              <w:rPr>
                <w:rFonts w:cs="Arial"/>
                <w:snapToGrid w:val="0"/>
                <w:lang w:eastAsia="en-US"/>
              </w:rPr>
              <w:t xml:space="preserve"> income</w:t>
            </w:r>
          </w:p>
        </w:tc>
        <w:tc>
          <w:tcPr>
            <w:tcW w:w="1860" w:type="dxa"/>
            <w:tcBorders>
              <w:top w:val="nil"/>
              <w:left w:val="nil"/>
              <w:bottom w:val="nil"/>
              <w:right w:val="nil"/>
            </w:tcBorders>
            <w:shd w:val="clear" w:color="auto" w:fill="auto"/>
            <w:vAlign w:val="center"/>
            <w:hideMark/>
          </w:tcPr>
          <w:p w14:paraId="6128FCBD"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b/>
                <w:bCs/>
                <w:color w:val="auto"/>
                <w:szCs w:val="14"/>
                <w:lang w:eastAsia="en-US"/>
              </w:rPr>
              <w:t>51,039</w:t>
            </w:r>
          </w:p>
        </w:tc>
        <w:tc>
          <w:tcPr>
            <w:tcW w:w="1860" w:type="dxa"/>
            <w:tcBorders>
              <w:top w:val="nil"/>
              <w:left w:val="nil"/>
              <w:bottom w:val="nil"/>
              <w:right w:val="nil"/>
            </w:tcBorders>
            <w:shd w:val="clear" w:color="auto" w:fill="auto"/>
            <w:vAlign w:val="center"/>
            <w:hideMark/>
          </w:tcPr>
          <w:p w14:paraId="7C74CF20"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b/>
                <w:bCs/>
                <w:color w:val="auto"/>
                <w:szCs w:val="14"/>
                <w:lang w:eastAsia="en-US"/>
              </w:rPr>
              <w:t>16,370</w:t>
            </w:r>
          </w:p>
        </w:tc>
        <w:tc>
          <w:tcPr>
            <w:tcW w:w="1853" w:type="dxa"/>
            <w:tcBorders>
              <w:top w:val="nil"/>
              <w:left w:val="nil"/>
              <w:bottom w:val="nil"/>
              <w:right w:val="nil"/>
            </w:tcBorders>
            <w:shd w:val="clear" w:color="auto" w:fill="auto"/>
            <w:hideMark/>
          </w:tcPr>
          <w:p w14:paraId="283AF11E"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8F368D">
              <w:rPr>
                <w:b/>
                <w:bCs/>
                <w:color w:val="auto"/>
              </w:rPr>
              <w:t>211.8</w:t>
            </w:r>
          </w:p>
        </w:tc>
      </w:tr>
      <w:tr w:rsidR="003C4F2E" w:rsidRPr="006970A5" w14:paraId="67896F16"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6A1F7355" w14:textId="77777777" w:rsidR="003C4F2E" w:rsidRPr="006970A5" w:rsidRDefault="003C4F2E">
            <w:pPr>
              <w:pStyle w:val="08-Tabelageral"/>
              <w:ind w:left="113"/>
              <w:jc w:val="left"/>
              <w:rPr>
                <w:rFonts w:cs="Arial"/>
                <w:lang w:eastAsia="en-US"/>
              </w:rPr>
            </w:pPr>
            <w:r w:rsidRPr="008F368D">
              <w:rPr>
                <w:rFonts w:cs="Arial"/>
                <w:b w:val="0"/>
                <w:lang w:eastAsia="en-US"/>
              </w:rPr>
              <w:t xml:space="preserve">Financial </w:t>
            </w:r>
            <w:proofErr w:type="spellStart"/>
            <w:r w:rsidRPr="008F368D">
              <w:rPr>
                <w:rFonts w:cs="Arial"/>
                <w:b w:val="0"/>
                <w:lang w:eastAsia="en-US"/>
              </w:rPr>
              <w:t>revenues</w:t>
            </w:r>
            <w:proofErr w:type="spellEnd"/>
          </w:p>
        </w:tc>
        <w:tc>
          <w:tcPr>
            <w:tcW w:w="1860" w:type="dxa"/>
            <w:tcBorders>
              <w:top w:val="nil"/>
              <w:left w:val="nil"/>
              <w:bottom w:val="nil"/>
              <w:right w:val="nil"/>
            </w:tcBorders>
            <w:shd w:val="clear" w:color="auto" w:fill="auto"/>
            <w:vAlign w:val="center"/>
            <w:hideMark/>
          </w:tcPr>
          <w:p w14:paraId="539880C9"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8F368D">
              <w:rPr>
                <w:rFonts w:cs="Arial"/>
                <w:bCs/>
                <w:color w:val="auto"/>
                <w:szCs w:val="14"/>
                <w:lang w:eastAsia="en-US"/>
              </w:rPr>
              <w:t>132,900</w:t>
            </w:r>
          </w:p>
        </w:tc>
        <w:tc>
          <w:tcPr>
            <w:tcW w:w="1860" w:type="dxa"/>
            <w:tcBorders>
              <w:top w:val="nil"/>
              <w:left w:val="nil"/>
              <w:bottom w:val="nil"/>
              <w:right w:val="nil"/>
            </w:tcBorders>
            <w:shd w:val="clear" w:color="auto" w:fill="auto"/>
            <w:vAlign w:val="center"/>
            <w:hideMark/>
          </w:tcPr>
          <w:p w14:paraId="1C9170FE"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8F368D">
              <w:rPr>
                <w:rFonts w:cs="Arial"/>
                <w:bCs/>
                <w:color w:val="auto"/>
                <w:szCs w:val="14"/>
                <w:lang w:eastAsia="en-US"/>
              </w:rPr>
              <w:t>44,465</w:t>
            </w:r>
          </w:p>
        </w:tc>
        <w:tc>
          <w:tcPr>
            <w:tcW w:w="1853" w:type="dxa"/>
            <w:tcBorders>
              <w:top w:val="nil"/>
              <w:left w:val="nil"/>
              <w:bottom w:val="nil"/>
              <w:right w:val="nil"/>
            </w:tcBorders>
            <w:shd w:val="clear" w:color="auto" w:fill="auto"/>
            <w:hideMark/>
          </w:tcPr>
          <w:p w14:paraId="12A88F2D"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8F368D">
              <w:rPr>
                <w:color w:val="auto"/>
              </w:rPr>
              <w:t>198.9</w:t>
            </w:r>
          </w:p>
        </w:tc>
      </w:tr>
      <w:tr w:rsidR="003C4F2E" w:rsidRPr="006970A5" w14:paraId="76BFEE78"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1E77929C" w14:textId="77777777" w:rsidR="003C4F2E" w:rsidRPr="006970A5" w:rsidRDefault="003C4F2E">
            <w:pPr>
              <w:pStyle w:val="08-Tabelageral"/>
              <w:ind w:left="113"/>
              <w:jc w:val="left"/>
              <w:rPr>
                <w:rFonts w:cs="Arial"/>
                <w:b w:val="0"/>
                <w:lang w:eastAsia="en-US"/>
              </w:rPr>
            </w:pPr>
            <w:r w:rsidRPr="008F368D">
              <w:rPr>
                <w:rFonts w:cs="Arial"/>
                <w:b w:val="0"/>
                <w:lang w:eastAsia="en-US"/>
              </w:rPr>
              <w:t xml:space="preserve">Financial </w:t>
            </w:r>
            <w:proofErr w:type="spellStart"/>
            <w:r w:rsidRPr="008F368D">
              <w:rPr>
                <w:rFonts w:cs="Arial"/>
                <w:b w:val="0"/>
                <w:lang w:eastAsia="en-US"/>
              </w:rPr>
              <w:t>expenses</w:t>
            </w:r>
            <w:proofErr w:type="spellEnd"/>
          </w:p>
        </w:tc>
        <w:tc>
          <w:tcPr>
            <w:tcW w:w="1860" w:type="dxa"/>
            <w:tcBorders>
              <w:top w:val="nil"/>
              <w:left w:val="nil"/>
              <w:bottom w:val="nil"/>
              <w:right w:val="nil"/>
            </w:tcBorders>
            <w:shd w:val="clear" w:color="auto" w:fill="auto"/>
            <w:vAlign w:val="center"/>
            <w:hideMark/>
          </w:tcPr>
          <w:p w14:paraId="6C40288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(81,861)</w:t>
            </w:r>
          </w:p>
        </w:tc>
        <w:tc>
          <w:tcPr>
            <w:tcW w:w="1860" w:type="dxa"/>
            <w:tcBorders>
              <w:top w:val="nil"/>
              <w:left w:val="nil"/>
              <w:bottom w:val="nil"/>
              <w:right w:val="nil"/>
            </w:tcBorders>
            <w:shd w:val="clear" w:color="auto" w:fill="auto"/>
            <w:vAlign w:val="center"/>
            <w:hideMark/>
          </w:tcPr>
          <w:p w14:paraId="7460F77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rFonts w:cs="Arial"/>
                <w:color w:val="auto"/>
                <w:szCs w:val="14"/>
                <w:lang w:eastAsia="en-US"/>
              </w:rPr>
              <w:t>(28,095)</w:t>
            </w:r>
          </w:p>
        </w:tc>
        <w:tc>
          <w:tcPr>
            <w:tcW w:w="1853" w:type="dxa"/>
            <w:tcBorders>
              <w:top w:val="nil"/>
              <w:left w:val="nil"/>
              <w:bottom w:val="nil"/>
              <w:right w:val="nil"/>
            </w:tcBorders>
            <w:shd w:val="clear" w:color="auto" w:fill="auto"/>
            <w:hideMark/>
          </w:tcPr>
          <w:p w14:paraId="4703C596"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8F368D">
              <w:rPr>
                <w:color w:val="auto"/>
              </w:rPr>
              <w:t>191.4</w:t>
            </w:r>
          </w:p>
        </w:tc>
      </w:tr>
      <w:tr w:rsidR="003C4F2E" w:rsidRPr="006970A5" w14:paraId="2EEF9348"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C2C6FC6" w14:textId="77777777" w:rsidR="003C4F2E" w:rsidRPr="006970A5" w:rsidRDefault="003C4F2E">
            <w:pPr>
              <w:pStyle w:val="08-Tabelageral"/>
              <w:jc w:val="left"/>
              <w:rPr>
                <w:rFonts w:cs="Arial"/>
                <w:b w:val="0"/>
                <w:lang w:eastAsia="en-US"/>
              </w:rPr>
            </w:pPr>
            <w:proofErr w:type="spellStart"/>
            <w:r w:rsidRPr="008F368D">
              <w:rPr>
                <w:rFonts w:cs="Arial"/>
                <w:lang w:eastAsia="en-US"/>
              </w:rPr>
              <w:t>Earnings</w:t>
            </w:r>
            <w:proofErr w:type="spellEnd"/>
            <w:r w:rsidRPr="008F368D">
              <w:rPr>
                <w:rFonts w:cs="Arial"/>
                <w:lang w:eastAsia="en-US"/>
              </w:rPr>
              <w:t xml:space="preserve"> </w:t>
            </w:r>
            <w:proofErr w:type="spellStart"/>
            <w:r w:rsidRPr="008F368D">
              <w:rPr>
                <w:rFonts w:cs="Arial"/>
                <w:lang w:eastAsia="en-US"/>
              </w:rPr>
              <w:t>before</w:t>
            </w:r>
            <w:proofErr w:type="spellEnd"/>
            <w:r w:rsidRPr="008F368D">
              <w:rPr>
                <w:rFonts w:cs="Arial"/>
                <w:lang w:eastAsia="en-US"/>
              </w:rPr>
              <w:t xml:space="preserve"> taxes</w:t>
            </w:r>
          </w:p>
        </w:tc>
        <w:tc>
          <w:tcPr>
            <w:tcW w:w="1860" w:type="dxa"/>
            <w:tcBorders>
              <w:top w:val="nil"/>
              <w:left w:val="nil"/>
              <w:bottom w:val="nil"/>
              <w:right w:val="nil"/>
            </w:tcBorders>
            <w:shd w:val="clear" w:color="auto" w:fill="auto"/>
            <w:vAlign w:val="center"/>
            <w:hideMark/>
          </w:tcPr>
          <w:p w14:paraId="0FC8D447"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7,958,824</w:t>
            </w:r>
          </w:p>
        </w:tc>
        <w:tc>
          <w:tcPr>
            <w:tcW w:w="1860" w:type="dxa"/>
            <w:tcBorders>
              <w:top w:val="nil"/>
              <w:left w:val="nil"/>
              <w:bottom w:val="nil"/>
              <w:right w:val="nil"/>
            </w:tcBorders>
            <w:shd w:val="clear" w:color="auto" w:fill="auto"/>
            <w:vAlign w:val="center"/>
            <w:hideMark/>
          </w:tcPr>
          <w:p w14:paraId="26845700"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6,197,465</w:t>
            </w:r>
          </w:p>
        </w:tc>
        <w:tc>
          <w:tcPr>
            <w:tcW w:w="1853" w:type="dxa"/>
            <w:tcBorders>
              <w:top w:val="nil"/>
              <w:left w:val="nil"/>
              <w:bottom w:val="nil"/>
              <w:right w:val="nil"/>
            </w:tcBorders>
            <w:shd w:val="clear" w:color="auto" w:fill="auto"/>
            <w:hideMark/>
          </w:tcPr>
          <w:p w14:paraId="3E0A5F1C"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28.4</w:t>
            </w:r>
          </w:p>
        </w:tc>
      </w:tr>
      <w:tr w:rsidR="003C4F2E" w:rsidRPr="006970A5" w14:paraId="53F87473" w14:textId="77777777" w:rsidTr="00447F9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shd w:val="clear" w:color="auto" w:fill="auto"/>
            <w:hideMark/>
          </w:tcPr>
          <w:p w14:paraId="37F21064" w14:textId="77777777" w:rsidR="003C4F2E" w:rsidRPr="006970A5" w:rsidRDefault="003C4F2E">
            <w:pPr>
              <w:pStyle w:val="08-Tabelageral"/>
              <w:ind w:left="113"/>
              <w:jc w:val="left"/>
              <w:rPr>
                <w:rFonts w:cs="Arial"/>
                <w:snapToGrid w:val="0"/>
                <w:lang w:eastAsia="en-US"/>
              </w:rPr>
            </w:pPr>
            <w:r w:rsidRPr="008F368D">
              <w:rPr>
                <w:rFonts w:cs="Arial"/>
                <w:b w:val="0"/>
                <w:lang w:eastAsia="en-US"/>
              </w:rPr>
              <w:t>Income taxes</w:t>
            </w:r>
          </w:p>
        </w:tc>
        <w:tc>
          <w:tcPr>
            <w:tcW w:w="1860" w:type="dxa"/>
            <w:tcBorders>
              <w:top w:val="nil"/>
              <w:left w:val="nil"/>
              <w:bottom w:val="nil"/>
              <w:right w:val="nil"/>
            </w:tcBorders>
            <w:shd w:val="clear" w:color="auto" w:fill="auto"/>
            <w:vAlign w:val="center"/>
            <w:hideMark/>
          </w:tcPr>
          <w:p w14:paraId="5C6BA0FF"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(11,621)</w:t>
            </w:r>
          </w:p>
        </w:tc>
        <w:tc>
          <w:tcPr>
            <w:tcW w:w="1860" w:type="dxa"/>
            <w:tcBorders>
              <w:top w:val="nil"/>
              <w:left w:val="nil"/>
              <w:bottom w:val="nil"/>
              <w:right w:val="nil"/>
            </w:tcBorders>
            <w:shd w:val="clear" w:color="auto" w:fill="auto"/>
            <w:vAlign w:val="center"/>
            <w:hideMark/>
          </w:tcPr>
          <w:p w14:paraId="280C3A38"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rFonts w:cs="Arial"/>
                <w:color w:val="auto"/>
                <w:szCs w:val="14"/>
                <w:lang w:eastAsia="en-US"/>
              </w:rPr>
              <w:t>(1,050)</w:t>
            </w:r>
          </w:p>
        </w:tc>
        <w:tc>
          <w:tcPr>
            <w:tcW w:w="1853" w:type="dxa"/>
            <w:tcBorders>
              <w:top w:val="nil"/>
              <w:left w:val="nil"/>
              <w:bottom w:val="nil"/>
              <w:right w:val="nil"/>
            </w:tcBorders>
            <w:shd w:val="clear" w:color="auto" w:fill="auto"/>
            <w:hideMark/>
          </w:tcPr>
          <w:p w14:paraId="7822392D" w14:textId="77777777" w:rsidR="003C4F2E" w:rsidRPr="006970A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auto"/>
                <w:szCs w:val="14"/>
                <w:lang w:eastAsia="en-US"/>
              </w:rPr>
            </w:pPr>
            <w:r w:rsidRPr="008F368D">
              <w:rPr>
                <w:color w:val="auto"/>
              </w:rPr>
              <w:t>1,006.8</w:t>
            </w:r>
          </w:p>
        </w:tc>
      </w:tr>
      <w:tr w:rsidR="003C4F2E" w:rsidRPr="00FA31E9" w14:paraId="2E094892"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2F5496" w:themeColor="accent1" w:themeShade="BF"/>
              <w:right w:val="nil"/>
            </w:tcBorders>
            <w:shd w:val="clear" w:color="auto" w:fill="auto"/>
            <w:hideMark/>
          </w:tcPr>
          <w:p w14:paraId="7D98386A" w14:textId="77777777" w:rsidR="003C4F2E" w:rsidRPr="006970A5" w:rsidRDefault="003C4F2E">
            <w:pPr>
              <w:pStyle w:val="08-Tabelageral"/>
              <w:jc w:val="left"/>
              <w:rPr>
                <w:rFonts w:cs="Arial"/>
                <w:b w:val="0"/>
                <w:snapToGrid w:val="0"/>
                <w:lang w:eastAsia="en-US"/>
              </w:rPr>
            </w:pPr>
            <w:r w:rsidRPr="008F368D">
              <w:rPr>
                <w:rFonts w:cs="Arial"/>
                <w:lang w:eastAsia="en-US"/>
              </w:rPr>
              <w:t>Net income</w:t>
            </w:r>
          </w:p>
        </w:tc>
        <w:tc>
          <w:tcPr>
            <w:tcW w:w="1860" w:type="dxa"/>
            <w:tcBorders>
              <w:top w:val="nil"/>
              <w:left w:val="nil"/>
              <w:bottom w:val="single" w:sz="4" w:space="0" w:color="2F5496" w:themeColor="accent1" w:themeShade="BF"/>
              <w:right w:val="nil"/>
            </w:tcBorders>
            <w:shd w:val="clear" w:color="auto" w:fill="auto"/>
            <w:vAlign w:val="center"/>
            <w:hideMark/>
          </w:tcPr>
          <w:p w14:paraId="53B93623"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7,947,203</w:t>
            </w:r>
          </w:p>
        </w:tc>
        <w:tc>
          <w:tcPr>
            <w:tcW w:w="1860" w:type="dxa"/>
            <w:tcBorders>
              <w:top w:val="nil"/>
              <w:left w:val="nil"/>
              <w:bottom w:val="single" w:sz="4" w:space="0" w:color="2F5496" w:themeColor="accent1" w:themeShade="BF"/>
              <w:right w:val="nil"/>
            </w:tcBorders>
            <w:shd w:val="clear" w:color="auto" w:fill="auto"/>
            <w:vAlign w:val="center"/>
            <w:hideMark/>
          </w:tcPr>
          <w:p w14:paraId="035ED1D5" w14:textId="77777777" w:rsidR="003C4F2E" w:rsidRPr="006970A5"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8F368D">
              <w:rPr>
                <w:rFonts w:cs="Arial"/>
                <w:b/>
                <w:bCs/>
                <w:color w:val="auto"/>
                <w:szCs w:val="14"/>
                <w:lang w:eastAsia="en-US"/>
              </w:rPr>
              <w:t>6,196,415</w:t>
            </w:r>
          </w:p>
        </w:tc>
        <w:tc>
          <w:tcPr>
            <w:tcW w:w="1853" w:type="dxa"/>
            <w:tcBorders>
              <w:top w:val="nil"/>
              <w:left w:val="nil"/>
              <w:bottom w:val="single" w:sz="4" w:space="0" w:color="2F5496" w:themeColor="accent1" w:themeShade="BF"/>
              <w:right w:val="nil"/>
            </w:tcBorders>
            <w:shd w:val="clear" w:color="auto" w:fill="auto"/>
            <w:hideMark/>
          </w:tcPr>
          <w:p w14:paraId="67A4882E" w14:textId="77777777" w:rsidR="003C4F2E" w:rsidRPr="00204CEF"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8F368D">
              <w:rPr>
                <w:b/>
                <w:bCs/>
                <w:color w:val="auto"/>
              </w:rPr>
              <w:t>28.3</w:t>
            </w:r>
          </w:p>
        </w:tc>
      </w:tr>
      <w:bookmarkEnd w:id="4"/>
    </w:tbl>
    <w:p w14:paraId="3531C62E" w14:textId="77777777" w:rsidR="003C4F2E" w:rsidRDefault="003C4F2E" w:rsidP="003C4F2E">
      <w:pPr>
        <w:pStyle w:val="01-Textonormal"/>
        <w:rPr>
          <w:rFonts w:cs="Arial"/>
          <w:lang w:val="en-US"/>
        </w:rPr>
      </w:pPr>
    </w:p>
    <w:p w14:paraId="518CB4F1" w14:textId="77777777" w:rsidR="003C4F2E" w:rsidRPr="007D7876" w:rsidRDefault="003C4F2E" w:rsidP="003C4F2E">
      <w:pPr>
        <w:pStyle w:val="01-Textonormal"/>
        <w:rPr>
          <w:rFonts w:cs="Arial"/>
          <w:lang w:val="en-US"/>
        </w:rPr>
      </w:pPr>
      <w:r w:rsidRPr="008F368D">
        <w:rPr>
          <w:rFonts w:cs="Arial"/>
          <w:lang w:val="en-US"/>
        </w:rPr>
        <w:t xml:space="preserve">In 2023, BB </w:t>
      </w:r>
      <w:proofErr w:type="spellStart"/>
      <w:r w:rsidRPr="008F368D">
        <w:rPr>
          <w:rFonts w:cs="Arial"/>
          <w:lang w:val="en-US"/>
        </w:rPr>
        <w:t>Seguridade’s</w:t>
      </w:r>
      <w:proofErr w:type="spellEnd"/>
      <w:r w:rsidRPr="008F368D">
        <w:rPr>
          <w:rFonts w:cs="Arial"/>
          <w:lang w:val="en-US"/>
        </w:rPr>
        <w:t xml:space="preserve"> net income grew 28.3% YoY, to R$7.9 billion. </w:t>
      </w:r>
      <w:r w:rsidRPr="007D7876">
        <w:rPr>
          <w:rFonts w:cs="Arial"/>
          <w:lang w:val="en-US"/>
        </w:rPr>
        <w:t>The main factors explaining the R$1.8 billion increase were:</w:t>
      </w:r>
    </w:p>
    <w:p w14:paraId="1E06606A" w14:textId="77777777" w:rsidR="003C4F2E" w:rsidRPr="008F368D" w:rsidRDefault="003C4F2E" w:rsidP="003C4F2E">
      <w:pPr>
        <w:pStyle w:val="10-Lista2"/>
        <w:ind w:left="1004"/>
        <w:rPr>
          <w:lang w:val="en-US"/>
        </w:rPr>
      </w:pPr>
      <w:proofErr w:type="spellStart"/>
      <w:r w:rsidRPr="008F368D">
        <w:rPr>
          <w:b/>
          <w:bCs/>
          <w:lang w:val="en-US"/>
        </w:rPr>
        <w:t>Brasilseg</w:t>
      </w:r>
      <w:proofErr w:type="spellEnd"/>
      <w:r w:rsidRPr="008F368D">
        <w:rPr>
          <w:b/>
          <w:bCs/>
          <w:lang w:val="en-US"/>
        </w:rPr>
        <w:t xml:space="preserve"> (+R$962.3 million):</w:t>
      </w:r>
      <w:r w:rsidRPr="008F368D">
        <w:rPr>
          <w:lang w:val="en-US"/>
        </w:rPr>
        <w:t xml:space="preserve"> boosted by the improvement of results from insurance contracts measured by the PAA</w:t>
      </w:r>
      <w:r>
        <w:rPr>
          <w:lang w:val="en-US"/>
        </w:rPr>
        <w:t xml:space="preserve"> – Premium Allocation Approach</w:t>
      </w:r>
      <w:r w:rsidRPr="008F368D">
        <w:rPr>
          <w:lang w:val="en-US"/>
        </w:rPr>
        <w:t>, due to the higher recognition of premiums as compared to 2022, as well as the higher release of CSM</w:t>
      </w:r>
      <w:r>
        <w:rPr>
          <w:lang w:val="en-US"/>
        </w:rPr>
        <w:t xml:space="preserve"> – Contractual Service Margin</w:t>
      </w:r>
      <w:r w:rsidRPr="008F368D">
        <w:rPr>
          <w:lang w:val="en-US"/>
        </w:rPr>
        <w:t>, especially those related to credit life insurance which is measured by the BBA</w:t>
      </w:r>
      <w:r>
        <w:rPr>
          <w:lang w:val="en-US"/>
        </w:rPr>
        <w:t xml:space="preserve"> – Building Block </w:t>
      </w:r>
      <w:proofErr w:type="gramStart"/>
      <w:r>
        <w:rPr>
          <w:lang w:val="en-US"/>
        </w:rPr>
        <w:t>Approach</w:t>
      </w:r>
      <w:r w:rsidRPr="008F368D">
        <w:rPr>
          <w:lang w:val="en-US"/>
        </w:rPr>
        <w:t>;</w:t>
      </w:r>
      <w:proofErr w:type="gramEnd"/>
    </w:p>
    <w:p w14:paraId="75AD7455" w14:textId="77777777" w:rsidR="003C4F2E" w:rsidRPr="008F368D" w:rsidRDefault="003C4F2E" w:rsidP="003C4F2E">
      <w:pPr>
        <w:pStyle w:val="10-Lista2"/>
        <w:numPr>
          <w:ilvl w:val="0"/>
          <w:numId w:val="0"/>
        </w:numPr>
        <w:ind w:left="1004" w:hanging="360"/>
        <w:rPr>
          <w:lang w:val="en-US"/>
        </w:rPr>
      </w:pPr>
    </w:p>
    <w:p w14:paraId="1A54D911" w14:textId="77777777" w:rsidR="003C4F2E" w:rsidRPr="008F368D" w:rsidRDefault="003C4F2E" w:rsidP="003C4F2E">
      <w:pPr>
        <w:pStyle w:val="10-Lista2"/>
        <w:ind w:left="1004"/>
        <w:rPr>
          <w:lang w:val="en-US"/>
        </w:rPr>
      </w:pPr>
      <w:proofErr w:type="spellStart"/>
      <w:r w:rsidRPr="008F368D">
        <w:rPr>
          <w:b/>
          <w:bCs/>
          <w:lang w:val="en-US"/>
        </w:rPr>
        <w:t>Brasilprev</w:t>
      </w:r>
      <w:proofErr w:type="spellEnd"/>
      <w:r w:rsidRPr="008F368D">
        <w:rPr>
          <w:b/>
          <w:bCs/>
          <w:lang w:val="en-US"/>
        </w:rPr>
        <w:t xml:space="preserve"> (+R$372.2 million):</w:t>
      </w:r>
      <w:r w:rsidRPr="008F368D">
        <w:rPr>
          <w:lang w:val="en-US"/>
        </w:rPr>
        <w:t xml:space="preserve"> helped mainly by the reduction of defined benefit plans onerousness</w:t>
      </w:r>
      <w:r>
        <w:rPr>
          <w:lang w:val="en-US"/>
        </w:rPr>
        <w:t>, which was</w:t>
      </w:r>
      <w:r w:rsidRPr="008F368D">
        <w:rPr>
          <w:lang w:val="en-US"/>
        </w:rPr>
        <w:t xml:space="preserve"> calculated in the transition for the new accounting standard (IFRS 17), due to the deflation of IGP-M and the increase of redemptions and migrations, deviating from the estimates adopted in the </w:t>
      </w:r>
      <w:proofErr w:type="gramStart"/>
      <w:r w:rsidRPr="008F368D">
        <w:rPr>
          <w:lang w:val="en-US"/>
        </w:rPr>
        <w:t>transition;</w:t>
      </w:r>
      <w:proofErr w:type="gramEnd"/>
      <w:r w:rsidRPr="008F368D">
        <w:rPr>
          <w:lang w:val="en-US"/>
        </w:rPr>
        <w:t xml:space="preserve"> </w:t>
      </w:r>
    </w:p>
    <w:p w14:paraId="44182224" w14:textId="77777777" w:rsidR="003C4F2E" w:rsidRPr="008F368D" w:rsidRDefault="003C4F2E" w:rsidP="003C4F2E">
      <w:pPr>
        <w:pStyle w:val="10-Lista2"/>
        <w:numPr>
          <w:ilvl w:val="0"/>
          <w:numId w:val="0"/>
        </w:numPr>
        <w:ind w:left="1004"/>
        <w:rPr>
          <w:lang w:val="en-US"/>
        </w:rPr>
      </w:pPr>
    </w:p>
    <w:p w14:paraId="6CE2850F" w14:textId="77777777" w:rsidR="003C4F2E" w:rsidRPr="008F368D" w:rsidRDefault="003C4F2E" w:rsidP="003C4F2E">
      <w:pPr>
        <w:pStyle w:val="10-Lista2"/>
        <w:ind w:left="1004"/>
        <w:rPr>
          <w:lang w:val="en-US"/>
        </w:rPr>
      </w:pPr>
      <w:r w:rsidRPr="008F368D">
        <w:rPr>
          <w:b/>
          <w:bCs/>
          <w:lang w:val="en-US"/>
        </w:rPr>
        <w:t xml:space="preserve">BB </w:t>
      </w:r>
      <w:proofErr w:type="spellStart"/>
      <w:r w:rsidRPr="008F368D">
        <w:rPr>
          <w:b/>
          <w:bCs/>
          <w:lang w:val="en-US"/>
        </w:rPr>
        <w:t>Corretora</w:t>
      </w:r>
      <w:proofErr w:type="spellEnd"/>
      <w:r w:rsidRPr="008F368D">
        <w:rPr>
          <w:b/>
          <w:bCs/>
          <w:lang w:val="en-US"/>
        </w:rPr>
        <w:t xml:space="preserve"> (+R$258.9 million): </w:t>
      </w:r>
      <w:r w:rsidRPr="008F368D">
        <w:rPr>
          <w:lang w:val="en-US"/>
        </w:rPr>
        <w:t>due to the increase of brokerage revenues and growth of net investmen</w:t>
      </w:r>
      <w:r>
        <w:rPr>
          <w:lang w:val="en-US"/>
        </w:rPr>
        <w:t>t</w:t>
      </w:r>
      <w:r w:rsidRPr="008F368D">
        <w:rPr>
          <w:lang w:val="en-US"/>
        </w:rPr>
        <w:t xml:space="preserve"> </w:t>
      </w:r>
      <w:proofErr w:type="gramStart"/>
      <w:r w:rsidRPr="008F368D">
        <w:rPr>
          <w:lang w:val="en-US"/>
        </w:rPr>
        <w:t>income;</w:t>
      </w:r>
      <w:proofErr w:type="gramEnd"/>
    </w:p>
    <w:p w14:paraId="49178350" w14:textId="77777777" w:rsidR="003C4F2E" w:rsidRPr="008F368D" w:rsidRDefault="003C4F2E" w:rsidP="003C4F2E">
      <w:pPr>
        <w:pStyle w:val="10-Lista2"/>
        <w:numPr>
          <w:ilvl w:val="0"/>
          <w:numId w:val="0"/>
        </w:numPr>
        <w:rPr>
          <w:lang w:val="en-US"/>
        </w:rPr>
      </w:pPr>
    </w:p>
    <w:p w14:paraId="26157F70" w14:textId="5F740210" w:rsidR="003C4F2E" w:rsidRPr="008F368D" w:rsidRDefault="003C4F2E" w:rsidP="003C4F2E">
      <w:pPr>
        <w:pStyle w:val="10-Lista2"/>
        <w:ind w:left="1004"/>
        <w:rPr>
          <w:lang w:val="en-US"/>
        </w:rPr>
      </w:pPr>
      <w:r w:rsidRPr="008F368D">
        <w:rPr>
          <w:b/>
          <w:bCs/>
          <w:lang w:val="en-US"/>
        </w:rPr>
        <w:t>Other (</w:t>
      </w:r>
      <w:r w:rsidR="00970837">
        <w:rPr>
          <w:b/>
          <w:bCs/>
          <w:lang w:val="en-US"/>
        </w:rPr>
        <w:t>+</w:t>
      </w:r>
      <w:r w:rsidRPr="008F368D">
        <w:rPr>
          <w:b/>
          <w:bCs/>
          <w:lang w:val="en-US"/>
        </w:rPr>
        <w:t xml:space="preserve">R$101.5 million): </w:t>
      </w:r>
      <w:r w:rsidRPr="008F368D">
        <w:rPr>
          <w:lang w:val="en-US"/>
        </w:rPr>
        <w:t xml:space="preserve">explained by lower tax expenses and reduction of earn-out provision for adjusting the price paid by MAPFRE for </w:t>
      </w:r>
      <w:proofErr w:type="spellStart"/>
      <w:r w:rsidRPr="008F368D">
        <w:rPr>
          <w:lang w:val="en-US"/>
        </w:rPr>
        <w:t>Brasilveiculos</w:t>
      </w:r>
      <w:proofErr w:type="spellEnd"/>
      <w:r w:rsidRPr="008F368D">
        <w:rPr>
          <w:lang w:val="en-US"/>
        </w:rPr>
        <w:t>; and</w:t>
      </w:r>
    </w:p>
    <w:p w14:paraId="21C6AA54" w14:textId="77777777" w:rsidR="003C4F2E" w:rsidRPr="008F368D" w:rsidRDefault="003C4F2E" w:rsidP="003C4F2E">
      <w:pPr>
        <w:pStyle w:val="10-Lista2"/>
        <w:numPr>
          <w:ilvl w:val="0"/>
          <w:numId w:val="0"/>
        </w:numPr>
        <w:rPr>
          <w:lang w:val="en-US"/>
        </w:rPr>
      </w:pPr>
    </w:p>
    <w:p w14:paraId="5D812CA9" w14:textId="77777777" w:rsidR="003C4F2E" w:rsidRPr="008F368D" w:rsidRDefault="003C4F2E" w:rsidP="003C4F2E">
      <w:pPr>
        <w:pStyle w:val="10-Lista2"/>
        <w:ind w:left="1004"/>
        <w:rPr>
          <w:lang w:val="en-US"/>
        </w:rPr>
      </w:pPr>
      <w:r w:rsidRPr="008F368D">
        <w:rPr>
          <w:b/>
          <w:bCs/>
          <w:lang w:val="en-US"/>
        </w:rPr>
        <w:t>Brasilcap (+R$34.0 million):</w:t>
      </w:r>
      <w:r w:rsidRPr="008F368D">
        <w:rPr>
          <w:lang w:val="en-US"/>
        </w:rPr>
        <w:t xml:space="preserve"> due to the </w:t>
      </w:r>
      <w:r>
        <w:rPr>
          <w:lang w:val="en-US"/>
        </w:rPr>
        <w:t>e</w:t>
      </w:r>
      <w:r w:rsidRPr="008F368D">
        <w:rPr>
          <w:lang w:val="en-US"/>
        </w:rPr>
        <w:t>volution of net investment income, explained by the expansion of the average balance of earning assets and increase of financial spread.</w:t>
      </w:r>
    </w:p>
    <w:p w14:paraId="3F9B288F" w14:textId="77777777" w:rsidR="003C4F2E" w:rsidRPr="008F368D" w:rsidRDefault="003C4F2E" w:rsidP="003C4F2E">
      <w:pPr>
        <w:pStyle w:val="05-Textonormal"/>
        <w:rPr>
          <w:rFonts w:cs="Arial"/>
          <w:lang w:val="en-US"/>
        </w:rPr>
      </w:pPr>
      <w:r w:rsidRPr="008F368D">
        <w:rPr>
          <w:rFonts w:cs="Arial"/>
          <w:lang w:val="en-US"/>
        </w:rPr>
        <w:t xml:space="preserve">The other operating income and expenses grew 33.8%, mostly for the increase of tax expenses </w:t>
      </w:r>
      <w:r>
        <w:rPr>
          <w:rFonts w:cs="Arial"/>
          <w:lang w:val="en-US"/>
        </w:rPr>
        <w:t>(</w:t>
      </w:r>
      <w:r w:rsidRPr="008F368D">
        <w:rPr>
          <w:rFonts w:cs="Arial"/>
          <w:lang w:val="en-US"/>
        </w:rPr>
        <w:t xml:space="preserve">PIS and </w:t>
      </w:r>
      <w:proofErr w:type="spellStart"/>
      <w:r w:rsidRPr="008F368D">
        <w:rPr>
          <w:rFonts w:cs="Arial"/>
          <w:lang w:val="en-US"/>
        </w:rPr>
        <w:t>Cofins</w:t>
      </w:r>
      <w:proofErr w:type="spellEnd"/>
      <w:r>
        <w:rPr>
          <w:rFonts w:cs="Arial"/>
          <w:lang w:val="en-US"/>
        </w:rPr>
        <w:t>)</w:t>
      </w:r>
      <w:r w:rsidRPr="008F368D">
        <w:rPr>
          <w:rFonts w:cs="Arial"/>
          <w:lang w:val="en-US"/>
        </w:rPr>
        <w:t xml:space="preserve"> on financial revenues</w:t>
      </w:r>
      <w:r>
        <w:rPr>
          <w:rFonts w:cs="Arial"/>
          <w:lang w:val="en-US"/>
        </w:rPr>
        <w:t>.</w:t>
      </w:r>
      <w:r w:rsidRPr="008F368D">
        <w:rPr>
          <w:rFonts w:cs="Arial"/>
          <w:lang w:val="en-US"/>
        </w:rPr>
        <w:t xml:space="preserve"> On the other hand, th</w:t>
      </w:r>
      <w:r>
        <w:rPr>
          <w:rFonts w:cs="Arial"/>
          <w:lang w:val="en-US"/>
        </w:rPr>
        <w:t>ose</w:t>
      </w:r>
      <w:r w:rsidRPr="008F368D">
        <w:rPr>
          <w:rFonts w:cs="Arial"/>
          <w:lang w:val="en-US"/>
        </w:rPr>
        <w:t xml:space="preserve"> effects were partially offset by the reduction of personnel expenses, justified by the revision of cost sharing percentages embedded in the methodology applied to the holdings and BB </w:t>
      </w:r>
      <w:proofErr w:type="spellStart"/>
      <w:r w:rsidRPr="008F368D">
        <w:rPr>
          <w:rFonts w:cs="Arial"/>
          <w:lang w:val="en-US"/>
        </w:rPr>
        <w:t>Corretora</w:t>
      </w:r>
      <w:proofErr w:type="spellEnd"/>
      <w:r w:rsidRPr="008F368D">
        <w:rPr>
          <w:rFonts w:cs="Arial"/>
          <w:lang w:val="en-US"/>
        </w:rPr>
        <w:t>.</w:t>
      </w:r>
    </w:p>
    <w:p w14:paraId="3E6FD5A2" w14:textId="77777777" w:rsidR="003C4F2E" w:rsidRPr="008F368D" w:rsidRDefault="003C4F2E" w:rsidP="003C4F2E">
      <w:pPr>
        <w:pStyle w:val="05-Textonormal"/>
        <w:rPr>
          <w:rFonts w:cs="Arial"/>
          <w:highlight w:val="yellow"/>
          <w:lang w:val="en-US"/>
        </w:rPr>
      </w:pPr>
    </w:p>
    <w:p w14:paraId="63637FF7" w14:textId="77777777" w:rsidR="003C4F2E" w:rsidRPr="00767B56" w:rsidRDefault="003C4F2E" w:rsidP="003C4F2E">
      <w:pPr>
        <w:pStyle w:val="01-TtulodeNota"/>
        <w:rPr>
          <w:color w:val="1F3864" w:themeColor="accent1" w:themeShade="80"/>
          <w:lang w:val="en-US"/>
        </w:rPr>
      </w:pPr>
      <w:bookmarkStart w:id="5" w:name="_Hlk94626662"/>
      <w:r w:rsidRPr="00767B56">
        <w:rPr>
          <w:color w:val="1F3864" w:themeColor="accent1" w:themeShade="80"/>
          <w:lang w:val="en-US"/>
        </w:rPr>
        <w:t>Equity investment</w:t>
      </w:r>
    </w:p>
    <w:p w14:paraId="7B3117F2" w14:textId="77777777" w:rsidR="003C4F2E" w:rsidRPr="00531D45" w:rsidRDefault="003C4F2E" w:rsidP="003C4F2E">
      <w:pPr>
        <w:pStyle w:val="05-Textonormal"/>
        <w:rPr>
          <w:rFonts w:cs="Arial"/>
          <w:lang w:val="en-US"/>
        </w:rPr>
      </w:pPr>
      <w:r w:rsidRPr="00531D45">
        <w:rPr>
          <w:rFonts w:cs="Arial"/>
          <w:lang w:val="en-US"/>
        </w:rPr>
        <w:t xml:space="preserve">According to the article 243 of Law 6404/76, the following table lists the Equity Investments of BB </w:t>
      </w:r>
      <w:proofErr w:type="spellStart"/>
      <w:r w:rsidRPr="00531D45">
        <w:rPr>
          <w:rFonts w:cs="Arial"/>
          <w:lang w:val="en-US"/>
        </w:rPr>
        <w:t>Seguridade</w:t>
      </w:r>
      <w:proofErr w:type="spellEnd"/>
      <w:r w:rsidRPr="00531D45">
        <w:rPr>
          <w:rFonts w:cs="Arial"/>
          <w:lang w:val="en-US"/>
        </w:rPr>
        <w:t xml:space="preserve">, as well as the variation of their balance and the equity income arising from them. The movements are detailed on the Explanatory Note 7.b) to the Financial Statements. </w:t>
      </w:r>
    </w:p>
    <w:p w14:paraId="25708A5D" w14:textId="44F3F9BD" w:rsidR="003C4F2E" w:rsidRPr="007D7876" w:rsidRDefault="003C4F2E" w:rsidP="003C4F2E">
      <w:pPr>
        <w:pStyle w:val="01-TtulodeNota"/>
        <w:rPr>
          <w:b w:val="0"/>
          <w:sz w:val="14"/>
          <w:lang w:val="en-US"/>
        </w:rPr>
      </w:pPr>
      <w:r w:rsidRPr="007D7876">
        <w:rPr>
          <w:rFonts w:cs="Arial"/>
          <w:b w:val="0"/>
          <w:sz w:val="14"/>
          <w:szCs w:val="14"/>
          <w:lang w:val="en-US"/>
        </w:rPr>
        <w:t xml:space="preserve">Table </w:t>
      </w:r>
      <w:r w:rsidRPr="00D52611">
        <w:rPr>
          <w:rFonts w:cs="Arial"/>
          <w:b w:val="0"/>
          <w:sz w:val="14"/>
          <w:szCs w:val="14"/>
        </w:rPr>
        <w:fldChar w:fldCharType="begin"/>
      </w:r>
      <w:r w:rsidRPr="007D7876">
        <w:rPr>
          <w:rFonts w:cs="Arial"/>
          <w:b w:val="0"/>
          <w:sz w:val="14"/>
          <w:szCs w:val="14"/>
          <w:lang w:val="en-US"/>
        </w:rPr>
        <w:instrText xml:space="preserve"> SEQ Tabela \* ARABIC </w:instrText>
      </w:r>
      <w:r w:rsidRPr="00D52611">
        <w:rPr>
          <w:rFonts w:cs="Arial"/>
          <w:b w:val="0"/>
          <w:sz w:val="14"/>
          <w:szCs w:val="14"/>
        </w:rPr>
        <w:fldChar w:fldCharType="separate"/>
      </w:r>
      <w:r w:rsidR="001125FF">
        <w:rPr>
          <w:rFonts w:cs="Arial"/>
          <w:b w:val="0"/>
          <w:noProof/>
          <w:sz w:val="14"/>
          <w:szCs w:val="14"/>
          <w:lang w:val="en-US"/>
        </w:rPr>
        <w:t>2</w:t>
      </w:r>
      <w:r w:rsidRPr="00D52611">
        <w:rPr>
          <w:rFonts w:cs="Arial"/>
          <w:b w:val="0"/>
          <w:noProof/>
          <w:sz w:val="14"/>
          <w:szCs w:val="14"/>
        </w:rPr>
        <w:fldChar w:fldCharType="end"/>
      </w:r>
      <w:r w:rsidRPr="007D7876">
        <w:rPr>
          <w:b w:val="0"/>
          <w:sz w:val="14"/>
          <w:lang w:val="en-US"/>
        </w:rPr>
        <w:t xml:space="preserve"> – Financial Performance | Equity i</w:t>
      </w:r>
      <w:r>
        <w:rPr>
          <w:b w:val="0"/>
          <w:sz w:val="14"/>
          <w:lang w:val="en-US"/>
        </w:rPr>
        <w:t>nvestment</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3C4F2E" w:rsidRPr="00D52611" w14:paraId="4B098D34" w14:textId="77777777" w:rsidTr="00447F9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2F5496" w:themeColor="accent1" w:themeShade="BF"/>
              <w:left w:val="nil"/>
              <w:bottom w:val="nil"/>
              <w:right w:val="nil"/>
            </w:tcBorders>
            <w:shd w:val="clear" w:color="auto" w:fill="auto"/>
            <w:vAlign w:val="center"/>
          </w:tcPr>
          <w:p w14:paraId="6978D78B" w14:textId="77777777" w:rsidR="003C4F2E" w:rsidRPr="00D52611" w:rsidRDefault="003C4F2E">
            <w:pPr>
              <w:pStyle w:val="08-Tabelageral"/>
              <w:jc w:val="left"/>
              <w:rPr>
                <w:rFonts w:cs="Arial"/>
                <w:lang w:eastAsia="en-US"/>
              </w:rPr>
            </w:pPr>
            <w:r>
              <w:rPr>
                <w:rFonts w:cs="Arial"/>
                <w:lang w:eastAsia="en-US"/>
              </w:rPr>
              <w:t>BRL Thousand</w:t>
            </w:r>
          </w:p>
        </w:tc>
        <w:tc>
          <w:tcPr>
            <w:tcW w:w="1407" w:type="dxa"/>
            <w:tcBorders>
              <w:top w:val="single" w:sz="2" w:space="0" w:color="2F5496" w:themeColor="accent1" w:themeShade="BF"/>
              <w:left w:val="nil"/>
              <w:bottom w:val="nil"/>
              <w:right w:val="nil"/>
            </w:tcBorders>
            <w:shd w:val="clear" w:color="auto" w:fill="auto"/>
            <w:vAlign w:val="center"/>
          </w:tcPr>
          <w:p w14:paraId="5BF1CD74" w14:textId="77777777" w:rsidR="003C4F2E" w:rsidRPr="00D52611"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2F5496" w:themeColor="accent1" w:themeShade="BF"/>
              <w:left w:val="nil"/>
              <w:bottom w:val="nil"/>
              <w:right w:val="nil"/>
            </w:tcBorders>
            <w:shd w:val="clear" w:color="auto" w:fill="auto"/>
            <w:vAlign w:val="center"/>
            <w:hideMark/>
          </w:tcPr>
          <w:p w14:paraId="6663D2CD" w14:textId="77777777" w:rsidR="003C4F2E" w:rsidRPr="00D52611"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r>
              <w:rPr>
                <w:rFonts w:cs="Arial"/>
                <w:lang w:eastAsia="en-US"/>
              </w:rPr>
              <w:t xml:space="preserve">Equity </w:t>
            </w:r>
            <w:proofErr w:type="spellStart"/>
            <w:r>
              <w:rPr>
                <w:rFonts w:cs="Arial"/>
                <w:lang w:eastAsia="en-US"/>
              </w:rPr>
              <w:t>stake</w:t>
            </w:r>
            <w:proofErr w:type="spellEnd"/>
            <w:r w:rsidRPr="00D52611">
              <w:rPr>
                <w:rFonts w:cs="Arial"/>
                <w:lang w:eastAsia="en-US"/>
              </w:rPr>
              <w:t xml:space="preserve"> (%)</w:t>
            </w:r>
          </w:p>
        </w:tc>
        <w:tc>
          <w:tcPr>
            <w:tcW w:w="2809" w:type="dxa"/>
            <w:gridSpan w:val="2"/>
            <w:tcBorders>
              <w:top w:val="single" w:sz="2" w:space="0" w:color="2F5496" w:themeColor="accent1" w:themeShade="BF"/>
              <w:left w:val="nil"/>
              <w:bottom w:val="nil"/>
              <w:right w:val="nil"/>
            </w:tcBorders>
            <w:shd w:val="clear" w:color="auto" w:fill="auto"/>
            <w:vAlign w:val="center"/>
            <w:hideMark/>
          </w:tcPr>
          <w:p w14:paraId="1E9ADF63" w14:textId="77777777" w:rsidR="003C4F2E" w:rsidRPr="00D52611"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Year-</w:t>
            </w:r>
            <w:proofErr w:type="spellStart"/>
            <w:r>
              <w:rPr>
                <w:rFonts w:cs="Arial"/>
                <w:lang w:eastAsia="en-US"/>
              </w:rPr>
              <w:t>end</w:t>
            </w:r>
            <w:proofErr w:type="spellEnd"/>
            <w:r>
              <w:rPr>
                <w:rFonts w:cs="Arial"/>
                <w:lang w:eastAsia="en-US"/>
              </w:rPr>
              <w:t xml:space="preserve"> balance</w:t>
            </w:r>
          </w:p>
        </w:tc>
        <w:tc>
          <w:tcPr>
            <w:tcW w:w="1914" w:type="dxa"/>
            <w:tcBorders>
              <w:top w:val="single" w:sz="2" w:space="0" w:color="2F5496" w:themeColor="accent1" w:themeShade="BF"/>
              <w:left w:val="nil"/>
              <w:bottom w:val="nil"/>
              <w:right w:val="nil"/>
            </w:tcBorders>
            <w:shd w:val="clear" w:color="auto" w:fill="auto"/>
            <w:vAlign w:val="center"/>
            <w:hideMark/>
          </w:tcPr>
          <w:p w14:paraId="3678956F" w14:textId="77777777" w:rsidR="003C4F2E" w:rsidRPr="00D52611"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Equity income</w:t>
            </w:r>
          </w:p>
        </w:tc>
      </w:tr>
      <w:tr w:rsidR="003C4F2E" w:rsidRPr="00D52611" w14:paraId="542F273B" w14:textId="77777777" w:rsidTr="00447F93">
        <w:trPr>
          <w:cnfStyle w:val="000000100000" w:firstRow="0" w:lastRow="0" w:firstColumn="0" w:lastColumn="0" w:oddVBand="0" w:evenVBand="0" w:oddHBand="1" w:evenHBand="0" w:firstRowFirstColumn="0" w:firstRowLastColumn="0" w:lastRowFirstColumn="0" w:lastRowLastColumn="0"/>
          <w:trHeight w:hRule="exact" w:val="511"/>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2F5496" w:themeColor="accent1" w:themeShade="BF"/>
              <w:right w:val="nil"/>
            </w:tcBorders>
            <w:shd w:val="clear" w:color="auto" w:fill="auto"/>
            <w:vAlign w:val="center"/>
          </w:tcPr>
          <w:p w14:paraId="487AE17A" w14:textId="77777777" w:rsidR="003C4F2E" w:rsidRPr="00D52611" w:rsidRDefault="003C4F2E">
            <w:pPr>
              <w:pStyle w:val="08-Tabelageral"/>
              <w:jc w:val="left"/>
              <w:rPr>
                <w:rFonts w:cs="Arial"/>
                <w:bCs w:val="0"/>
                <w:szCs w:val="14"/>
                <w:lang w:eastAsia="en-US"/>
              </w:rPr>
            </w:pPr>
          </w:p>
        </w:tc>
        <w:tc>
          <w:tcPr>
            <w:tcW w:w="1407" w:type="dxa"/>
            <w:tcBorders>
              <w:top w:val="nil"/>
              <w:left w:val="nil"/>
              <w:bottom w:val="single" w:sz="2" w:space="0" w:color="2F5496" w:themeColor="accent1" w:themeShade="BF"/>
              <w:right w:val="nil"/>
            </w:tcBorders>
            <w:shd w:val="clear" w:color="auto" w:fill="auto"/>
            <w:vAlign w:val="center"/>
            <w:hideMark/>
          </w:tcPr>
          <w:p w14:paraId="2D28DA24" w14:textId="77777777" w:rsidR="003C4F2E" w:rsidRPr="00D52611"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proofErr w:type="spellStart"/>
            <w:r w:rsidRPr="00D52611">
              <w:rPr>
                <w:rFonts w:cs="Arial"/>
                <w:b/>
                <w:lang w:eastAsia="en-US"/>
              </w:rPr>
              <w:t>A</w:t>
            </w:r>
            <w:r>
              <w:rPr>
                <w:rFonts w:cs="Arial"/>
                <w:b/>
                <w:lang w:eastAsia="en-US"/>
              </w:rPr>
              <w:t>ctivity</w:t>
            </w:r>
            <w:proofErr w:type="spellEnd"/>
          </w:p>
        </w:tc>
        <w:tc>
          <w:tcPr>
            <w:tcW w:w="1408" w:type="dxa"/>
            <w:tcBorders>
              <w:top w:val="nil"/>
              <w:left w:val="nil"/>
              <w:bottom w:val="single" w:sz="2" w:space="0" w:color="2F5496" w:themeColor="accent1" w:themeShade="BF"/>
              <w:right w:val="nil"/>
            </w:tcBorders>
            <w:shd w:val="clear" w:color="auto" w:fill="auto"/>
            <w:vAlign w:val="center"/>
            <w:hideMark/>
          </w:tcPr>
          <w:p w14:paraId="1345623C"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12</w:t>
            </w:r>
            <w:r>
              <w:rPr>
                <w:rFonts w:cs="Arial"/>
                <w:b/>
                <w:lang w:eastAsia="en-US"/>
              </w:rPr>
              <w:t>/31/</w:t>
            </w:r>
            <w:r w:rsidRPr="00D52611">
              <w:rPr>
                <w:rFonts w:cs="Arial"/>
                <w:b/>
                <w:lang w:eastAsia="en-US"/>
              </w:rPr>
              <w:t>202</w:t>
            </w:r>
            <w:r>
              <w:rPr>
                <w:rFonts w:cs="Arial"/>
                <w:b/>
                <w:lang w:eastAsia="en-US"/>
              </w:rPr>
              <w:t>3</w:t>
            </w:r>
          </w:p>
        </w:tc>
        <w:tc>
          <w:tcPr>
            <w:tcW w:w="1404" w:type="dxa"/>
            <w:tcBorders>
              <w:top w:val="nil"/>
              <w:left w:val="nil"/>
              <w:bottom w:val="single" w:sz="2" w:space="0" w:color="2F5496" w:themeColor="accent1" w:themeShade="BF"/>
              <w:right w:val="nil"/>
            </w:tcBorders>
            <w:shd w:val="clear" w:color="auto" w:fill="auto"/>
            <w:vAlign w:val="center"/>
            <w:hideMark/>
          </w:tcPr>
          <w:p w14:paraId="67D65264"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2023</w:t>
            </w:r>
          </w:p>
        </w:tc>
        <w:tc>
          <w:tcPr>
            <w:tcW w:w="1405" w:type="dxa"/>
            <w:tcBorders>
              <w:top w:val="nil"/>
              <w:left w:val="nil"/>
              <w:bottom w:val="single" w:sz="2" w:space="0" w:color="2F5496" w:themeColor="accent1" w:themeShade="BF"/>
              <w:right w:val="nil"/>
            </w:tcBorders>
            <w:shd w:val="clear" w:color="auto" w:fill="auto"/>
            <w:vAlign w:val="center"/>
            <w:hideMark/>
          </w:tcPr>
          <w:p w14:paraId="2423A1D1" w14:textId="77777777" w:rsidR="003C4F2E" w:rsidRPr="00D52611" w:rsidRDefault="003C4F2E">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2022 (</w:t>
            </w:r>
            <w:proofErr w:type="spellStart"/>
            <w:r>
              <w:rPr>
                <w:rFonts w:cs="Arial"/>
                <w:b/>
                <w:lang w:eastAsia="en-US"/>
              </w:rPr>
              <w:t>resubmitted</w:t>
            </w:r>
            <w:proofErr w:type="spellEnd"/>
            <w:r>
              <w:rPr>
                <w:rFonts w:cs="Arial"/>
                <w:b/>
                <w:lang w:eastAsia="en-US"/>
              </w:rPr>
              <w:t>)</w:t>
            </w:r>
          </w:p>
        </w:tc>
        <w:tc>
          <w:tcPr>
            <w:tcW w:w="1914" w:type="dxa"/>
            <w:tcBorders>
              <w:top w:val="nil"/>
              <w:left w:val="nil"/>
              <w:bottom w:val="single" w:sz="2" w:space="0" w:color="2F5496" w:themeColor="accent1" w:themeShade="BF"/>
              <w:right w:val="nil"/>
            </w:tcBorders>
            <w:shd w:val="clear" w:color="auto" w:fill="auto"/>
            <w:vAlign w:val="center"/>
            <w:hideMark/>
          </w:tcPr>
          <w:p w14:paraId="0603A074" w14:textId="77777777" w:rsidR="003C4F2E" w:rsidRPr="00D52611"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 2023</w:t>
            </w:r>
          </w:p>
        </w:tc>
      </w:tr>
      <w:tr w:rsidR="003C4F2E" w:rsidRPr="00D52611" w14:paraId="12E00E06" w14:textId="77777777" w:rsidTr="00447F93">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2F5496" w:themeColor="accent1" w:themeShade="BF"/>
              <w:left w:val="nil"/>
              <w:bottom w:val="nil"/>
              <w:right w:val="nil"/>
            </w:tcBorders>
            <w:shd w:val="clear" w:color="auto" w:fill="auto"/>
            <w:vAlign w:val="center"/>
            <w:hideMark/>
          </w:tcPr>
          <w:p w14:paraId="3000D8E7" w14:textId="77777777" w:rsidR="003C4F2E" w:rsidRPr="00D52611" w:rsidRDefault="003C4F2E">
            <w:pPr>
              <w:pStyle w:val="08-Tabelageral"/>
              <w:jc w:val="left"/>
              <w:rPr>
                <w:rFonts w:cs="Arial"/>
                <w:snapToGrid w:val="0"/>
                <w:lang w:eastAsia="en-US"/>
              </w:rPr>
            </w:pPr>
            <w:r>
              <w:rPr>
                <w:rFonts w:cs="Arial"/>
                <w:lang w:eastAsia="en-US"/>
              </w:rPr>
              <w:t xml:space="preserve">Equity </w:t>
            </w:r>
            <w:proofErr w:type="spellStart"/>
            <w:r>
              <w:rPr>
                <w:rFonts w:cs="Arial"/>
                <w:lang w:eastAsia="en-US"/>
              </w:rPr>
              <w:t>investment</w:t>
            </w:r>
            <w:proofErr w:type="spellEnd"/>
          </w:p>
        </w:tc>
        <w:tc>
          <w:tcPr>
            <w:tcW w:w="1407" w:type="dxa"/>
            <w:tcBorders>
              <w:top w:val="single" w:sz="2" w:space="0" w:color="2F5496" w:themeColor="accent1" w:themeShade="BF"/>
              <w:left w:val="nil"/>
              <w:bottom w:val="nil"/>
              <w:right w:val="nil"/>
            </w:tcBorders>
            <w:shd w:val="clear" w:color="auto" w:fill="auto"/>
            <w:vAlign w:val="center"/>
          </w:tcPr>
          <w:p w14:paraId="2B8DE0EC" w14:textId="77777777" w:rsidR="003C4F2E" w:rsidRPr="00D52611"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8" w:type="dxa"/>
            <w:tcBorders>
              <w:top w:val="single" w:sz="2" w:space="0" w:color="2F5496" w:themeColor="accent1" w:themeShade="BF"/>
              <w:left w:val="nil"/>
              <w:bottom w:val="nil"/>
              <w:right w:val="nil"/>
            </w:tcBorders>
            <w:shd w:val="clear" w:color="auto" w:fill="auto"/>
            <w:vAlign w:val="center"/>
          </w:tcPr>
          <w:p w14:paraId="7CFA90C0"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Cs/>
                <w:color w:val="FF0000"/>
                <w:szCs w:val="14"/>
                <w:lang w:eastAsia="en-US"/>
              </w:rPr>
            </w:pPr>
          </w:p>
        </w:tc>
        <w:tc>
          <w:tcPr>
            <w:tcW w:w="1404" w:type="dxa"/>
            <w:tcBorders>
              <w:top w:val="single" w:sz="2" w:space="0" w:color="2F5496" w:themeColor="accent1" w:themeShade="BF"/>
              <w:left w:val="nil"/>
              <w:bottom w:val="nil"/>
              <w:right w:val="nil"/>
            </w:tcBorders>
            <w:shd w:val="clear" w:color="auto" w:fill="auto"/>
            <w:vAlign w:val="center"/>
          </w:tcPr>
          <w:p w14:paraId="33901FD8"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c>
          <w:tcPr>
            <w:tcW w:w="1405" w:type="dxa"/>
            <w:tcBorders>
              <w:top w:val="single" w:sz="2" w:space="0" w:color="2F5496" w:themeColor="accent1" w:themeShade="BF"/>
              <w:left w:val="nil"/>
              <w:bottom w:val="nil"/>
              <w:right w:val="nil"/>
            </w:tcBorders>
            <w:shd w:val="clear" w:color="auto" w:fill="auto"/>
            <w:vAlign w:val="center"/>
          </w:tcPr>
          <w:p w14:paraId="3B227251"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szCs w:val="14"/>
                <w:lang w:eastAsia="en-US"/>
              </w:rPr>
            </w:pPr>
          </w:p>
        </w:tc>
        <w:tc>
          <w:tcPr>
            <w:tcW w:w="1914" w:type="dxa"/>
            <w:tcBorders>
              <w:top w:val="single" w:sz="2" w:space="0" w:color="2F5496" w:themeColor="accent1" w:themeShade="BF"/>
              <w:left w:val="nil"/>
              <w:bottom w:val="nil"/>
              <w:right w:val="nil"/>
            </w:tcBorders>
            <w:shd w:val="clear" w:color="auto" w:fill="auto"/>
            <w:vAlign w:val="center"/>
          </w:tcPr>
          <w:p w14:paraId="338866E4" w14:textId="77777777" w:rsidR="003C4F2E" w:rsidRPr="00D52611"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FF0000"/>
                <w:szCs w:val="14"/>
                <w:lang w:eastAsia="en-US"/>
              </w:rPr>
            </w:pPr>
          </w:p>
        </w:tc>
      </w:tr>
      <w:tr w:rsidR="003C4F2E" w:rsidRPr="0063474D" w14:paraId="16C89947"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3886C3D0" w14:textId="77777777" w:rsidR="003C4F2E" w:rsidRPr="001607D7" w:rsidRDefault="003C4F2E">
            <w:pPr>
              <w:pStyle w:val="08-Tabelageral"/>
              <w:jc w:val="left"/>
              <w:rPr>
                <w:rFonts w:cs="Arial"/>
                <w:b w:val="0"/>
                <w:bCs w:val="0"/>
                <w:snapToGrid w:val="0"/>
                <w:color w:val="auto"/>
                <w:lang w:eastAsia="en-US"/>
              </w:rPr>
            </w:pPr>
            <w:r w:rsidRPr="00CB1817">
              <w:rPr>
                <w:rFonts w:cs="Arial"/>
                <w:lang w:eastAsia="en-US"/>
              </w:rPr>
              <w:t>BB Seguros</w:t>
            </w:r>
          </w:p>
        </w:tc>
        <w:tc>
          <w:tcPr>
            <w:tcW w:w="1407" w:type="dxa"/>
            <w:tcBorders>
              <w:top w:val="nil"/>
              <w:left w:val="nil"/>
              <w:bottom w:val="nil"/>
              <w:right w:val="nil"/>
            </w:tcBorders>
            <w:shd w:val="clear" w:color="auto" w:fill="auto"/>
            <w:vAlign w:val="center"/>
            <w:hideMark/>
          </w:tcPr>
          <w:p w14:paraId="2512CEEB"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Holding</w:t>
            </w:r>
          </w:p>
        </w:tc>
        <w:tc>
          <w:tcPr>
            <w:tcW w:w="1408" w:type="dxa"/>
            <w:tcBorders>
              <w:top w:val="nil"/>
              <w:left w:val="nil"/>
              <w:bottom w:val="nil"/>
              <w:right w:val="nil"/>
            </w:tcBorders>
            <w:shd w:val="clear" w:color="auto" w:fill="auto"/>
            <w:vAlign w:val="center"/>
            <w:hideMark/>
          </w:tcPr>
          <w:p w14:paraId="5D98C45E"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100</w:t>
            </w:r>
            <w:r>
              <w:rPr>
                <w:rFonts w:cs="Arial"/>
                <w:b/>
                <w:color w:val="auto"/>
                <w:lang w:eastAsia="en-US"/>
              </w:rPr>
              <w:t>.</w:t>
            </w:r>
            <w:r w:rsidRPr="0063474D">
              <w:rPr>
                <w:rFonts w:cs="Arial"/>
                <w:b/>
                <w:color w:val="auto"/>
                <w:lang w:eastAsia="en-US"/>
              </w:rPr>
              <w:t>00%</w:t>
            </w:r>
          </w:p>
        </w:tc>
        <w:tc>
          <w:tcPr>
            <w:tcW w:w="1404" w:type="dxa"/>
            <w:tcBorders>
              <w:top w:val="nil"/>
              <w:left w:val="nil"/>
              <w:bottom w:val="nil"/>
              <w:right w:val="nil"/>
            </w:tcBorders>
            <w:shd w:val="clear" w:color="auto" w:fill="auto"/>
            <w:vAlign w:val="center"/>
            <w:hideMark/>
          </w:tcPr>
          <w:p w14:paraId="48B2306D"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9</w:t>
            </w:r>
            <w:r>
              <w:rPr>
                <w:rFonts w:cs="Arial"/>
                <w:b/>
                <w:color w:val="auto"/>
                <w:lang w:eastAsia="en-US"/>
              </w:rPr>
              <w:t>,</w:t>
            </w:r>
            <w:r w:rsidRPr="0063474D">
              <w:rPr>
                <w:rFonts w:cs="Arial"/>
                <w:b/>
                <w:color w:val="auto"/>
                <w:lang w:eastAsia="en-US"/>
              </w:rPr>
              <w:t>122</w:t>
            </w:r>
            <w:r>
              <w:rPr>
                <w:rFonts w:cs="Arial"/>
                <w:b/>
                <w:color w:val="auto"/>
                <w:lang w:eastAsia="en-US"/>
              </w:rPr>
              <w:t>,</w:t>
            </w:r>
            <w:r w:rsidRPr="0063474D">
              <w:rPr>
                <w:rFonts w:cs="Arial"/>
                <w:b/>
                <w:color w:val="auto"/>
                <w:lang w:eastAsia="en-US"/>
              </w:rPr>
              <w:t>73</w:t>
            </w:r>
            <w:r>
              <w:rPr>
                <w:rFonts w:cs="Arial"/>
                <w:b/>
                <w:color w:val="auto"/>
                <w:lang w:eastAsia="en-US"/>
              </w:rPr>
              <w:t>3</w:t>
            </w:r>
          </w:p>
        </w:tc>
        <w:tc>
          <w:tcPr>
            <w:tcW w:w="1405" w:type="dxa"/>
            <w:tcBorders>
              <w:top w:val="nil"/>
              <w:left w:val="nil"/>
              <w:bottom w:val="nil"/>
              <w:right w:val="nil"/>
            </w:tcBorders>
            <w:shd w:val="clear" w:color="auto" w:fill="auto"/>
            <w:vAlign w:val="center"/>
            <w:hideMark/>
          </w:tcPr>
          <w:p w14:paraId="76F89D1C"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63474D">
              <w:rPr>
                <w:rFonts w:cs="Arial"/>
                <w:b/>
                <w:color w:val="auto"/>
                <w:lang w:eastAsia="en-US"/>
              </w:rPr>
              <w:t>7</w:t>
            </w:r>
            <w:r>
              <w:rPr>
                <w:rFonts w:cs="Arial"/>
                <w:b/>
                <w:color w:val="auto"/>
                <w:lang w:eastAsia="en-US"/>
              </w:rPr>
              <w:t>,</w:t>
            </w:r>
            <w:r w:rsidRPr="0063474D">
              <w:rPr>
                <w:rFonts w:cs="Arial"/>
                <w:b/>
                <w:color w:val="auto"/>
                <w:lang w:eastAsia="en-US"/>
              </w:rPr>
              <w:t>851</w:t>
            </w:r>
            <w:r>
              <w:rPr>
                <w:rFonts w:cs="Arial"/>
                <w:b/>
                <w:color w:val="auto"/>
                <w:lang w:eastAsia="en-US"/>
              </w:rPr>
              <w:t>,</w:t>
            </w:r>
            <w:r w:rsidRPr="0063474D">
              <w:rPr>
                <w:rFonts w:cs="Arial"/>
                <w:b/>
                <w:color w:val="auto"/>
                <w:lang w:eastAsia="en-US"/>
              </w:rPr>
              <w:t>061</w:t>
            </w:r>
          </w:p>
        </w:tc>
        <w:tc>
          <w:tcPr>
            <w:tcW w:w="1914" w:type="dxa"/>
            <w:tcBorders>
              <w:top w:val="nil"/>
              <w:left w:val="nil"/>
              <w:bottom w:val="nil"/>
              <w:right w:val="nil"/>
            </w:tcBorders>
            <w:shd w:val="clear" w:color="auto" w:fill="auto"/>
            <w:vAlign w:val="center"/>
            <w:hideMark/>
          </w:tcPr>
          <w:p w14:paraId="3AB0415E"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lang w:eastAsia="pt-BR"/>
              </w:rPr>
            </w:pPr>
            <w:r w:rsidRPr="0063474D">
              <w:rPr>
                <w:rFonts w:cs="Arial"/>
                <w:b/>
                <w:bCs/>
                <w:color w:val="auto"/>
                <w:sz w:val="14"/>
                <w:szCs w:val="14"/>
              </w:rPr>
              <w:t>4</w:t>
            </w:r>
            <w:r>
              <w:rPr>
                <w:rFonts w:cs="Arial"/>
                <w:b/>
                <w:bCs/>
                <w:color w:val="auto"/>
                <w:sz w:val="14"/>
                <w:szCs w:val="14"/>
              </w:rPr>
              <w:t>,</w:t>
            </w:r>
            <w:r w:rsidRPr="0063474D">
              <w:rPr>
                <w:rFonts w:cs="Arial"/>
                <w:b/>
                <w:bCs/>
                <w:color w:val="auto"/>
                <w:sz w:val="14"/>
                <w:szCs w:val="14"/>
              </w:rPr>
              <w:t>937</w:t>
            </w:r>
            <w:r>
              <w:rPr>
                <w:rFonts w:cs="Arial"/>
                <w:b/>
                <w:bCs/>
                <w:color w:val="auto"/>
                <w:sz w:val="14"/>
                <w:szCs w:val="14"/>
              </w:rPr>
              <w:t>,</w:t>
            </w:r>
            <w:r w:rsidRPr="0063474D">
              <w:rPr>
                <w:rFonts w:cs="Arial"/>
                <w:b/>
                <w:bCs/>
                <w:color w:val="auto"/>
                <w:sz w:val="14"/>
                <w:szCs w:val="14"/>
              </w:rPr>
              <w:t>503</w:t>
            </w:r>
          </w:p>
        </w:tc>
      </w:tr>
      <w:tr w:rsidR="003C4F2E" w:rsidRPr="0063474D" w14:paraId="3576584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8AD0260" w14:textId="77777777" w:rsidR="003C4F2E" w:rsidRPr="0063474D" w:rsidRDefault="003C4F2E">
            <w:pPr>
              <w:pStyle w:val="08-Tabelageral"/>
              <w:jc w:val="left"/>
              <w:rPr>
                <w:rFonts w:cs="Arial"/>
                <w:b w:val="0"/>
                <w:snapToGrid w:val="0"/>
                <w:color w:val="auto"/>
                <w:lang w:eastAsia="en-US"/>
              </w:rPr>
            </w:pPr>
            <w:proofErr w:type="spellStart"/>
            <w:r w:rsidRPr="0063474D">
              <w:rPr>
                <w:rFonts w:cs="Arial"/>
                <w:b w:val="0"/>
                <w:color w:val="auto"/>
                <w:lang w:eastAsia="en-US"/>
              </w:rPr>
              <w:t>B</w:t>
            </w:r>
            <w:r>
              <w:rPr>
                <w:rFonts w:cs="Arial"/>
                <w:b w:val="0"/>
                <w:color w:val="auto"/>
                <w:lang w:eastAsia="en-US"/>
              </w:rPr>
              <w:t>rasilseg</w:t>
            </w:r>
            <w:proofErr w:type="spellEnd"/>
          </w:p>
        </w:tc>
        <w:tc>
          <w:tcPr>
            <w:tcW w:w="1407" w:type="dxa"/>
            <w:tcBorders>
              <w:top w:val="nil"/>
              <w:left w:val="nil"/>
              <w:bottom w:val="nil"/>
              <w:right w:val="nil"/>
            </w:tcBorders>
            <w:shd w:val="clear" w:color="auto" w:fill="auto"/>
            <w:vAlign w:val="center"/>
            <w:hideMark/>
          </w:tcPr>
          <w:p w14:paraId="1040DE97"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Pr>
                <w:rFonts w:cs="Arial"/>
                <w:color w:val="auto"/>
                <w:lang w:eastAsia="en-US"/>
              </w:rPr>
              <w:t>Insurance</w:t>
            </w:r>
          </w:p>
        </w:tc>
        <w:tc>
          <w:tcPr>
            <w:tcW w:w="1408" w:type="dxa"/>
            <w:tcBorders>
              <w:top w:val="nil"/>
              <w:left w:val="nil"/>
              <w:bottom w:val="nil"/>
              <w:right w:val="nil"/>
            </w:tcBorders>
            <w:shd w:val="clear" w:color="auto" w:fill="auto"/>
            <w:vAlign w:val="center"/>
            <w:hideMark/>
          </w:tcPr>
          <w:p w14:paraId="23A805CC"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7FF32CC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szCs w:val="14"/>
                <w:lang w:eastAsia="en-US"/>
              </w:rPr>
              <w:t>2</w:t>
            </w:r>
            <w:r>
              <w:rPr>
                <w:rFonts w:cs="Arial"/>
                <w:color w:val="auto"/>
                <w:szCs w:val="14"/>
                <w:lang w:eastAsia="en-US"/>
              </w:rPr>
              <w:t>,</w:t>
            </w:r>
            <w:r w:rsidRPr="0063474D">
              <w:rPr>
                <w:rFonts w:cs="Arial"/>
                <w:color w:val="auto"/>
                <w:szCs w:val="14"/>
                <w:lang w:eastAsia="en-US"/>
              </w:rPr>
              <w:t>998</w:t>
            </w:r>
            <w:r>
              <w:rPr>
                <w:rFonts w:cs="Arial"/>
                <w:color w:val="auto"/>
                <w:szCs w:val="14"/>
                <w:lang w:eastAsia="en-US"/>
              </w:rPr>
              <w:t>,</w:t>
            </w:r>
            <w:r w:rsidRPr="0063474D">
              <w:rPr>
                <w:rFonts w:cs="Arial"/>
                <w:color w:val="auto"/>
                <w:szCs w:val="14"/>
                <w:lang w:eastAsia="en-US"/>
              </w:rPr>
              <w:t>631</w:t>
            </w:r>
          </w:p>
        </w:tc>
        <w:tc>
          <w:tcPr>
            <w:tcW w:w="1405" w:type="dxa"/>
            <w:tcBorders>
              <w:top w:val="nil"/>
              <w:left w:val="nil"/>
              <w:bottom w:val="nil"/>
              <w:right w:val="nil"/>
            </w:tcBorders>
            <w:shd w:val="clear" w:color="auto" w:fill="auto"/>
            <w:vAlign w:val="center"/>
            <w:hideMark/>
          </w:tcPr>
          <w:p w14:paraId="2F0923E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szCs w:val="14"/>
                <w:lang w:eastAsia="en-US"/>
              </w:rPr>
              <w:t>2</w:t>
            </w:r>
            <w:r>
              <w:rPr>
                <w:rFonts w:cs="Arial"/>
                <w:color w:val="auto"/>
                <w:szCs w:val="14"/>
                <w:lang w:eastAsia="en-US"/>
              </w:rPr>
              <w:t>,</w:t>
            </w:r>
            <w:r w:rsidRPr="0063474D">
              <w:rPr>
                <w:rFonts w:cs="Arial"/>
                <w:color w:val="auto"/>
                <w:szCs w:val="14"/>
                <w:lang w:eastAsia="en-US"/>
              </w:rPr>
              <w:t>552</w:t>
            </w:r>
            <w:r>
              <w:rPr>
                <w:rFonts w:cs="Arial"/>
                <w:color w:val="auto"/>
                <w:szCs w:val="14"/>
                <w:lang w:eastAsia="en-US"/>
              </w:rPr>
              <w:t>,</w:t>
            </w:r>
            <w:r w:rsidRPr="0063474D">
              <w:rPr>
                <w:rFonts w:cs="Arial"/>
                <w:color w:val="auto"/>
                <w:szCs w:val="14"/>
                <w:lang w:eastAsia="en-US"/>
              </w:rPr>
              <w:t>517</w:t>
            </w:r>
          </w:p>
        </w:tc>
        <w:tc>
          <w:tcPr>
            <w:tcW w:w="1914" w:type="dxa"/>
            <w:tcBorders>
              <w:top w:val="nil"/>
              <w:left w:val="nil"/>
              <w:bottom w:val="nil"/>
              <w:right w:val="nil"/>
            </w:tcBorders>
            <w:shd w:val="clear" w:color="auto" w:fill="auto"/>
            <w:vAlign w:val="center"/>
            <w:hideMark/>
          </w:tcPr>
          <w:p w14:paraId="0CB27670"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lang w:eastAsia="pt-BR"/>
              </w:rPr>
            </w:pPr>
            <w:r w:rsidRPr="0063474D">
              <w:rPr>
                <w:rFonts w:cs="Arial"/>
                <w:color w:val="auto"/>
                <w:sz w:val="14"/>
                <w:szCs w:val="14"/>
              </w:rPr>
              <w:t>2</w:t>
            </w:r>
            <w:r>
              <w:rPr>
                <w:rFonts w:cs="Arial"/>
                <w:color w:val="auto"/>
                <w:sz w:val="14"/>
                <w:szCs w:val="14"/>
              </w:rPr>
              <w:t>,</w:t>
            </w:r>
            <w:r w:rsidRPr="0063474D">
              <w:rPr>
                <w:rFonts w:cs="Arial"/>
                <w:color w:val="auto"/>
                <w:sz w:val="14"/>
                <w:szCs w:val="14"/>
              </w:rPr>
              <w:t>899</w:t>
            </w:r>
            <w:r>
              <w:rPr>
                <w:rFonts w:cs="Arial"/>
                <w:color w:val="auto"/>
                <w:sz w:val="14"/>
                <w:szCs w:val="14"/>
              </w:rPr>
              <w:t>,</w:t>
            </w:r>
            <w:r w:rsidRPr="0063474D">
              <w:rPr>
                <w:rFonts w:cs="Arial"/>
                <w:color w:val="auto"/>
                <w:sz w:val="14"/>
                <w:szCs w:val="14"/>
              </w:rPr>
              <w:t>970</w:t>
            </w:r>
          </w:p>
        </w:tc>
      </w:tr>
      <w:tr w:rsidR="003C4F2E" w:rsidRPr="0063474D" w14:paraId="7B61A234"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1825F22A" w14:textId="77777777" w:rsidR="003C4F2E" w:rsidRPr="0063474D" w:rsidRDefault="003C4F2E">
            <w:pPr>
              <w:pStyle w:val="08-Tabelageral"/>
              <w:jc w:val="left"/>
              <w:rPr>
                <w:rFonts w:cs="Arial"/>
                <w:b w:val="0"/>
                <w:snapToGrid w:val="0"/>
                <w:color w:val="auto"/>
                <w:lang w:eastAsia="en-US"/>
              </w:rPr>
            </w:pPr>
            <w:r w:rsidRPr="0063474D">
              <w:rPr>
                <w:rFonts w:cs="Arial"/>
                <w:b w:val="0"/>
                <w:color w:val="auto"/>
                <w:lang w:eastAsia="en-US"/>
              </w:rPr>
              <w:t>Brasilprev</w:t>
            </w:r>
          </w:p>
        </w:tc>
        <w:tc>
          <w:tcPr>
            <w:tcW w:w="1407" w:type="dxa"/>
            <w:tcBorders>
              <w:top w:val="nil"/>
              <w:left w:val="nil"/>
              <w:bottom w:val="nil"/>
              <w:right w:val="nil"/>
            </w:tcBorders>
            <w:shd w:val="clear" w:color="auto" w:fill="auto"/>
            <w:vAlign w:val="center"/>
            <w:hideMark/>
          </w:tcPr>
          <w:p w14:paraId="02C80296"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proofErr w:type="spellStart"/>
            <w:r>
              <w:rPr>
                <w:rFonts w:cs="Arial"/>
                <w:color w:val="auto"/>
                <w:lang w:eastAsia="en-US"/>
              </w:rPr>
              <w:t>Pension</w:t>
            </w:r>
            <w:proofErr w:type="spellEnd"/>
            <w:r>
              <w:rPr>
                <w:rFonts w:cs="Arial"/>
                <w:color w:val="auto"/>
                <w:lang w:eastAsia="en-US"/>
              </w:rPr>
              <w:t xml:space="preserve"> </w:t>
            </w:r>
            <w:proofErr w:type="spellStart"/>
            <w:r>
              <w:rPr>
                <w:rFonts w:cs="Arial"/>
                <w:color w:val="auto"/>
                <w:lang w:eastAsia="en-US"/>
              </w:rPr>
              <w:t>plan</w:t>
            </w:r>
            <w:proofErr w:type="spellEnd"/>
          </w:p>
        </w:tc>
        <w:tc>
          <w:tcPr>
            <w:tcW w:w="1408" w:type="dxa"/>
            <w:tcBorders>
              <w:top w:val="nil"/>
              <w:left w:val="nil"/>
              <w:bottom w:val="nil"/>
              <w:right w:val="nil"/>
            </w:tcBorders>
            <w:shd w:val="clear" w:color="auto" w:fill="auto"/>
            <w:vAlign w:val="center"/>
            <w:hideMark/>
          </w:tcPr>
          <w:p w14:paraId="4E17F95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08C5C8C5"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5</w:t>
            </w:r>
            <w:r>
              <w:rPr>
                <w:color w:val="auto"/>
                <w:lang w:eastAsia="en-US"/>
              </w:rPr>
              <w:t>,</w:t>
            </w:r>
            <w:r w:rsidRPr="0063474D">
              <w:rPr>
                <w:color w:val="auto"/>
                <w:lang w:eastAsia="en-US"/>
              </w:rPr>
              <w:t>695</w:t>
            </w:r>
            <w:r>
              <w:rPr>
                <w:color w:val="auto"/>
                <w:lang w:eastAsia="en-US"/>
              </w:rPr>
              <w:t>,</w:t>
            </w:r>
            <w:r w:rsidRPr="0063474D">
              <w:rPr>
                <w:color w:val="auto"/>
                <w:lang w:eastAsia="en-US"/>
              </w:rPr>
              <w:t>326</w:t>
            </w:r>
          </w:p>
        </w:tc>
        <w:tc>
          <w:tcPr>
            <w:tcW w:w="1405" w:type="dxa"/>
            <w:tcBorders>
              <w:top w:val="nil"/>
              <w:left w:val="nil"/>
              <w:bottom w:val="nil"/>
              <w:right w:val="nil"/>
            </w:tcBorders>
            <w:shd w:val="clear" w:color="auto" w:fill="auto"/>
            <w:vAlign w:val="center"/>
            <w:hideMark/>
          </w:tcPr>
          <w:p w14:paraId="26B3D43B"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4</w:t>
            </w:r>
            <w:r>
              <w:rPr>
                <w:color w:val="auto"/>
                <w:lang w:eastAsia="en-US"/>
              </w:rPr>
              <w:t>,</w:t>
            </w:r>
            <w:r w:rsidRPr="0063474D">
              <w:rPr>
                <w:color w:val="auto"/>
                <w:lang w:eastAsia="en-US"/>
              </w:rPr>
              <w:t>842</w:t>
            </w:r>
            <w:r>
              <w:rPr>
                <w:color w:val="auto"/>
                <w:lang w:eastAsia="en-US"/>
              </w:rPr>
              <w:t>,</w:t>
            </w:r>
            <w:r w:rsidRPr="0063474D">
              <w:rPr>
                <w:color w:val="auto"/>
                <w:lang w:eastAsia="en-US"/>
              </w:rPr>
              <w:t>331</w:t>
            </w:r>
          </w:p>
        </w:tc>
        <w:tc>
          <w:tcPr>
            <w:tcW w:w="1914" w:type="dxa"/>
            <w:tcBorders>
              <w:top w:val="nil"/>
              <w:left w:val="nil"/>
              <w:bottom w:val="nil"/>
              <w:right w:val="nil"/>
            </w:tcBorders>
            <w:shd w:val="clear" w:color="auto" w:fill="auto"/>
            <w:vAlign w:val="center"/>
            <w:hideMark/>
          </w:tcPr>
          <w:p w14:paraId="5BE1AAC8"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rPr>
              <w:t>1</w:t>
            </w:r>
            <w:r>
              <w:rPr>
                <w:rFonts w:cs="Arial"/>
                <w:color w:val="auto"/>
                <w:sz w:val="14"/>
                <w:szCs w:val="14"/>
              </w:rPr>
              <w:t>,</w:t>
            </w:r>
            <w:r w:rsidRPr="0063474D">
              <w:rPr>
                <w:rFonts w:cs="Arial"/>
                <w:color w:val="auto"/>
                <w:sz w:val="14"/>
                <w:szCs w:val="14"/>
              </w:rPr>
              <w:t>789</w:t>
            </w:r>
            <w:r>
              <w:rPr>
                <w:rFonts w:cs="Arial"/>
                <w:color w:val="auto"/>
                <w:sz w:val="14"/>
                <w:szCs w:val="14"/>
              </w:rPr>
              <w:t>,</w:t>
            </w:r>
            <w:r w:rsidRPr="0063474D">
              <w:rPr>
                <w:rFonts w:cs="Arial"/>
                <w:color w:val="auto"/>
                <w:sz w:val="14"/>
                <w:szCs w:val="14"/>
              </w:rPr>
              <w:t>794</w:t>
            </w:r>
          </w:p>
        </w:tc>
      </w:tr>
      <w:tr w:rsidR="003C4F2E" w:rsidRPr="0063474D" w14:paraId="2380526A"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6B98A624" w14:textId="77777777" w:rsidR="003C4F2E" w:rsidRPr="0063474D" w:rsidRDefault="003C4F2E">
            <w:pPr>
              <w:pStyle w:val="08-Tabelageral"/>
              <w:jc w:val="left"/>
              <w:rPr>
                <w:rFonts w:cs="Arial"/>
                <w:b w:val="0"/>
                <w:snapToGrid w:val="0"/>
                <w:color w:val="auto"/>
                <w:vertAlign w:val="superscript"/>
                <w:lang w:eastAsia="en-US"/>
              </w:rPr>
            </w:pPr>
            <w:r w:rsidRPr="0063474D">
              <w:rPr>
                <w:rFonts w:cs="Arial"/>
                <w:b w:val="0"/>
                <w:color w:val="auto"/>
                <w:lang w:eastAsia="en-US"/>
              </w:rPr>
              <w:t>Brasilcap</w:t>
            </w:r>
          </w:p>
        </w:tc>
        <w:tc>
          <w:tcPr>
            <w:tcW w:w="1407" w:type="dxa"/>
            <w:tcBorders>
              <w:top w:val="nil"/>
              <w:left w:val="nil"/>
              <w:bottom w:val="nil"/>
              <w:right w:val="nil"/>
            </w:tcBorders>
            <w:shd w:val="clear" w:color="auto" w:fill="auto"/>
            <w:vAlign w:val="center"/>
            <w:hideMark/>
          </w:tcPr>
          <w:p w14:paraId="5A2A99A7"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r>
              <w:rPr>
                <w:rFonts w:cs="Arial"/>
                <w:color w:val="auto"/>
                <w:lang w:eastAsia="en-US"/>
              </w:rPr>
              <w:t xml:space="preserve">Premium </w:t>
            </w:r>
            <w:proofErr w:type="spellStart"/>
            <w:r>
              <w:rPr>
                <w:rFonts w:cs="Arial"/>
                <w:color w:val="auto"/>
                <w:lang w:eastAsia="en-US"/>
              </w:rPr>
              <w:t>bonds</w:t>
            </w:r>
            <w:proofErr w:type="spellEnd"/>
          </w:p>
        </w:tc>
        <w:tc>
          <w:tcPr>
            <w:tcW w:w="1408" w:type="dxa"/>
            <w:tcBorders>
              <w:top w:val="nil"/>
              <w:left w:val="nil"/>
              <w:bottom w:val="nil"/>
              <w:right w:val="nil"/>
            </w:tcBorders>
            <w:shd w:val="clear" w:color="auto" w:fill="auto"/>
            <w:vAlign w:val="center"/>
            <w:hideMark/>
          </w:tcPr>
          <w:p w14:paraId="2F558F22"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rFonts w:cs="Arial"/>
                <w:color w:val="auto"/>
                <w:lang w:eastAsia="en-US"/>
              </w:rPr>
              <w:t>66</w:t>
            </w:r>
            <w:r>
              <w:rPr>
                <w:rFonts w:cs="Arial"/>
                <w:color w:val="auto"/>
                <w:lang w:eastAsia="en-US"/>
              </w:rPr>
              <w:t>.</w:t>
            </w:r>
            <w:r w:rsidRPr="0063474D">
              <w:rPr>
                <w:rFonts w:cs="Arial"/>
                <w:color w:val="auto"/>
                <w:lang w:eastAsia="en-US"/>
              </w:rPr>
              <w:t>77%</w:t>
            </w:r>
          </w:p>
        </w:tc>
        <w:tc>
          <w:tcPr>
            <w:tcW w:w="1404" w:type="dxa"/>
            <w:tcBorders>
              <w:top w:val="nil"/>
              <w:left w:val="nil"/>
              <w:bottom w:val="nil"/>
              <w:right w:val="nil"/>
            </w:tcBorders>
            <w:shd w:val="clear" w:color="auto" w:fill="auto"/>
            <w:vAlign w:val="center"/>
            <w:hideMark/>
          </w:tcPr>
          <w:p w14:paraId="0060E1AC"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color w:val="auto"/>
                <w:lang w:eastAsia="en-US"/>
              </w:rPr>
              <w:t>622</w:t>
            </w:r>
            <w:r>
              <w:rPr>
                <w:color w:val="auto"/>
                <w:lang w:eastAsia="en-US"/>
              </w:rPr>
              <w:t>,</w:t>
            </w:r>
            <w:r w:rsidRPr="0063474D">
              <w:rPr>
                <w:color w:val="auto"/>
                <w:lang w:eastAsia="en-US"/>
              </w:rPr>
              <w:t>336</w:t>
            </w:r>
          </w:p>
        </w:tc>
        <w:tc>
          <w:tcPr>
            <w:tcW w:w="1405" w:type="dxa"/>
            <w:tcBorders>
              <w:top w:val="nil"/>
              <w:left w:val="nil"/>
              <w:bottom w:val="nil"/>
              <w:right w:val="nil"/>
            </w:tcBorders>
            <w:shd w:val="clear" w:color="auto" w:fill="auto"/>
            <w:vAlign w:val="center"/>
            <w:hideMark/>
          </w:tcPr>
          <w:p w14:paraId="1FBE408E"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63474D">
              <w:rPr>
                <w:color w:val="auto"/>
                <w:lang w:eastAsia="en-US"/>
              </w:rPr>
              <w:t>544</w:t>
            </w:r>
            <w:r>
              <w:rPr>
                <w:color w:val="auto"/>
                <w:lang w:eastAsia="en-US"/>
              </w:rPr>
              <w:t>,</w:t>
            </w:r>
            <w:r w:rsidRPr="0063474D">
              <w:rPr>
                <w:color w:val="auto"/>
                <w:lang w:eastAsia="en-US"/>
              </w:rPr>
              <w:t>590</w:t>
            </w:r>
          </w:p>
        </w:tc>
        <w:tc>
          <w:tcPr>
            <w:tcW w:w="1914" w:type="dxa"/>
            <w:tcBorders>
              <w:top w:val="nil"/>
              <w:left w:val="nil"/>
              <w:bottom w:val="nil"/>
              <w:right w:val="nil"/>
            </w:tcBorders>
            <w:shd w:val="clear" w:color="auto" w:fill="auto"/>
            <w:vAlign w:val="center"/>
            <w:hideMark/>
          </w:tcPr>
          <w:p w14:paraId="60BF3C7C"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lang w:eastAsia="pt-BR"/>
              </w:rPr>
            </w:pPr>
            <w:r w:rsidRPr="0063474D">
              <w:rPr>
                <w:rFonts w:cs="Arial"/>
                <w:color w:val="auto"/>
                <w:sz w:val="14"/>
                <w:szCs w:val="14"/>
              </w:rPr>
              <w:t>179</w:t>
            </w:r>
            <w:r>
              <w:rPr>
                <w:rFonts w:cs="Arial"/>
                <w:color w:val="auto"/>
                <w:sz w:val="14"/>
                <w:szCs w:val="14"/>
              </w:rPr>
              <w:t>,</w:t>
            </w:r>
            <w:r w:rsidRPr="0063474D">
              <w:rPr>
                <w:rFonts w:cs="Arial"/>
                <w:color w:val="auto"/>
                <w:sz w:val="14"/>
                <w:szCs w:val="14"/>
              </w:rPr>
              <w:t>162</w:t>
            </w:r>
          </w:p>
        </w:tc>
      </w:tr>
      <w:tr w:rsidR="003C4F2E" w:rsidRPr="0063474D" w14:paraId="71CF052F"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0CE67F88" w14:textId="77777777" w:rsidR="003C4F2E" w:rsidRPr="0063474D" w:rsidRDefault="003C4F2E">
            <w:pPr>
              <w:pStyle w:val="08-Tabelageral"/>
              <w:jc w:val="left"/>
              <w:rPr>
                <w:rFonts w:cs="Arial"/>
                <w:b w:val="0"/>
                <w:color w:val="auto"/>
                <w:lang w:eastAsia="en-US"/>
              </w:rPr>
            </w:pPr>
            <w:proofErr w:type="spellStart"/>
            <w:r w:rsidRPr="0063474D">
              <w:rPr>
                <w:rFonts w:cs="Arial"/>
                <w:b w:val="0"/>
                <w:color w:val="auto"/>
                <w:lang w:eastAsia="en-US"/>
              </w:rPr>
              <w:t>Brasildental</w:t>
            </w:r>
            <w:proofErr w:type="spellEnd"/>
          </w:p>
        </w:tc>
        <w:tc>
          <w:tcPr>
            <w:tcW w:w="1407" w:type="dxa"/>
            <w:tcBorders>
              <w:top w:val="nil"/>
              <w:left w:val="nil"/>
              <w:bottom w:val="nil"/>
              <w:right w:val="nil"/>
            </w:tcBorders>
            <w:shd w:val="clear" w:color="auto" w:fill="auto"/>
            <w:vAlign w:val="center"/>
            <w:hideMark/>
          </w:tcPr>
          <w:p w14:paraId="01B741C7"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Pr>
                <w:rFonts w:cs="Arial"/>
                <w:color w:val="auto"/>
                <w:lang w:eastAsia="en-US"/>
              </w:rPr>
              <w:t xml:space="preserve">Dental </w:t>
            </w:r>
            <w:proofErr w:type="spellStart"/>
            <w:r>
              <w:rPr>
                <w:rFonts w:cs="Arial"/>
                <w:color w:val="auto"/>
                <w:lang w:eastAsia="en-US"/>
              </w:rPr>
              <w:t>insurance</w:t>
            </w:r>
            <w:proofErr w:type="spellEnd"/>
          </w:p>
        </w:tc>
        <w:tc>
          <w:tcPr>
            <w:tcW w:w="1408" w:type="dxa"/>
            <w:tcBorders>
              <w:top w:val="nil"/>
              <w:left w:val="nil"/>
              <w:bottom w:val="nil"/>
              <w:right w:val="nil"/>
            </w:tcBorders>
            <w:shd w:val="clear" w:color="auto" w:fill="auto"/>
            <w:vAlign w:val="center"/>
            <w:hideMark/>
          </w:tcPr>
          <w:p w14:paraId="6E6319B3"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6ADDE0E3"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11</w:t>
            </w:r>
            <w:r>
              <w:rPr>
                <w:color w:val="auto"/>
                <w:lang w:eastAsia="en-US"/>
              </w:rPr>
              <w:t>,</w:t>
            </w:r>
            <w:r w:rsidRPr="0063474D">
              <w:rPr>
                <w:color w:val="auto"/>
                <w:lang w:eastAsia="en-US"/>
              </w:rPr>
              <w:t>255</w:t>
            </w:r>
          </w:p>
        </w:tc>
        <w:tc>
          <w:tcPr>
            <w:tcW w:w="1405" w:type="dxa"/>
            <w:tcBorders>
              <w:top w:val="nil"/>
              <w:left w:val="nil"/>
              <w:bottom w:val="nil"/>
              <w:right w:val="nil"/>
            </w:tcBorders>
            <w:shd w:val="clear" w:color="auto" w:fill="auto"/>
            <w:vAlign w:val="center"/>
            <w:hideMark/>
          </w:tcPr>
          <w:p w14:paraId="5D0954C8"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16</w:t>
            </w:r>
            <w:r>
              <w:rPr>
                <w:color w:val="auto"/>
                <w:lang w:eastAsia="en-US"/>
              </w:rPr>
              <w:t>,</w:t>
            </w:r>
            <w:r w:rsidRPr="0063474D">
              <w:rPr>
                <w:color w:val="auto"/>
                <w:lang w:eastAsia="en-US"/>
              </w:rPr>
              <w:t>495</w:t>
            </w:r>
          </w:p>
        </w:tc>
        <w:tc>
          <w:tcPr>
            <w:tcW w:w="1914" w:type="dxa"/>
            <w:tcBorders>
              <w:top w:val="nil"/>
              <w:left w:val="nil"/>
              <w:bottom w:val="nil"/>
              <w:right w:val="nil"/>
            </w:tcBorders>
            <w:shd w:val="clear" w:color="auto" w:fill="auto"/>
            <w:vAlign w:val="center"/>
            <w:hideMark/>
          </w:tcPr>
          <w:p w14:paraId="4A066149"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lang w:eastAsia="pt-BR"/>
              </w:rPr>
              <w:t>18</w:t>
            </w:r>
            <w:r>
              <w:rPr>
                <w:rFonts w:cs="Arial"/>
                <w:color w:val="auto"/>
                <w:sz w:val="14"/>
                <w:szCs w:val="14"/>
                <w:lang w:eastAsia="pt-BR"/>
              </w:rPr>
              <w:t>,</w:t>
            </w:r>
            <w:r w:rsidRPr="0063474D">
              <w:rPr>
                <w:rFonts w:cs="Arial"/>
                <w:color w:val="auto"/>
                <w:sz w:val="14"/>
                <w:szCs w:val="14"/>
                <w:lang w:eastAsia="pt-BR"/>
              </w:rPr>
              <w:t>213</w:t>
            </w:r>
          </w:p>
        </w:tc>
      </w:tr>
      <w:tr w:rsidR="003C4F2E" w:rsidRPr="0063474D" w14:paraId="44D0D82A" w14:textId="77777777">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vAlign w:val="center"/>
            <w:hideMark/>
          </w:tcPr>
          <w:p w14:paraId="2E06C9D8" w14:textId="77777777" w:rsidR="003C4F2E" w:rsidRPr="001607D7" w:rsidRDefault="003C4F2E">
            <w:pPr>
              <w:pStyle w:val="08-Tabelageral"/>
              <w:tabs>
                <w:tab w:val="left" w:pos="1141"/>
              </w:tabs>
              <w:jc w:val="left"/>
              <w:rPr>
                <w:rFonts w:cs="Arial"/>
                <w:b w:val="0"/>
                <w:bCs w:val="0"/>
                <w:snapToGrid w:val="0"/>
                <w:color w:val="auto"/>
                <w:lang w:eastAsia="en-US"/>
              </w:rPr>
            </w:pPr>
            <w:r w:rsidRPr="00CB1817">
              <w:rPr>
                <w:rFonts w:cs="Arial"/>
                <w:lang w:eastAsia="en-US"/>
              </w:rPr>
              <w:t>BB Corretora</w:t>
            </w:r>
          </w:p>
        </w:tc>
        <w:tc>
          <w:tcPr>
            <w:tcW w:w="1407" w:type="dxa"/>
            <w:tcBorders>
              <w:top w:val="nil"/>
              <w:left w:val="nil"/>
              <w:bottom w:val="nil"/>
              <w:right w:val="nil"/>
            </w:tcBorders>
            <w:shd w:val="clear" w:color="auto" w:fill="auto"/>
            <w:vAlign w:val="center"/>
            <w:hideMark/>
          </w:tcPr>
          <w:p w14:paraId="557A415A"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proofErr w:type="spellStart"/>
            <w:r>
              <w:rPr>
                <w:rFonts w:cs="Arial"/>
                <w:b/>
                <w:bCs/>
                <w:color w:val="auto"/>
                <w:lang w:eastAsia="en-US"/>
              </w:rPr>
              <w:t>Brokerage</w:t>
            </w:r>
            <w:proofErr w:type="spellEnd"/>
          </w:p>
        </w:tc>
        <w:tc>
          <w:tcPr>
            <w:tcW w:w="1408" w:type="dxa"/>
            <w:tcBorders>
              <w:top w:val="nil"/>
              <w:left w:val="nil"/>
              <w:bottom w:val="nil"/>
              <w:right w:val="nil"/>
            </w:tcBorders>
            <w:shd w:val="clear" w:color="auto" w:fill="auto"/>
            <w:vAlign w:val="center"/>
            <w:hideMark/>
          </w:tcPr>
          <w:p w14:paraId="4E2A0A6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100</w:t>
            </w:r>
            <w:r>
              <w:rPr>
                <w:rFonts w:cs="Arial"/>
                <w:b/>
                <w:bCs/>
                <w:color w:val="auto"/>
                <w:lang w:eastAsia="en-US"/>
              </w:rPr>
              <w:t>.</w:t>
            </w:r>
            <w:r w:rsidRPr="0063474D">
              <w:rPr>
                <w:rFonts w:cs="Arial"/>
                <w:b/>
                <w:bCs/>
                <w:color w:val="auto"/>
                <w:lang w:eastAsia="en-US"/>
              </w:rPr>
              <w:t>00%</w:t>
            </w:r>
          </w:p>
        </w:tc>
        <w:tc>
          <w:tcPr>
            <w:tcW w:w="1404" w:type="dxa"/>
            <w:tcBorders>
              <w:top w:val="nil"/>
              <w:left w:val="nil"/>
              <w:bottom w:val="nil"/>
              <w:right w:val="nil"/>
            </w:tcBorders>
            <w:shd w:val="clear" w:color="auto" w:fill="auto"/>
            <w:vAlign w:val="center"/>
            <w:hideMark/>
          </w:tcPr>
          <w:p w14:paraId="3DDD58FF"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5</w:t>
            </w:r>
            <w:r>
              <w:rPr>
                <w:rFonts w:cs="Arial"/>
                <w:b/>
                <w:bCs/>
                <w:color w:val="auto"/>
                <w:lang w:eastAsia="en-US"/>
              </w:rPr>
              <w:t>,</w:t>
            </w:r>
            <w:r w:rsidRPr="0063474D">
              <w:rPr>
                <w:rFonts w:cs="Arial"/>
                <w:b/>
                <w:bCs/>
                <w:color w:val="auto"/>
                <w:lang w:eastAsia="en-US"/>
              </w:rPr>
              <w:t>872</w:t>
            </w:r>
          </w:p>
        </w:tc>
        <w:tc>
          <w:tcPr>
            <w:tcW w:w="1405" w:type="dxa"/>
            <w:tcBorders>
              <w:top w:val="nil"/>
              <w:left w:val="nil"/>
              <w:bottom w:val="nil"/>
              <w:right w:val="nil"/>
            </w:tcBorders>
            <w:shd w:val="clear" w:color="auto" w:fill="auto"/>
            <w:vAlign w:val="center"/>
            <w:hideMark/>
          </w:tcPr>
          <w:p w14:paraId="6FAC1117"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lang w:eastAsia="en-US"/>
              </w:rPr>
            </w:pPr>
            <w:r w:rsidRPr="0063474D">
              <w:rPr>
                <w:rFonts w:cs="Arial"/>
                <w:b/>
                <w:bCs/>
                <w:color w:val="auto"/>
                <w:lang w:eastAsia="en-US"/>
              </w:rPr>
              <w:t>6</w:t>
            </w:r>
            <w:r>
              <w:rPr>
                <w:rFonts w:cs="Arial"/>
                <w:b/>
                <w:bCs/>
                <w:color w:val="auto"/>
                <w:lang w:eastAsia="en-US"/>
              </w:rPr>
              <w:t>,</w:t>
            </w:r>
            <w:r w:rsidRPr="0063474D">
              <w:rPr>
                <w:rFonts w:cs="Arial"/>
                <w:b/>
                <w:bCs/>
                <w:color w:val="auto"/>
                <w:lang w:eastAsia="en-US"/>
              </w:rPr>
              <w:t>338</w:t>
            </w:r>
          </w:p>
        </w:tc>
        <w:tc>
          <w:tcPr>
            <w:tcW w:w="1914" w:type="dxa"/>
            <w:tcBorders>
              <w:top w:val="nil"/>
              <w:left w:val="nil"/>
              <w:bottom w:val="nil"/>
              <w:right w:val="nil"/>
            </w:tcBorders>
            <w:shd w:val="clear" w:color="auto" w:fill="auto"/>
            <w:vAlign w:val="center"/>
            <w:hideMark/>
          </w:tcPr>
          <w:p w14:paraId="3718931F"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lang w:eastAsia="pt-BR"/>
              </w:rPr>
            </w:pPr>
            <w:r w:rsidRPr="0063474D">
              <w:rPr>
                <w:rFonts w:cs="Arial"/>
                <w:b/>
                <w:bCs/>
                <w:color w:val="auto"/>
                <w:sz w:val="14"/>
                <w:szCs w:val="14"/>
              </w:rPr>
              <w:t>2</w:t>
            </w:r>
            <w:r>
              <w:rPr>
                <w:rFonts w:cs="Arial"/>
                <w:b/>
                <w:bCs/>
                <w:color w:val="auto"/>
                <w:sz w:val="14"/>
                <w:szCs w:val="14"/>
              </w:rPr>
              <w:t>,</w:t>
            </w:r>
            <w:r w:rsidRPr="0063474D">
              <w:rPr>
                <w:rFonts w:cs="Arial"/>
                <w:b/>
                <w:bCs/>
                <w:color w:val="auto"/>
                <w:sz w:val="14"/>
                <w:szCs w:val="14"/>
              </w:rPr>
              <w:t>988</w:t>
            </w:r>
            <w:r>
              <w:rPr>
                <w:rFonts w:cs="Arial"/>
                <w:b/>
                <w:bCs/>
                <w:color w:val="auto"/>
                <w:sz w:val="14"/>
                <w:szCs w:val="14"/>
              </w:rPr>
              <w:t>,</w:t>
            </w:r>
            <w:r w:rsidRPr="0063474D">
              <w:rPr>
                <w:rFonts w:cs="Arial"/>
                <w:b/>
                <w:bCs/>
                <w:color w:val="auto"/>
                <w:sz w:val="14"/>
                <w:szCs w:val="14"/>
              </w:rPr>
              <w:t>399</w:t>
            </w:r>
          </w:p>
        </w:tc>
      </w:tr>
      <w:tr w:rsidR="003C4F2E" w:rsidRPr="0063474D" w14:paraId="23B16FD8" w14:textId="77777777" w:rsidTr="00447F9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shd w:val="clear" w:color="auto" w:fill="auto"/>
            <w:hideMark/>
          </w:tcPr>
          <w:p w14:paraId="1B019D2D" w14:textId="77777777" w:rsidR="003C4F2E" w:rsidRPr="0063474D" w:rsidRDefault="003C4F2E">
            <w:pPr>
              <w:pStyle w:val="08-Tabelageral"/>
              <w:jc w:val="left"/>
              <w:rPr>
                <w:rFonts w:cs="Arial"/>
                <w:b w:val="0"/>
                <w:color w:val="auto"/>
                <w:lang w:eastAsia="en-US"/>
              </w:rPr>
            </w:pPr>
            <w:proofErr w:type="spellStart"/>
            <w:r w:rsidRPr="0063474D">
              <w:rPr>
                <w:rFonts w:cs="Arial"/>
                <w:b w:val="0"/>
                <w:color w:val="auto"/>
                <w:lang w:eastAsia="en-US"/>
              </w:rPr>
              <w:t>Ciclic</w:t>
            </w:r>
            <w:proofErr w:type="spellEnd"/>
          </w:p>
        </w:tc>
        <w:tc>
          <w:tcPr>
            <w:tcW w:w="1407" w:type="dxa"/>
            <w:tcBorders>
              <w:top w:val="nil"/>
              <w:left w:val="nil"/>
              <w:bottom w:val="nil"/>
              <w:right w:val="nil"/>
            </w:tcBorders>
            <w:shd w:val="clear" w:color="auto" w:fill="auto"/>
            <w:vAlign w:val="center"/>
            <w:hideMark/>
          </w:tcPr>
          <w:p w14:paraId="27F779A0" w14:textId="77777777" w:rsidR="003C4F2E" w:rsidRPr="0063474D"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proofErr w:type="spellStart"/>
            <w:r>
              <w:rPr>
                <w:rFonts w:cs="Arial"/>
                <w:color w:val="auto"/>
                <w:lang w:eastAsia="en-US"/>
              </w:rPr>
              <w:t>Brokerage</w:t>
            </w:r>
            <w:proofErr w:type="spellEnd"/>
          </w:p>
        </w:tc>
        <w:tc>
          <w:tcPr>
            <w:tcW w:w="1408" w:type="dxa"/>
            <w:tcBorders>
              <w:top w:val="nil"/>
              <w:left w:val="nil"/>
              <w:bottom w:val="nil"/>
              <w:right w:val="nil"/>
            </w:tcBorders>
            <w:shd w:val="clear" w:color="auto" w:fill="auto"/>
            <w:vAlign w:val="center"/>
            <w:hideMark/>
          </w:tcPr>
          <w:p w14:paraId="5C01C464"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rFonts w:cs="Arial"/>
                <w:color w:val="auto"/>
                <w:lang w:eastAsia="en-US"/>
              </w:rPr>
              <w:t>74</w:t>
            </w:r>
            <w:r>
              <w:rPr>
                <w:rFonts w:cs="Arial"/>
                <w:color w:val="auto"/>
                <w:lang w:eastAsia="en-US"/>
              </w:rPr>
              <w:t>.</w:t>
            </w:r>
            <w:r w:rsidRPr="0063474D">
              <w:rPr>
                <w:rFonts w:cs="Arial"/>
                <w:color w:val="auto"/>
                <w:lang w:eastAsia="en-US"/>
              </w:rPr>
              <w:t>99%</w:t>
            </w:r>
          </w:p>
        </w:tc>
        <w:tc>
          <w:tcPr>
            <w:tcW w:w="1404" w:type="dxa"/>
            <w:tcBorders>
              <w:top w:val="nil"/>
              <w:left w:val="nil"/>
              <w:bottom w:val="nil"/>
              <w:right w:val="nil"/>
            </w:tcBorders>
            <w:shd w:val="clear" w:color="auto" w:fill="auto"/>
            <w:vAlign w:val="center"/>
            <w:hideMark/>
          </w:tcPr>
          <w:p w14:paraId="4AD8254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4</w:t>
            </w:r>
            <w:r>
              <w:rPr>
                <w:color w:val="auto"/>
                <w:lang w:eastAsia="en-US"/>
              </w:rPr>
              <w:t>,</w:t>
            </w:r>
            <w:r w:rsidRPr="0063474D">
              <w:rPr>
                <w:color w:val="auto"/>
                <w:lang w:eastAsia="en-US"/>
              </w:rPr>
              <w:t>359</w:t>
            </w:r>
          </w:p>
        </w:tc>
        <w:tc>
          <w:tcPr>
            <w:tcW w:w="1405" w:type="dxa"/>
            <w:tcBorders>
              <w:top w:val="nil"/>
              <w:left w:val="nil"/>
              <w:bottom w:val="nil"/>
              <w:right w:val="nil"/>
            </w:tcBorders>
            <w:shd w:val="clear" w:color="auto" w:fill="auto"/>
            <w:vAlign w:val="center"/>
            <w:hideMark/>
          </w:tcPr>
          <w:p w14:paraId="611B767A" w14:textId="77777777" w:rsidR="003C4F2E" w:rsidRPr="0063474D"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63474D">
              <w:rPr>
                <w:color w:val="auto"/>
                <w:lang w:eastAsia="en-US"/>
              </w:rPr>
              <w:t>1</w:t>
            </w:r>
            <w:r>
              <w:rPr>
                <w:color w:val="auto"/>
                <w:lang w:eastAsia="en-US"/>
              </w:rPr>
              <w:t>,</w:t>
            </w:r>
            <w:r w:rsidRPr="0063474D">
              <w:rPr>
                <w:color w:val="auto"/>
                <w:lang w:eastAsia="en-US"/>
              </w:rPr>
              <w:t>506</w:t>
            </w:r>
          </w:p>
        </w:tc>
        <w:tc>
          <w:tcPr>
            <w:tcW w:w="1914" w:type="dxa"/>
            <w:tcBorders>
              <w:top w:val="nil"/>
              <w:left w:val="nil"/>
              <w:bottom w:val="nil"/>
              <w:right w:val="nil"/>
            </w:tcBorders>
            <w:shd w:val="clear" w:color="auto" w:fill="auto"/>
            <w:vAlign w:val="center"/>
            <w:hideMark/>
          </w:tcPr>
          <w:p w14:paraId="759D040D" w14:textId="77777777" w:rsidR="003C4F2E" w:rsidRPr="0063474D" w:rsidRDefault="003C4F2E">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63474D">
              <w:rPr>
                <w:rFonts w:cs="Arial"/>
                <w:color w:val="auto"/>
                <w:sz w:val="14"/>
                <w:szCs w:val="14"/>
              </w:rPr>
              <w:t>3</w:t>
            </w:r>
            <w:r>
              <w:rPr>
                <w:rFonts w:cs="Arial"/>
                <w:color w:val="auto"/>
                <w:sz w:val="14"/>
                <w:szCs w:val="14"/>
              </w:rPr>
              <w:t>,</w:t>
            </w:r>
            <w:r w:rsidRPr="0063474D">
              <w:rPr>
                <w:rFonts w:cs="Arial"/>
                <w:color w:val="auto"/>
                <w:sz w:val="14"/>
                <w:szCs w:val="14"/>
              </w:rPr>
              <w:t>319</w:t>
            </w:r>
          </w:p>
        </w:tc>
      </w:tr>
      <w:tr w:rsidR="003C4F2E" w:rsidRPr="0063474D" w14:paraId="4C33A401" w14:textId="77777777" w:rsidTr="00447F93">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2F5496" w:themeColor="accent1" w:themeShade="BF"/>
              <w:right w:val="nil"/>
            </w:tcBorders>
            <w:shd w:val="clear" w:color="auto" w:fill="auto"/>
            <w:vAlign w:val="center"/>
          </w:tcPr>
          <w:p w14:paraId="691C7487" w14:textId="77777777" w:rsidR="003C4F2E" w:rsidRPr="0063474D" w:rsidRDefault="003C4F2E">
            <w:pPr>
              <w:pStyle w:val="08-Tabelageral"/>
              <w:jc w:val="left"/>
              <w:rPr>
                <w:rFonts w:cs="Arial"/>
                <w:color w:val="auto"/>
                <w:lang w:eastAsia="en-US"/>
              </w:rPr>
            </w:pPr>
            <w:r w:rsidRPr="0063474D">
              <w:rPr>
                <w:rFonts w:cs="Arial"/>
                <w:color w:val="auto"/>
                <w:lang w:eastAsia="en-US"/>
              </w:rPr>
              <w:t>Total</w:t>
            </w:r>
          </w:p>
        </w:tc>
        <w:tc>
          <w:tcPr>
            <w:tcW w:w="1407" w:type="dxa"/>
            <w:tcBorders>
              <w:top w:val="nil"/>
              <w:left w:val="nil"/>
              <w:bottom w:val="single" w:sz="2" w:space="0" w:color="2F5496" w:themeColor="accent1" w:themeShade="BF"/>
              <w:right w:val="nil"/>
            </w:tcBorders>
            <w:shd w:val="clear" w:color="auto" w:fill="auto"/>
            <w:vAlign w:val="center"/>
          </w:tcPr>
          <w:p w14:paraId="03AF4EB1" w14:textId="77777777" w:rsidR="003C4F2E" w:rsidRPr="0063474D"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8" w:type="dxa"/>
            <w:tcBorders>
              <w:top w:val="nil"/>
              <w:left w:val="nil"/>
              <w:bottom w:val="single" w:sz="2" w:space="0" w:color="2F5496" w:themeColor="accent1" w:themeShade="BF"/>
              <w:right w:val="nil"/>
            </w:tcBorders>
            <w:shd w:val="clear" w:color="auto" w:fill="auto"/>
            <w:vAlign w:val="center"/>
          </w:tcPr>
          <w:p w14:paraId="776A8223"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p>
        </w:tc>
        <w:tc>
          <w:tcPr>
            <w:tcW w:w="1404" w:type="dxa"/>
            <w:tcBorders>
              <w:top w:val="nil"/>
              <w:left w:val="nil"/>
              <w:bottom w:val="single" w:sz="2" w:space="0" w:color="2F5496" w:themeColor="accent1" w:themeShade="BF"/>
              <w:right w:val="nil"/>
            </w:tcBorders>
            <w:shd w:val="clear" w:color="auto" w:fill="auto"/>
            <w:vAlign w:val="center"/>
          </w:tcPr>
          <w:p w14:paraId="4C0F6E80"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color w:val="auto"/>
                <w:lang w:eastAsia="en-US"/>
              </w:rPr>
            </w:pPr>
            <w:r w:rsidRPr="0063474D">
              <w:rPr>
                <w:rFonts w:cs="Arial"/>
                <w:b/>
                <w:bCs/>
                <w:color w:val="auto"/>
                <w:lang w:eastAsia="en-US"/>
              </w:rPr>
              <w:t>9</w:t>
            </w:r>
            <w:r>
              <w:rPr>
                <w:rFonts w:cs="Arial"/>
                <w:b/>
                <w:bCs/>
                <w:color w:val="auto"/>
                <w:lang w:eastAsia="en-US"/>
              </w:rPr>
              <w:t>,</w:t>
            </w:r>
            <w:r w:rsidRPr="0063474D">
              <w:rPr>
                <w:rFonts w:cs="Arial"/>
                <w:b/>
                <w:bCs/>
                <w:color w:val="auto"/>
                <w:lang w:eastAsia="en-US"/>
              </w:rPr>
              <w:t>128</w:t>
            </w:r>
            <w:r>
              <w:rPr>
                <w:rFonts w:cs="Arial"/>
                <w:b/>
                <w:bCs/>
                <w:color w:val="auto"/>
                <w:lang w:eastAsia="en-US"/>
              </w:rPr>
              <w:t>,</w:t>
            </w:r>
            <w:r w:rsidRPr="0063474D">
              <w:rPr>
                <w:rFonts w:cs="Arial"/>
                <w:b/>
                <w:bCs/>
                <w:color w:val="auto"/>
                <w:lang w:eastAsia="en-US"/>
              </w:rPr>
              <w:t>60</w:t>
            </w:r>
            <w:r>
              <w:rPr>
                <w:rFonts w:cs="Arial"/>
                <w:b/>
                <w:bCs/>
                <w:color w:val="auto"/>
                <w:lang w:eastAsia="en-US"/>
              </w:rPr>
              <w:t>5</w:t>
            </w:r>
          </w:p>
        </w:tc>
        <w:tc>
          <w:tcPr>
            <w:tcW w:w="1405" w:type="dxa"/>
            <w:tcBorders>
              <w:top w:val="nil"/>
              <w:left w:val="nil"/>
              <w:bottom w:val="single" w:sz="2" w:space="0" w:color="2F5496" w:themeColor="accent1" w:themeShade="BF"/>
              <w:right w:val="nil"/>
            </w:tcBorders>
            <w:shd w:val="clear" w:color="auto" w:fill="auto"/>
            <w:vAlign w:val="center"/>
          </w:tcPr>
          <w:p w14:paraId="070F1306" w14:textId="77777777" w:rsidR="003C4F2E" w:rsidRPr="0063474D" w:rsidRDefault="003C4F2E">
            <w:pPr>
              <w:pStyle w:val="08-Tabelageral"/>
              <w:cnfStyle w:val="000000010000" w:firstRow="0" w:lastRow="0" w:firstColumn="0" w:lastColumn="0" w:oddVBand="0" w:evenVBand="0" w:oddHBand="0" w:evenHBand="1" w:firstRowFirstColumn="0" w:firstRowLastColumn="0" w:lastRowFirstColumn="0" w:lastRowLastColumn="0"/>
              <w:rPr>
                <w:color w:val="auto"/>
                <w:lang w:eastAsia="en-US"/>
              </w:rPr>
            </w:pPr>
            <w:r w:rsidRPr="0063474D">
              <w:rPr>
                <w:rFonts w:cs="Arial"/>
                <w:b/>
                <w:bCs/>
                <w:color w:val="auto"/>
                <w:lang w:eastAsia="en-US"/>
              </w:rPr>
              <w:t>7</w:t>
            </w:r>
            <w:r>
              <w:rPr>
                <w:rFonts w:cs="Arial"/>
                <w:b/>
                <w:bCs/>
                <w:color w:val="auto"/>
                <w:lang w:eastAsia="en-US"/>
              </w:rPr>
              <w:t>,</w:t>
            </w:r>
            <w:r w:rsidRPr="0063474D">
              <w:rPr>
                <w:rFonts w:cs="Arial"/>
                <w:b/>
                <w:bCs/>
                <w:color w:val="auto"/>
                <w:lang w:eastAsia="en-US"/>
              </w:rPr>
              <w:t>857</w:t>
            </w:r>
            <w:r>
              <w:rPr>
                <w:rFonts w:cs="Arial"/>
                <w:b/>
                <w:bCs/>
                <w:color w:val="auto"/>
                <w:lang w:eastAsia="en-US"/>
              </w:rPr>
              <w:t>,</w:t>
            </w:r>
            <w:r w:rsidRPr="0063474D">
              <w:rPr>
                <w:rFonts w:cs="Arial"/>
                <w:b/>
                <w:bCs/>
                <w:color w:val="auto"/>
                <w:lang w:eastAsia="en-US"/>
              </w:rPr>
              <w:t>399</w:t>
            </w:r>
          </w:p>
        </w:tc>
        <w:tc>
          <w:tcPr>
            <w:tcW w:w="1914" w:type="dxa"/>
            <w:tcBorders>
              <w:top w:val="nil"/>
              <w:left w:val="nil"/>
              <w:bottom w:val="single" w:sz="2" w:space="0" w:color="2F5496" w:themeColor="accent1" w:themeShade="BF"/>
              <w:right w:val="nil"/>
            </w:tcBorders>
            <w:shd w:val="clear" w:color="auto" w:fill="auto"/>
            <w:vAlign w:val="center"/>
          </w:tcPr>
          <w:p w14:paraId="68597D95" w14:textId="77777777" w:rsidR="003C4F2E" w:rsidRPr="0063474D" w:rsidRDefault="003C4F2E">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63474D">
              <w:rPr>
                <w:rFonts w:cs="Arial"/>
                <w:b/>
                <w:bCs/>
                <w:color w:val="auto"/>
                <w:sz w:val="14"/>
                <w:szCs w:val="14"/>
              </w:rPr>
              <w:t>7</w:t>
            </w:r>
            <w:r>
              <w:rPr>
                <w:rFonts w:cs="Arial"/>
                <w:b/>
                <w:bCs/>
                <w:color w:val="auto"/>
                <w:sz w:val="14"/>
                <w:szCs w:val="14"/>
              </w:rPr>
              <w:t>,</w:t>
            </w:r>
            <w:r w:rsidRPr="0063474D">
              <w:rPr>
                <w:rFonts w:cs="Arial"/>
                <w:b/>
                <w:bCs/>
                <w:color w:val="auto"/>
                <w:sz w:val="14"/>
                <w:szCs w:val="14"/>
              </w:rPr>
              <w:t>925</w:t>
            </w:r>
            <w:r>
              <w:rPr>
                <w:rFonts w:cs="Arial"/>
                <w:b/>
                <w:bCs/>
                <w:color w:val="auto"/>
                <w:sz w:val="14"/>
                <w:szCs w:val="14"/>
              </w:rPr>
              <w:t>,</w:t>
            </w:r>
            <w:r w:rsidRPr="0063474D">
              <w:rPr>
                <w:rFonts w:cs="Arial"/>
                <w:b/>
                <w:bCs/>
                <w:color w:val="auto"/>
                <w:sz w:val="14"/>
                <w:szCs w:val="14"/>
              </w:rPr>
              <w:t>902</w:t>
            </w:r>
          </w:p>
        </w:tc>
      </w:tr>
    </w:tbl>
    <w:p w14:paraId="7427A343" w14:textId="77777777" w:rsidR="003C4F2E" w:rsidRPr="00BC754A" w:rsidRDefault="003C4F2E" w:rsidP="003C4F2E">
      <w:pPr>
        <w:pStyle w:val="01-Textonormal"/>
        <w:rPr>
          <w:highlight w:val="yellow"/>
        </w:rPr>
      </w:pPr>
    </w:p>
    <w:p w14:paraId="2FAF2692" w14:textId="77777777" w:rsidR="003C4F2E" w:rsidRPr="00531D45" w:rsidRDefault="003C4F2E" w:rsidP="003C4F2E">
      <w:pPr>
        <w:pStyle w:val="03-SubttulodeNota"/>
        <w:keepNext/>
        <w:spacing w:line="276" w:lineRule="auto"/>
        <w:rPr>
          <w:color w:val="1F3864" w:themeColor="accent1" w:themeShade="80"/>
          <w:highlight w:val="yellow"/>
          <w:lang w:val="en-US"/>
        </w:rPr>
      </w:pPr>
      <w:r w:rsidRPr="00531D45">
        <w:rPr>
          <w:color w:val="1F3864" w:themeColor="accent1" w:themeShade="80"/>
          <w:lang w:val="en-US"/>
        </w:rPr>
        <w:t>Equity income – Performance of the investees</w:t>
      </w:r>
      <w:r w:rsidRPr="00531D45">
        <w:rPr>
          <w:color w:val="1F3864" w:themeColor="accent1" w:themeShade="80"/>
          <w:highlight w:val="yellow"/>
          <w:lang w:val="en-US"/>
        </w:rPr>
        <w:t xml:space="preserve"> </w:t>
      </w:r>
    </w:p>
    <w:p w14:paraId="6D6771CC" w14:textId="29C8F23D" w:rsidR="003C4F2E" w:rsidRPr="002C3D6A" w:rsidRDefault="003C4F2E" w:rsidP="003C4F2E">
      <w:pPr>
        <w:pStyle w:val="01-Textonormal"/>
        <w:rPr>
          <w:rFonts w:eastAsiaTheme="minorHAnsi"/>
          <w:lang w:val="en-US"/>
        </w:rPr>
      </w:pPr>
      <w:r w:rsidRPr="002C3D6A">
        <w:rPr>
          <w:rFonts w:eastAsiaTheme="minorHAnsi"/>
          <w:lang w:val="en-US"/>
        </w:rPr>
        <w:t xml:space="preserve">We </w:t>
      </w:r>
      <w:proofErr w:type="spellStart"/>
      <w:r w:rsidRPr="002C3D6A">
        <w:rPr>
          <w:rFonts w:eastAsiaTheme="minorHAnsi"/>
          <w:lang w:val="en-US"/>
        </w:rPr>
        <w:t>sumarize</w:t>
      </w:r>
      <w:proofErr w:type="spellEnd"/>
      <w:r w:rsidRPr="002C3D6A">
        <w:rPr>
          <w:rFonts w:eastAsiaTheme="minorHAnsi"/>
          <w:lang w:val="en-US"/>
        </w:rPr>
        <w:t xml:space="preserve"> below the performance of the investees in 2023. More information was made available in the MD&amp;A, which can be reached at </w:t>
      </w:r>
      <w:hyperlink r:id="rId14" w:history="1">
        <w:r w:rsidR="00C12D3B" w:rsidRPr="00C12D3B">
          <w:rPr>
            <w:rStyle w:val="Hyperlink"/>
            <w:rFonts w:eastAsiaTheme="minorHAnsi"/>
            <w:lang w:val="en-US"/>
          </w:rPr>
          <w:t>https://</w:t>
        </w:r>
        <w:r w:rsidRPr="00C12D3B">
          <w:rPr>
            <w:rStyle w:val="Hyperlink"/>
            <w:rFonts w:eastAsiaTheme="minorHAnsi"/>
            <w:lang w:val="en-US"/>
          </w:rPr>
          <w:t>www.bbseguridaderi.com.br/en/market-information/results-center/</w:t>
        </w:r>
      </w:hyperlink>
    </w:p>
    <w:p w14:paraId="3485993E" w14:textId="77777777" w:rsidR="003C4F2E" w:rsidRPr="002C3D6A" w:rsidRDefault="003C4F2E" w:rsidP="003C4F2E">
      <w:pPr>
        <w:pStyle w:val="01-Textonormal"/>
        <w:rPr>
          <w:rFonts w:eastAsiaTheme="minorHAnsi"/>
          <w:lang w:val="en-US" w:eastAsia="en-US"/>
        </w:rPr>
      </w:pPr>
    </w:p>
    <w:p w14:paraId="0454BC5D" w14:textId="7777777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BB MAPFRE (</w:t>
      </w:r>
      <w:proofErr w:type="spellStart"/>
      <w:r w:rsidRPr="00767B56">
        <w:rPr>
          <w:color w:val="1F3864" w:themeColor="accent1" w:themeShade="80"/>
          <w:lang w:val="en-US"/>
        </w:rPr>
        <w:t>Brasilseg</w:t>
      </w:r>
      <w:proofErr w:type="spellEnd"/>
      <w:r w:rsidRPr="00767B56">
        <w:rPr>
          <w:color w:val="1F3864" w:themeColor="accent1" w:themeShade="80"/>
          <w:lang w:val="en-US"/>
        </w:rPr>
        <w:t>)</w:t>
      </w:r>
    </w:p>
    <w:p w14:paraId="41CAF149" w14:textId="77777777" w:rsidR="003C4F2E" w:rsidRPr="00C578BB" w:rsidRDefault="003C4F2E" w:rsidP="003C4F2E">
      <w:pPr>
        <w:jc w:val="both"/>
        <w:rPr>
          <w:rFonts w:ascii="Arial" w:eastAsia="Times New Roman" w:hAnsi="Arial" w:cs="Arial"/>
          <w:spacing w:val="-2"/>
          <w:sz w:val="18"/>
          <w:szCs w:val="18"/>
          <w:lang w:val="en-US" w:eastAsia="pt-BR"/>
        </w:rPr>
      </w:pPr>
      <w:r w:rsidRPr="00C578BB">
        <w:rPr>
          <w:rFonts w:ascii="Arial" w:eastAsia="Times New Roman" w:hAnsi="Arial" w:cs="Arial"/>
          <w:spacing w:val="-2"/>
          <w:sz w:val="18"/>
          <w:szCs w:val="18"/>
          <w:lang w:val="en-US" w:eastAsia="pt-BR"/>
        </w:rPr>
        <w:t xml:space="preserve">In 2023, the net income grew 49.3%, boosted by the improvement of the insurance margin. The performance is explained by the results of the insurance contracts measured by the PAA model, due to the increase of premiums as compared to 2022. The higher release of CSM in the contracts measured by the BBA model and the lower claims, mainly for credit life, also explains the insurance margin growth. </w:t>
      </w:r>
    </w:p>
    <w:p w14:paraId="21974B86" w14:textId="77777777" w:rsidR="003C4F2E" w:rsidRPr="00C578BB" w:rsidRDefault="003C4F2E" w:rsidP="003C4F2E">
      <w:pPr>
        <w:jc w:val="both"/>
        <w:rPr>
          <w:rFonts w:ascii="Arial" w:eastAsia="Times New Roman" w:hAnsi="Arial" w:cs="Arial"/>
          <w:spacing w:val="-2"/>
          <w:sz w:val="18"/>
          <w:szCs w:val="18"/>
          <w:lang w:val="en-US" w:eastAsia="pt-BR"/>
        </w:rPr>
      </w:pPr>
      <w:r w:rsidRPr="00C578BB">
        <w:rPr>
          <w:rFonts w:ascii="Arial" w:eastAsia="Times New Roman" w:hAnsi="Arial" w:cs="Arial"/>
          <w:spacing w:val="-2"/>
          <w:sz w:val="18"/>
          <w:szCs w:val="18"/>
          <w:lang w:val="en-US" w:eastAsia="pt-BR"/>
        </w:rPr>
        <w:t xml:space="preserve">The net investment income improved 27.9% YoY, with the expansion of the financial investment balance and the spike of Selic rate. </w:t>
      </w:r>
    </w:p>
    <w:p w14:paraId="44390A87" w14:textId="77777777" w:rsidR="003C4F2E" w:rsidRPr="00531D45" w:rsidRDefault="003C4F2E" w:rsidP="003C4F2E">
      <w:pPr>
        <w:autoSpaceDE w:val="0"/>
        <w:autoSpaceDN w:val="0"/>
        <w:adjustRightInd w:val="0"/>
        <w:spacing w:before="120" w:after="120"/>
        <w:jc w:val="both"/>
        <w:rPr>
          <w:rFonts w:eastAsia="Times New Roman" w:cs="Arial"/>
          <w:spacing w:val="-2"/>
          <w:szCs w:val="18"/>
          <w:highlight w:val="yellow"/>
          <w:lang w:val="en-US" w:eastAsia="pt-BR"/>
        </w:rPr>
      </w:pPr>
    </w:p>
    <w:p w14:paraId="5B55B562" w14:textId="77777777" w:rsidR="003C4F2E" w:rsidRPr="00767B56" w:rsidRDefault="003C4F2E" w:rsidP="00711E1D">
      <w:pPr>
        <w:pStyle w:val="03-SubttulodeNota"/>
        <w:pageBreakBefore/>
        <w:spacing w:line="276" w:lineRule="auto"/>
        <w:rPr>
          <w:color w:val="1F3864" w:themeColor="accent1" w:themeShade="80"/>
          <w:lang w:val="en-US"/>
        </w:rPr>
      </w:pPr>
      <w:proofErr w:type="spellStart"/>
      <w:r w:rsidRPr="00767B56">
        <w:rPr>
          <w:color w:val="1F3864" w:themeColor="accent1" w:themeShade="80"/>
          <w:lang w:val="en-US"/>
        </w:rPr>
        <w:t>Brasilprev</w:t>
      </w:r>
      <w:proofErr w:type="spellEnd"/>
    </w:p>
    <w:p w14:paraId="021C505D" w14:textId="77777777" w:rsidR="003C4F2E" w:rsidRPr="00711E1D" w:rsidRDefault="003C4F2E" w:rsidP="003C4F2E">
      <w:pPr>
        <w:jc w:val="both"/>
        <w:rPr>
          <w:rFonts w:ascii="Arial" w:eastAsia="Times New Roman" w:hAnsi="Arial" w:cs="Arial"/>
          <w:spacing w:val="-2"/>
          <w:sz w:val="18"/>
          <w:szCs w:val="18"/>
          <w:lang w:eastAsia="pt-BR"/>
        </w:rPr>
      </w:pPr>
      <w:r w:rsidRPr="00711E1D">
        <w:rPr>
          <w:rFonts w:ascii="Arial" w:eastAsia="Times New Roman" w:hAnsi="Arial" w:cs="Arial"/>
          <w:spacing w:val="-2"/>
          <w:sz w:val="18"/>
          <w:szCs w:val="18"/>
          <w:lang w:val="en-US" w:eastAsia="pt-BR"/>
        </w:rPr>
        <w:t xml:space="preserve">In 2023, the net income from pension business increased 25.6%, mostly for the reduction in the loss component related to the traditional plans which was calculated in the transition to the new accounting standard (IFRS 17). </w:t>
      </w:r>
      <w:r w:rsidRPr="00711E1D">
        <w:rPr>
          <w:rFonts w:ascii="Arial" w:eastAsia="Times New Roman" w:hAnsi="Arial" w:cs="Arial"/>
          <w:spacing w:val="-2"/>
          <w:sz w:val="18"/>
          <w:szCs w:val="18"/>
          <w:lang w:eastAsia="pt-BR"/>
        </w:rPr>
        <w:t xml:space="preserve">The </w:t>
      </w:r>
      <w:proofErr w:type="spellStart"/>
      <w:r w:rsidRPr="00711E1D">
        <w:rPr>
          <w:rFonts w:ascii="Arial" w:eastAsia="Times New Roman" w:hAnsi="Arial" w:cs="Arial"/>
          <w:spacing w:val="-2"/>
          <w:sz w:val="18"/>
          <w:szCs w:val="18"/>
          <w:lang w:eastAsia="pt-BR"/>
        </w:rPr>
        <w:t>reduction</w:t>
      </w:r>
      <w:proofErr w:type="spellEnd"/>
      <w:r w:rsidRPr="00711E1D">
        <w:rPr>
          <w:rFonts w:ascii="Arial" w:eastAsia="Times New Roman" w:hAnsi="Arial" w:cs="Arial"/>
          <w:spacing w:val="-2"/>
          <w:sz w:val="18"/>
          <w:szCs w:val="18"/>
          <w:lang w:eastAsia="pt-BR"/>
        </w:rPr>
        <w:t xml:space="preserve"> in </w:t>
      </w:r>
      <w:proofErr w:type="spellStart"/>
      <w:r w:rsidRPr="00711E1D">
        <w:rPr>
          <w:rFonts w:ascii="Arial" w:eastAsia="Times New Roman" w:hAnsi="Arial" w:cs="Arial"/>
          <w:spacing w:val="-2"/>
          <w:sz w:val="18"/>
          <w:szCs w:val="18"/>
          <w:lang w:eastAsia="pt-BR"/>
        </w:rPr>
        <w:t>the</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hAnsi="Arial" w:cs="Arial"/>
          <w:sz w:val="18"/>
          <w:szCs w:val="18"/>
        </w:rPr>
        <w:t>onerousness</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is</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explained</w:t>
      </w:r>
      <w:proofErr w:type="spellEnd"/>
      <w:r w:rsidRPr="00711E1D">
        <w:rPr>
          <w:rFonts w:ascii="Arial" w:eastAsia="Times New Roman" w:hAnsi="Arial" w:cs="Arial"/>
          <w:spacing w:val="-2"/>
          <w:sz w:val="18"/>
          <w:szCs w:val="18"/>
          <w:lang w:eastAsia="pt-BR"/>
        </w:rPr>
        <w:t xml:space="preserve"> </w:t>
      </w:r>
      <w:proofErr w:type="spellStart"/>
      <w:r w:rsidRPr="00711E1D">
        <w:rPr>
          <w:rFonts w:ascii="Arial" w:eastAsia="Times New Roman" w:hAnsi="Arial" w:cs="Arial"/>
          <w:spacing w:val="-2"/>
          <w:sz w:val="18"/>
          <w:szCs w:val="18"/>
          <w:lang w:eastAsia="pt-BR"/>
        </w:rPr>
        <w:t>by</w:t>
      </w:r>
      <w:proofErr w:type="spellEnd"/>
      <w:r w:rsidRPr="00711E1D">
        <w:rPr>
          <w:rFonts w:ascii="Arial" w:eastAsia="Times New Roman" w:hAnsi="Arial" w:cs="Arial"/>
          <w:spacing w:val="-2"/>
          <w:sz w:val="18"/>
          <w:szCs w:val="18"/>
          <w:lang w:eastAsia="pt-BR"/>
        </w:rPr>
        <w:t>:</w:t>
      </w:r>
    </w:p>
    <w:p w14:paraId="1343B882" w14:textId="77777777" w:rsidR="003C4F2E" w:rsidRPr="00711E1D" w:rsidRDefault="003C4F2E" w:rsidP="003C4F2E">
      <w:pPr>
        <w:pStyle w:val="10-Lista2"/>
        <w:ind w:left="1004"/>
        <w:rPr>
          <w:rFonts w:cs="Arial"/>
          <w:lang w:val="en-US"/>
        </w:rPr>
      </w:pPr>
      <w:r w:rsidRPr="00711E1D">
        <w:rPr>
          <w:rFonts w:cs="Arial"/>
          <w:lang w:val="en-US"/>
        </w:rPr>
        <w:t>the deflation of IGP-M (2023: -3.2% | 2022: +5.5%), which is used to measure the onerousness of the major part of the portfolio; and</w:t>
      </w:r>
    </w:p>
    <w:p w14:paraId="280A19F7" w14:textId="77777777" w:rsidR="003C4F2E" w:rsidRPr="00711E1D" w:rsidRDefault="003C4F2E" w:rsidP="003C4F2E">
      <w:pPr>
        <w:pStyle w:val="10-Lista2"/>
        <w:ind w:left="1004"/>
        <w:rPr>
          <w:rFonts w:cs="Arial"/>
          <w:lang w:val="en-US"/>
        </w:rPr>
      </w:pPr>
      <w:r w:rsidRPr="00711E1D">
        <w:rPr>
          <w:rFonts w:cs="Arial"/>
          <w:lang w:val="en-US"/>
        </w:rPr>
        <w:t xml:space="preserve">the increase of redemptions and migrations, deviating from the assumptions adopted in the transition, while in 2022 the redemptions were below the projected amount. </w:t>
      </w:r>
    </w:p>
    <w:p w14:paraId="2692CED5" w14:textId="77777777" w:rsidR="003C4F2E" w:rsidRPr="00711E1D" w:rsidRDefault="003C4F2E" w:rsidP="003C4F2E">
      <w:pPr>
        <w:pStyle w:val="10-Lista2"/>
        <w:numPr>
          <w:ilvl w:val="0"/>
          <w:numId w:val="0"/>
        </w:numPr>
        <w:ind w:left="1004"/>
        <w:rPr>
          <w:rFonts w:cs="Arial"/>
          <w:lang w:val="en-US"/>
        </w:rPr>
      </w:pPr>
    </w:p>
    <w:p w14:paraId="69157A66" w14:textId="77777777" w:rsidR="003C4F2E" w:rsidRPr="00711E1D" w:rsidRDefault="003C4F2E" w:rsidP="003C4F2E">
      <w:pPr>
        <w:jc w:val="both"/>
        <w:rPr>
          <w:rFonts w:ascii="Arial" w:eastAsia="Times New Roman" w:hAnsi="Arial" w:cs="Arial"/>
          <w:spacing w:val="-2"/>
          <w:sz w:val="18"/>
          <w:szCs w:val="18"/>
          <w:lang w:val="en-US" w:eastAsia="pt-BR"/>
        </w:rPr>
      </w:pPr>
      <w:r w:rsidRPr="00711E1D">
        <w:rPr>
          <w:rFonts w:ascii="Arial" w:eastAsia="Times New Roman" w:hAnsi="Arial" w:cs="Arial"/>
          <w:spacing w:val="-2"/>
          <w:sz w:val="18"/>
          <w:szCs w:val="18"/>
          <w:lang w:val="en-US" w:eastAsia="pt-BR"/>
        </w:rPr>
        <w:t xml:space="preserve">The higher amount of CSM release in PGBL and VGBL also contributed to the result, led by the increase of revenues with management fees. </w:t>
      </w:r>
    </w:p>
    <w:p w14:paraId="590E7CFC" w14:textId="77777777" w:rsidR="00711E1D" w:rsidRPr="007846AB" w:rsidRDefault="00711E1D" w:rsidP="007846AB">
      <w:pPr>
        <w:pStyle w:val="05-Textonormal"/>
        <w:rPr>
          <w:rFonts w:cs="Arial"/>
          <w:highlight w:val="yellow"/>
          <w:lang w:val="en-US"/>
        </w:rPr>
      </w:pPr>
    </w:p>
    <w:p w14:paraId="05B297BC" w14:textId="57CFC6E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Brasilcap</w:t>
      </w:r>
    </w:p>
    <w:p w14:paraId="2F73CAF5" w14:textId="77777777" w:rsidR="003C4F2E" w:rsidRPr="0086226E" w:rsidRDefault="003C4F2E" w:rsidP="003C4F2E">
      <w:pPr>
        <w:pStyle w:val="05-Textonormal"/>
        <w:rPr>
          <w:rFonts w:cs="Arial"/>
          <w:lang w:val="en-US"/>
        </w:rPr>
      </w:pPr>
      <w:r w:rsidRPr="0086226E">
        <w:rPr>
          <w:rFonts w:cs="Arial"/>
          <w:lang w:val="en-US"/>
        </w:rPr>
        <w:t>The net income of premium bonds operation was up 23.2% YoY, to R$268.3 million in 2023. The performance was sustained by the evolution of net investment income (+34.9%), due to the expansion in the average balance of financial investments and the 0.4 p.p. increase in the financial spread.</w:t>
      </w:r>
    </w:p>
    <w:p w14:paraId="083DF3AC" w14:textId="77777777" w:rsidR="003C4F2E" w:rsidRPr="0086226E" w:rsidRDefault="003C4F2E" w:rsidP="003C4F2E">
      <w:pPr>
        <w:pStyle w:val="05-Textonormal"/>
        <w:rPr>
          <w:rFonts w:cs="Arial"/>
          <w:lang w:val="en-US"/>
        </w:rPr>
      </w:pPr>
      <w:r w:rsidRPr="0086226E">
        <w:rPr>
          <w:rFonts w:cs="Arial"/>
          <w:lang w:val="en-US"/>
        </w:rPr>
        <w:t xml:space="preserve">The premium bonds collection grew 8.4%, led by both the increases in volume sold and average ticket, besides the higher number of outstanding bonds which led the growth of recurrence in monthly payment bonds. </w:t>
      </w:r>
    </w:p>
    <w:p w14:paraId="4BB9B8B8" w14:textId="77777777" w:rsidR="003C4F2E" w:rsidRPr="0086226E" w:rsidRDefault="003C4F2E" w:rsidP="003C4F2E">
      <w:pPr>
        <w:pStyle w:val="05-Textonormal"/>
        <w:rPr>
          <w:rFonts w:cs="Arial"/>
          <w:lang w:val="en-US"/>
        </w:rPr>
      </w:pPr>
      <w:r w:rsidRPr="0086226E">
        <w:rPr>
          <w:rFonts w:cs="Arial"/>
          <w:lang w:val="en-US"/>
        </w:rPr>
        <w:t xml:space="preserve">On the other hand, the revenue with load fee registered a slower pace of growth as compared to collections (+0.9%), explained by the retraction in average load fee quote (-0.7 p.p.), </w:t>
      </w:r>
      <w:proofErr w:type="gramStart"/>
      <w:r w:rsidRPr="0086226E">
        <w:rPr>
          <w:rFonts w:cs="Arial"/>
          <w:lang w:val="en-US"/>
        </w:rPr>
        <w:t>as</w:t>
      </w:r>
      <w:r>
        <w:rPr>
          <w:rFonts w:cs="Arial"/>
          <w:lang w:val="en-US"/>
        </w:rPr>
        <w:t xml:space="preserve"> a</w:t>
      </w:r>
      <w:r w:rsidRPr="0086226E">
        <w:rPr>
          <w:rFonts w:cs="Arial"/>
          <w:lang w:val="en-US"/>
        </w:rPr>
        <w:t xml:space="preserve"> consequence of</w:t>
      </w:r>
      <w:proofErr w:type="gramEnd"/>
      <w:r w:rsidRPr="0086226E">
        <w:rPr>
          <w:rFonts w:cs="Arial"/>
          <w:lang w:val="en-US"/>
        </w:rPr>
        <w:t xml:space="preserve"> the mix more concentrated in short-term unique payment bonds (24 months), which have lower load fees as compared to longer products (36 and 48 </w:t>
      </w:r>
      <w:r>
        <w:rPr>
          <w:rFonts w:cs="Arial"/>
          <w:lang w:val="en-US"/>
        </w:rPr>
        <w:t>months</w:t>
      </w:r>
      <w:r w:rsidRPr="0086226E">
        <w:rPr>
          <w:rFonts w:cs="Arial"/>
          <w:lang w:val="en-US"/>
        </w:rPr>
        <w:t>).</w:t>
      </w:r>
    </w:p>
    <w:p w14:paraId="2EF03D44" w14:textId="77777777" w:rsidR="003C4F2E" w:rsidRPr="007846AB" w:rsidRDefault="003C4F2E" w:rsidP="003C4F2E">
      <w:pPr>
        <w:pStyle w:val="05-Textonormal"/>
        <w:rPr>
          <w:rFonts w:cs="Arial"/>
          <w:highlight w:val="yellow"/>
          <w:lang w:val="en-US"/>
        </w:rPr>
      </w:pPr>
    </w:p>
    <w:p w14:paraId="516B2C0C" w14:textId="77777777" w:rsidR="003C4F2E" w:rsidRPr="00767B56" w:rsidRDefault="003C4F2E" w:rsidP="003C4F2E">
      <w:pPr>
        <w:pStyle w:val="03-SubttulodeNota"/>
        <w:spacing w:line="276" w:lineRule="auto"/>
        <w:rPr>
          <w:color w:val="1F3864" w:themeColor="accent1" w:themeShade="80"/>
          <w:lang w:val="en-US"/>
        </w:rPr>
      </w:pPr>
      <w:proofErr w:type="spellStart"/>
      <w:r w:rsidRPr="00767B56">
        <w:rPr>
          <w:color w:val="1F3864" w:themeColor="accent1" w:themeShade="80"/>
          <w:lang w:val="en-US"/>
        </w:rPr>
        <w:t>Brasildental</w:t>
      </w:r>
      <w:proofErr w:type="spellEnd"/>
    </w:p>
    <w:p w14:paraId="1785BA1A" w14:textId="77777777" w:rsidR="003C4F2E" w:rsidRPr="006D7F97" w:rsidRDefault="003C4F2E" w:rsidP="003C4F2E">
      <w:pPr>
        <w:pStyle w:val="05-Textonormal"/>
        <w:rPr>
          <w:rFonts w:cs="Arial"/>
          <w:lang w:val="en-US"/>
        </w:rPr>
      </w:pPr>
      <w:r w:rsidRPr="00767B56">
        <w:rPr>
          <w:rFonts w:cs="Arial"/>
          <w:lang w:val="en-US"/>
        </w:rPr>
        <w:t xml:space="preserve">In dental insurance, due to operational issues, the accounting of equity income is not considering the result of December 2023. </w:t>
      </w:r>
      <w:r w:rsidRPr="006D7F97">
        <w:rPr>
          <w:rFonts w:cs="Arial"/>
          <w:lang w:val="en-US"/>
        </w:rPr>
        <w:t xml:space="preserve">Year-to-date November, the net income reached R$24.3 million, up 14,8% compared to FY 2022, due to higher net investment income and improvement of insurance margin. </w:t>
      </w:r>
    </w:p>
    <w:p w14:paraId="004146F3" w14:textId="77777777" w:rsidR="003C4F2E" w:rsidRPr="006D7F97" w:rsidRDefault="003C4F2E" w:rsidP="003C4F2E">
      <w:pPr>
        <w:pStyle w:val="05-Textonormal"/>
        <w:rPr>
          <w:rFonts w:cs="Arial"/>
          <w:highlight w:val="yellow"/>
          <w:lang w:val="en-US"/>
        </w:rPr>
      </w:pPr>
    </w:p>
    <w:p w14:paraId="634B8109" w14:textId="77777777" w:rsidR="003C4F2E" w:rsidRPr="00767B56" w:rsidRDefault="003C4F2E" w:rsidP="003C4F2E">
      <w:pPr>
        <w:pStyle w:val="03-SubttulodeNota"/>
        <w:spacing w:line="276" w:lineRule="auto"/>
        <w:rPr>
          <w:color w:val="1F3864" w:themeColor="accent1" w:themeShade="80"/>
          <w:lang w:val="en-US"/>
        </w:rPr>
      </w:pPr>
      <w:r w:rsidRPr="00767B56">
        <w:rPr>
          <w:color w:val="1F3864" w:themeColor="accent1" w:themeShade="80"/>
          <w:lang w:val="en-US"/>
        </w:rPr>
        <w:t xml:space="preserve">BB </w:t>
      </w:r>
      <w:proofErr w:type="spellStart"/>
      <w:r w:rsidRPr="00767B56">
        <w:rPr>
          <w:color w:val="1F3864" w:themeColor="accent1" w:themeShade="80"/>
          <w:lang w:val="en-US"/>
        </w:rPr>
        <w:t>Corretora</w:t>
      </w:r>
      <w:proofErr w:type="spellEnd"/>
    </w:p>
    <w:p w14:paraId="62A22F47" w14:textId="77777777" w:rsidR="003C4F2E" w:rsidRPr="00124118" w:rsidRDefault="003C4F2E" w:rsidP="003C4F2E">
      <w:pPr>
        <w:pStyle w:val="05-Textonormal"/>
        <w:rPr>
          <w:lang w:val="en-US"/>
        </w:rPr>
      </w:pPr>
      <w:bookmarkStart w:id="6" w:name="_Hlk157085883"/>
      <w:bookmarkEnd w:id="5"/>
      <w:r w:rsidRPr="00124118">
        <w:rPr>
          <w:lang w:val="en-US"/>
        </w:rPr>
        <w:t xml:space="preserve">In 2023, the </w:t>
      </w:r>
      <w:r>
        <w:rPr>
          <w:lang w:val="en-US"/>
        </w:rPr>
        <w:t xml:space="preserve">net </w:t>
      </w:r>
      <w:r w:rsidRPr="00124118">
        <w:rPr>
          <w:lang w:val="en-US"/>
        </w:rPr>
        <w:t xml:space="preserve">income of BB </w:t>
      </w:r>
      <w:proofErr w:type="spellStart"/>
      <w:r w:rsidRPr="00124118">
        <w:rPr>
          <w:lang w:val="en-US"/>
        </w:rPr>
        <w:t>Corretora</w:t>
      </w:r>
      <w:proofErr w:type="spellEnd"/>
      <w:r w:rsidRPr="00124118">
        <w:rPr>
          <w:lang w:val="en-US"/>
        </w:rPr>
        <w:t xml:space="preserve"> grew 9.5%, explained by the higher brokerage revenues, led by the evolution of com</w:t>
      </w:r>
      <w:r>
        <w:rPr>
          <w:lang w:val="en-US"/>
        </w:rPr>
        <w:t>m</w:t>
      </w:r>
      <w:r w:rsidRPr="00124118">
        <w:rPr>
          <w:lang w:val="en-US"/>
        </w:rPr>
        <w:t>ercial performance in the main lines and the expansion of net investment income (+21.5%), which is justified by the increase of the average balance of financial investments.</w:t>
      </w:r>
    </w:p>
    <w:bookmarkEnd w:id="6"/>
    <w:p w14:paraId="02FCAC6F" w14:textId="77777777" w:rsidR="003C4F2E" w:rsidRDefault="003C4F2E" w:rsidP="003C4F2E">
      <w:pPr>
        <w:pStyle w:val="05-Textonormal"/>
        <w:rPr>
          <w:lang w:val="en-US"/>
        </w:rPr>
      </w:pPr>
      <w:r>
        <w:rPr>
          <w:lang w:val="en-US"/>
        </w:rPr>
        <w:t xml:space="preserve">The net brokerage revenues rose 6.8% in 2023. </w:t>
      </w:r>
      <w:r w:rsidRPr="003B5ABD">
        <w:rPr>
          <w:lang w:val="en-US"/>
        </w:rPr>
        <w:t xml:space="preserve">It is worth noting that, in 2022, an amount of R$203.1 million was recognized as a performance bonus </w:t>
      </w:r>
      <w:r>
        <w:rPr>
          <w:lang w:val="en-US"/>
        </w:rPr>
        <w:t>for</w:t>
      </w:r>
      <w:r w:rsidRPr="003B5ABD">
        <w:rPr>
          <w:lang w:val="en-US"/>
        </w:rPr>
        <w:t xml:space="preserve"> exceeding life and credit insurance sales targets, which was recorded monthly throughout the year and paid in full by </w:t>
      </w:r>
      <w:proofErr w:type="spellStart"/>
      <w:r w:rsidRPr="003B5ABD">
        <w:rPr>
          <w:lang w:val="en-US"/>
        </w:rPr>
        <w:t>Brasilseg</w:t>
      </w:r>
      <w:proofErr w:type="spellEnd"/>
      <w:r w:rsidRPr="003B5ABD">
        <w:rPr>
          <w:lang w:val="en-US"/>
        </w:rPr>
        <w:t xml:space="preserve"> at the beginning of the following year. This mechanism was replaced, from January/2023, by higher fixed commission percentages in these two </w:t>
      </w:r>
      <w:r>
        <w:rPr>
          <w:lang w:val="en-US"/>
        </w:rPr>
        <w:t>segments</w:t>
      </w:r>
      <w:r w:rsidRPr="003B5ABD">
        <w:rPr>
          <w:lang w:val="en-US"/>
        </w:rPr>
        <w:t>, with a dynamic of brokerage revenue</w:t>
      </w:r>
      <w:r>
        <w:rPr>
          <w:lang w:val="en-US"/>
        </w:rPr>
        <w:t xml:space="preserve"> </w:t>
      </w:r>
      <w:r w:rsidRPr="003B5ABD">
        <w:rPr>
          <w:lang w:val="en-US"/>
        </w:rPr>
        <w:t xml:space="preserve">deferral according to the </w:t>
      </w:r>
      <w:r>
        <w:rPr>
          <w:lang w:val="en-US"/>
        </w:rPr>
        <w:t>duration of the service.</w:t>
      </w:r>
      <w:r w:rsidRPr="003B5ABD">
        <w:rPr>
          <w:lang w:val="en-US"/>
        </w:rPr>
        <w:t xml:space="preserve"> The change in mechanism, although it did not generate a significant change in cash flow, resulted in slower recognition of revenue, a fact reflected in the 32.1% increase in the balance of commissions to be appropriated, which reached R$4.7 billion at the end of December/2023.</w:t>
      </w:r>
    </w:p>
    <w:p w14:paraId="326FD88B" w14:textId="77777777" w:rsidR="003C4F2E" w:rsidRPr="00767B56" w:rsidRDefault="003C4F2E" w:rsidP="003C4F2E">
      <w:pPr>
        <w:pStyle w:val="05-Textonormal"/>
        <w:rPr>
          <w:lang w:val="en-US"/>
        </w:rPr>
      </w:pPr>
      <w:r w:rsidRPr="00983B2F">
        <w:rPr>
          <w:lang w:val="en-US"/>
        </w:rPr>
        <w:t xml:space="preserve">The </w:t>
      </w:r>
      <w:r>
        <w:rPr>
          <w:lang w:val="en-US"/>
        </w:rPr>
        <w:t xml:space="preserve">net </w:t>
      </w:r>
      <w:r w:rsidRPr="00983B2F">
        <w:rPr>
          <w:lang w:val="en-US"/>
        </w:rPr>
        <w:t xml:space="preserve">brokerage revenues arising from pension plan segment fell 0.8% YoY, the opposite direction observed in gross inflow at </w:t>
      </w:r>
      <w:proofErr w:type="spellStart"/>
      <w:r w:rsidRPr="00983B2F">
        <w:rPr>
          <w:lang w:val="en-US"/>
        </w:rPr>
        <w:t>Brasilprev</w:t>
      </w:r>
      <w:proofErr w:type="spellEnd"/>
      <w:r w:rsidRPr="00983B2F">
        <w:rPr>
          <w:lang w:val="en-US"/>
        </w:rPr>
        <w:t>, explained by the higher volume of cancellations in 2023, which amounted to R$66.2 million, related to the short-term redemptions of pension funds.</w:t>
      </w:r>
    </w:p>
    <w:p w14:paraId="07D32B83" w14:textId="77777777" w:rsidR="003C4F2E" w:rsidRPr="00983B2F" w:rsidRDefault="003C4F2E" w:rsidP="003C4F2E">
      <w:pPr>
        <w:pStyle w:val="05-Textonormal"/>
        <w:rPr>
          <w:lang w:val="en-US"/>
        </w:rPr>
      </w:pPr>
      <w:r w:rsidRPr="00983B2F">
        <w:rPr>
          <w:lang w:val="en-US"/>
        </w:rPr>
        <w:t>The negative balance of other income and expenses grew 4.7%, explained by:</w:t>
      </w:r>
    </w:p>
    <w:p w14:paraId="4B38F0FE" w14:textId="77777777" w:rsidR="003C4F2E" w:rsidRPr="00983B2F" w:rsidRDefault="003C4F2E" w:rsidP="003C4F2E">
      <w:pPr>
        <w:pStyle w:val="10-Lista2"/>
        <w:ind w:left="1004"/>
        <w:rPr>
          <w:lang w:val="en-US"/>
        </w:rPr>
      </w:pPr>
      <w:r w:rsidRPr="00983B2F">
        <w:rPr>
          <w:lang w:val="en-US"/>
        </w:rPr>
        <w:t xml:space="preserve">increase in administrative and sales expenses, with a greater volume of sponsorships and incentivized donations, and an increase in expenses with sales incentives, data processing and promotions and public </w:t>
      </w:r>
      <w:proofErr w:type="gramStart"/>
      <w:r w:rsidRPr="00983B2F">
        <w:rPr>
          <w:lang w:val="en-US"/>
        </w:rPr>
        <w:t>relations;</w:t>
      </w:r>
      <w:proofErr w:type="gramEnd"/>
    </w:p>
    <w:p w14:paraId="62822726" w14:textId="77777777" w:rsidR="003C4F2E" w:rsidRPr="00983B2F" w:rsidRDefault="003C4F2E" w:rsidP="003C4F2E">
      <w:pPr>
        <w:pStyle w:val="10-Lista2"/>
        <w:numPr>
          <w:ilvl w:val="0"/>
          <w:numId w:val="0"/>
        </w:numPr>
        <w:ind w:left="1004" w:hanging="360"/>
        <w:rPr>
          <w:lang w:val="en-US"/>
        </w:rPr>
      </w:pPr>
    </w:p>
    <w:p w14:paraId="3624C5B5" w14:textId="77777777" w:rsidR="003C4F2E" w:rsidRPr="00983B2F" w:rsidRDefault="003C4F2E" w:rsidP="003C4F2E">
      <w:pPr>
        <w:pStyle w:val="10-Lista2"/>
        <w:ind w:left="1004"/>
        <w:rPr>
          <w:lang w:val="en-US"/>
        </w:rPr>
      </w:pPr>
      <w:r w:rsidRPr="00983B2F">
        <w:rPr>
          <w:lang w:val="en-US"/>
        </w:rPr>
        <w:t xml:space="preserve">growth in personnel expenses, a consequence of the expansion in the number of employees, as well as the greater allocation to BB </w:t>
      </w:r>
      <w:proofErr w:type="spellStart"/>
      <w:r w:rsidRPr="00983B2F">
        <w:rPr>
          <w:lang w:val="en-US"/>
        </w:rPr>
        <w:t>Corretora</w:t>
      </w:r>
      <w:proofErr w:type="spellEnd"/>
      <w:r w:rsidRPr="00983B2F">
        <w:rPr>
          <w:lang w:val="en-US"/>
        </w:rPr>
        <w:t xml:space="preserve"> of expenses shared with the holding companies (BB </w:t>
      </w:r>
      <w:proofErr w:type="spellStart"/>
      <w:r w:rsidRPr="00983B2F">
        <w:rPr>
          <w:lang w:val="en-US"/>
        </w:rPr>
        <w:t>Seguridade</w:t>
      </w:r>
      <w:proofErr w:type="spellEnd"/>
      <w:r w:rsidRPr="00983B2F">
        <w:rPr>
          <w:lang w:val="en-US"/>
        </w:rPr>
        <w:t xml:space="preserve"> and BB Seguros); and</w:t>
      </w:r>
    </w:p>
    <w:p w14:paraId="3BC16F9F" w14:textId="77777777" w:rsidR="003C4F2E" w:rsidRPr="00767B56" w:rsidRDefault="003C4F2E" w:rsidP="003C4F2E">
      <w:pPr>
        <w:pStyle w:val="10-Lista2"/>
        <w:numPr>
          <w:ilvl w:val="0"/>
          <w:numId w:val="0"/>
        </w:numPr>
        <w:ind w:left="1004"/>
        <w:rPr>
          <w:lang w:val="en-US"/>
        </w:rPr>
      </w:pPr>
    </w:p>
    <w:p w14:paraId="06E3E974" w14:textId="77777777" w:rsidR="003C4F2E" w:rsidRPr="00767B56" w:rsidRDefault="003C4F2E" w:rsidP="003C4F2E">
      <w:pPr>
        <w:pStyle w:val="10-Lista2"/>
        <w:ind w:left="1004"/>
        <w:rPr>
          <w:lang w:val="en-US"/>
        </w:rPr>
      </w:pPr>
      <w:r w:rsidRPr="00767B56">
        <w:rPr>
          <w:lang w:val="en-US"/>
        </w:rPr>
        <w:t>greater volume of civil lawsuits provisions, with the impact of the review of classification from “possible” to “probable” loss.</w:t>
      </w:r>
    </w:p>
    <w:p w14:paraId="707FAD94" w14:textId="77777777" w:rsidR="003C4F2E" w:rsidRPr="00767B56" w:rsidRDefault="003C4F2E" w:rsidP="003C4F2E">
      <w:pPr>
        <w:pStyle w:val="10-Lista2"/>
        <w:numPr>
          <w:ilvl w:val="0"/>
          <w:numId w:val="0"/>
        </w:numPr>
        <w:rPr>
          <w:lang w:val="en-US"/>
        </w:rPr>
      </w:pPr>
    </w:p>
    <w:p w14:paraId="6D32E792" w14:textId="77777777" w:rsidR="003C4F2E" w:rsidRPr="00767B56" w:rsidRDefault="003C4F2E" w:rsidP="003C4F2E">
      <w:pPr>
        <w:pStyle w:val="05-Textonormal"/>
        <w:rPr>
          <w:lang w:val="en-US"/>
        </w:rPr>
      </w:pPr>
      <w:r w:rsidRPr="00983B2F">
        <w:rPr>
          <w:lang w:val="en-US"/>
        </w:rPr>
        <w:t xml:space="preserve">On the other hand, the </w:t>
      </w:r>
      <w:proofErr w:type="gramStart"/>
      <w:r w:rsidRPr="00983B2F">
        <w:rPr>
          <w:lang w:val="en-US"/>
        </w:rPr>
        <w:t>aforementioned effects</w:t>
      </w:r>
      <w:proofErr w:type="gramEnd"/>
      <w:r w:rsidRPr="00983B2F">
        <w:rPr>
          <w:lang w:val="en-US"/>
        </w:rPr>
        <w:t xml:space="preserve"> were partially offset by the improvement of the equity income from </w:t>
      </w:r>
      <w:proofErr w:type="spellStart"/>
      <w:r w:rsidRPr="00983B2F">
        <w:rPr>
          <w:lang w:val="en-US"/>
        </w:rPr>
        <w:t>Ciclic</w:t>
      </w:r>
      <w:proofErr w:type="spellEnd"/>
      <w:r w:rsidRPr="00983B2F">
        <w:rPr>
          <w:lang w:val="en-US"/>
        </w:rPr>
        <w:t>.</w:t>
      </w:r>
    </w:p>
    <w:p w14:paraId="54EABFF4" w14:textId="77777777" w:rsidR="003C4F2E" w:rsidRPr="00767B56" w:rsidRDefault="003C4F2E" w:rsidP="003C4F2E">
      <w:pPr>
        <w:pStyle w:val="01-Textonormal"/>
        <w:rPr>
          <w:rFonts w:cs="Arial"/>
          <w:color w:val="FF0000"/>
          <w:lang w:val="en-US"/>
        </w:rPr>
      </w:pPr>
    </w:p>
    <w:p w14:paraId="4CD2CD7B" w14:textId="77777777" w:rsidR="003C4F2E" w:rsidRPr="00E55A3D" w:rsidRDefault="003C4F2E" w:rsidP="003C4F2E">
      <w:pPr>
        <w:pStyle w:val="01-TtulodeNota"/>
        <w:numPr>
          <w:ilvl w:val="0"/>
          <w:numId w:val="57"/>
        </w:numPr>
        <w:ind w:left="357" w:hanging="357"/>
        <w:rPr>
          <w:color w:val="1F3864" w:themeColor="accent1" w:themeShade="80"/>
          <w:lang w:val="en-US"/>
        </w:rPr>
      </w:pPr>
      <w:r>
        <w:rPr>
          <w:color w:val="1F3864" w:themeColor="accent1" w:themeShade="80"/>
          <w:lang w:val="en-US"/>
        </w:rPr>
        <w:t>SHARES PERFORMANCE AND MARKET RELATIONSHIP</w:t>
      </w:r>
    </w:p>
    <w:p w14:paraId="4E21B95B"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shares, traded on B3 – Brasil, Bolsa, </w:t>
      </w:r>
      <w:proofErr w:type="spellStart"/>
      <w:r w:rsidRPr="00711E1D">
        <w:rPr>
          <w:rFonts w:cs="Arial"/>
          <w:color w:val="000000" w:themeColor="text1"/>
          <w:lang w:val="en-US"/>
        </w:rPr>
        <w:t>Balcão</w:t>
      </w:r>
      <w:proofErr w:type="spellEnd"/>
      <w:r w:rsidRPr="00711E1D">
        <w:rPr>
          <w:rFonts w:cs="Arial"/>
          <w:color w:val="000000" w:themeColor="text1"/>
          <w:lang w:val="en-US"/>
        </w:rPr>
        <w:t xml:space="preserve"> (“B3”) under the ticker BBSE3, closed the year at R$33.65 with a 10.7% appreciation YTD. Based on the year-end price, the market value of 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reached R$67.3 billion, positioning the Company as the 16th largest company listed on the Brazilian stock exchange according to the market value metrics. In 2023, the average daily trading volume of the Company's shares was R$179.8 million.</w:t>
      </w:r>
    </w:p>
    <w:p w14:paraId="7ED0B172"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BB </w:t>
      </w:r>
      <w:proofErr w:type="spellStart"/>
      <w:r w:rsidRPr="00711E1D">
        <w:rPr>
          <w:rFonts w:cs="Arial"/>
          <w:color w:val="000000" w:themeColor="text1"/>
          <w:lang w:val="en-US"/>
        </w:rPr>
        <w:t>Seguridade's</w:t>
      </w:r>
      <w:proofErr w:type="spellEnd"/>
      <w:r w:rsidRPr="00711E1D">
        <w:rPr>
          <w:rFonts w:cs="Arial"/>
          <w:color w:val="000000" w:themeColor="text1"/>
          <w:lang w:val="en-US"/>
        </w:rPr>
        <w:t xml:space="preserve"> shares closed the fiscal year integrating the theoretical portfolios of Ibovespa, </w:t>
      </w:r>
      <w:proofErr w:type="spellStart"/>
      <w:r w:rsidRPr="00711E1D">
        <w:rPr>
          <w:rFonts w:cs="Arial"/>
          <w:color w:val="000000" w:themeColor="text1"/>
          <w:lang w:val="en-US"/>
        </w:rPr>
        <w:t>IBrX</w:t>
      </w:r>
      <w:proofErr w:type="spellEnd"/>
      <w:r w:rsidRPr="00711E1D">
        <w:rPr>
          <w:rFonts w:cs="Arial"/>
          <w:color w:val="000000" w:themeColor="text1"/>
          <w:lang w:val="en-US"/>
        </w:rPr>
        <w:t xml:space="preserve"> 50, </w:t>
      </w:r>
      <w:proofErr w:type="spellStart"/>
      <w:r w:rsidRPr="00711E1D">
        <w:rPr>
          <w:rFonts w:cs="Arial"/>
          <w:color w:val="000000" w:themeColor="text1"/>
          <w:lang w:val="en-US"/>
        </w:rPr>
        <w:t>IBrX</w:t>
      </w:r>
      <w:proofErr w:type="spellEnd"/>
      <w:r w:rsidRPr="00711E1D">
        <w:rPr>
          <w:rFonts w:cs="Arial"/>
          <w:color w:val="000000" w:themeColor="text1"/>
          <w:lang w:val="en-US"/>
        </w:rPr>
        <w:t xml:space="preserve"> 100, </w:t>
      </w:r>
      <w:proofErr w:type="spellStart"/>
      <w:r w:rsidRPr="00711E1D">
        <w:rPr>
          <w:rFonts w:cs="Arial"/>
          <w:color w:val="000000" w:themeColor="text1"/>
          <w:lang w:val="en-US"/>
        </w:rPr>
        <w:t>IBrA</w:t>
      </w:r>
      <w:proofErr w:type="spellEnd"/>
      <w:r w:rsidRPr="00711E1D">
        <w:rPr>
          <w:rFonts w:cs="Arial"/>
          <w:color w:val="000000" w:themeColor="text1"/>
          <w:lang w:val="en-US"/>
        </w:rPr>
        <w:t xml:space="preserve">, BM&amp;FBOVESPA Financial Index (IFNC), </w:t>
      </w:r>
      <w:r w:rsidRPr="00711E1D">
        <w:rPr>
          <w:rStyle w:val="nfase"/>
          <w:rFonts w:eastAsia="Calibri" w:cs="Arial"/>
          <w:bCs/>
          <w:color w:val="000000" w:themeColor="text1"/>
          <w:lang w:val="en-US"/>
        </w:rPr>
        <w:t>Differentiated Corporate Governance Stock Index (IGC)</w:t>
      </w:r>
      <w:r w:rsidRPr="00711E1D">
        <w:rPr>
          <w:rFonts w:cs="Arial"/>
          <w:color w:val="000000" w:themeColor="text1"/>
          <w:lang w:val="en-US"/>
        </w:rPr>
        <w:t xml:space="preserve">, Trade Corporate Governance Index (IGCT), Stock Index with Corporate Governance – Novo Mercado (IGC-NM), Differentiated Tag Along Stock Index (ITAG), </w:t>
      </w:r>
      <w:proofErr w:type="spellStart"/>
      <w:r w:rsidRPr="00711E1D">
        <w:rPr>
          <w:rFonts w:cs="Arial"/>
          <w:color w:val="000000" w:themeColor="text1"/>
          <w:lang w:val="en-US"/>
        </w:rPr>
        <w:t>BM&amp;FBovespa</w:t>
      </w:r>
      <w:proofErr w:type="spellEnd"/>
      <w:r w:rsidRPr="00711E1D">
        <w:rPr>
          <w:rFonts w:cs="Arial"/>
          <w:color w:val="000000" w:themeColor="text1"/>
          <w:lang w:val="en-US"/>
        </w:rPr>
        <w:t xml:space="preserve"> Dividends Index (IDIV), </w:t>
      </w:r>
      <w:proofErr w:type="spellStart"/>
      <w:r w:rsidRPr="00711E1D">
        <w:rPr>
          <w:rFonts w:cs="Arial"/>
          <w:color w:val="000000" w:themeColor="text1"/>
          <w:lang w:val="en-US"/>
        </w:rPr>
        <w:t>MidLarge</w:t>
      </w:r>
      <w:proofErr w:type="spellEnd"/>
      <w:r w:rsidRPr="00711E1D">
        <w:rPr>
          <w:rFonts w:cs="Arial"/>
          <w:color w:val="000000" w:themeColor="text1"/>
          <w:lang w:val="en-US"/>
        </w:rPr>
        <w:t xml:space="preserve"> Cap Index (MLCX), </w:t>
      </w:r>
      <w:proofErr w:type="spellStart"/>
      <w:r w:rsidRPr="00711E1D">
        <w:rPr>
          <w:rFonts w:cs="Arial"/>
          <w:color w:val="000000" w:themeColor="text1"/>
          <w:lang w:val="en-US"/>
        </w:rPr>
        <w:t>BM&amp;FBovespa</w:t>
      </w:r>
      <w:proofErr w:type="spellEnd"/>
      <w:r w:rsidRPr="00711E1D">
        <w:rPr>
          <w:rFonts w:cs="Arial"/>
          <w:color w:val="000000" w:themeColor="text1"/>
          <w:lang w:val="en-US"/>
        </w:rPr>
        <w:t xml:space="preserve"> Value Index (IVBX2), B3 Diversity Index (IDIVERSA B3), MSCI Brazil Index and FTSE4Good Index.</w:t>
      </w:r>
    </w:p>
    <w:p w14:paraId="27345701"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Since March 2014, BB </w:t>
      </w:r>
      <w:proofErr w:type="spellStart"/>
      <w:r w:rsidRPr="00711E1D">
        <w:rPr>
          <w:rFonts w:cs="Arial"/>
          <w:color w:val="000000" w:themeColor="text1"/>
          <w:lang w:val="en-US"/>
        </w:rPr>
        <w:t>Seguridade</w:t>
      </w:r>
      <w:proofErr w:type="spellEnd"/>
      <w:r w:rsidRPr="00711E1D">
        <w:rPr>
          <w:rFonts w:cs="Arial"/>
          <w:color w:val="000000" w:themeColor="text1"/>
          <w:lang w:val="en-US"/>
        </w:rPr>
        <w:t xml:space="preserve"> has maintained a Level I </w:t>
      </w:r>
      <w:r w:rsidRPr="00711E1D">
        <w:rPr>
          <w:rFonts w:cs="Arial"/>
          <w:i/>
          <w:color w:val="000000" w:themeColor="text1"/>
          <w:lang w:val="en-US"/>
        </w:rPr>
        <w:t>American Depositary Receipts</w:t>
      </w:r>
      <w:r w:rsidRPr="00711E1D">
        <w:rPr>
          <w:rFonts w:cs="Arial"/>
          <w:color w:val="000000" w:themeColor="text1"/>
          <w:lang w:val="en-US"/>
        </w:rPr>
        <w:t xml:space="preserve"> (“ADR”) Program. Currently, ADRs are issued by Citibank, backed by the Company's common shares (ON), at a ratio of 1 </w:t>
      </w:r>
      <w:proofErr w:type="gramStart"/>
      <w:r w:rsidRPr="00711E1D">
        <w:rPr>
          <w:rFonts w:cs="Arial"/>
          <w:color w:val="000000" w:themeColor="text1"/>
          <w:lang w:val="en-US"/>
        </w:rPr>
        <w:t>ADR :</w:t>
      </w:r>
      <w:proofErr w:type="gramEnd"/>
      <w:r w:rsidRPr="00711E1D">
        <w:rPr>
          <w:rFonts w:cs="Arial"/>
          <w:color w:val="000000" w:themeColor="text1"/>
          <w:lang w:val="en-US"/>
        </w:rPr>
        <w:t xml:space="preserve"> 1 ON, and traded on the U.S. </w:t>
      </w:r>
      <w:r w:rsidRPr="00711E1D">
        <w:rPr>
          <w:rFonts w:cs="Arial"/>
          <w:i/>
          <w:color w:val="000000" w:themeColor="text1"/>
          <w:lang w:val="en-US"/>
        </w:rPr>
        <w:t xml:space="preserve">Over-The-Counter </w:t>
      </w:r>
      <w:r w:rsidRPr="00711E1D">
        <w:rPr>
          <w:rFonts w:cs="Arial"/>
          <w:color w:val="000000" w:themeColor="text1"/>
          <w:lang w:val="en-US"/>
        </w:rPr>
        <w:t>market. At the end of the fiscal year, the program had more than 14.8 million ADRs issued, priced at US$6.93 per depositary receipt.</w:t>
      </w:r>
    </w:p>
    <w:p w14:paraId="1DFA8D1E" w14:textId="77777777" w:rsidR="003C4F2E" w:rsidRPr="00711E1D" w:rsidRDefault="003C4F2E" w:rsidP="003C4F2E">
      <w:pPr>
        <w:pStyle w:val="05-Textonormal"/>
        <w:rPr>
          <w:rFonts w:cs="Arial"/>
          <w:color w:val="000000" w:themeColor="text1"/>
          <w:lang w:val="en-US"/>
        </w:rPr>
      </w:pPr>
      <w:r w:rsidRPr="00711E1D">
        <w:rPr>
          <w:rFonts w:cs="Arial"/>
          <w:color w:val="000000" w:themeColor="text1"/>
          <w:lang w:val="en-US"/>
        </w:rPr>
        <w:t xml:space="preserve">Below, we present the main indicators for the performance of BB </w:t>
      </w:r>
      <w:proofErr w:type="spellStart"/>
      <w:r w:rsidRPr="00711E1D">
        <w:rPr>
          <w:rFonts w:cs="Arial"/>
          <w:color w:val="000000" w:themeColor="text1"/>
          <w:lang w:val="en-US"/>
        </w:rPr>
        <w:t>Seguridade's</w:t>
      </w:r>
      <w:proofErr w:type="spellEnd"/>
      <w:r w:rsidRPr="00711E1D">
        <w:rPr>
          <w:rFonts w:cs="Arial"/>
          <w:color w:val="000000" w:themeColor="text1"/>
          <w:lang w:val="en-US"/>
        </w:rPr>
        <w:t xml:space="preserve"> shares in the last two fiscal years:</w:t>
      </w:r>
    </w:p>
    <w:p w14:paraId="300483E1" w14:textId="226E6AF2" w:rsidR="003C4F2E" w:rsidRPr="00860655" w:rsidRDefault="003C4F2E" w:rsidP="003C4F2E">
      <w:pPr>
        <w:pStyle w:val="01-TtulodeNota"/>
        <w:rPr>
          <w:b w:val="0"/>
          <w:sz w:val="14"/>
        </w:rPr>
      </w:pPr>
      <w:proofErr w:type="spellStart"/>
      <w:r w:rsidRPr="00860655">
        <w:rPr>
          <w:rFonts w:cs="Arial"/>
          <w:b w:val="0"/>
          <w:sz w:val="14"/>
          <w:szCs w:val="14"/>
        </w:rPr>
        <w:t>Tab</w:t>
      </w:r>
      <w:r>
        <w:rPr>
          <w:rFonts w:cs="Arial"/>
          <w:b w:val="0"/>
          <w:sz w:val="14"/>
          <w:szCs w:val="14"/>
        </w:rPr>
        <w:t>le</w:t>
      </w:r>
      <w:proofErr w:type="spellEnd"/>
      <w:r w:rsidRPr="00860655">
        <w:rPr>
          <w:rFonts w:cs="Arial"/>
          <w:b w:val="0"/>
          <w:sz w:val="14"/>
          <w:szCs w:val="14"/>
        </w:rPr>
        <w:t xml:space="preserve">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001125FF">
        <w:rPr>
          <w:rFonts w:cs="Arial"/>
          <w:b w:val="0"/>
          <w:noProof/>
          <w:sz w:val="14"/>
          <w:szCs w:val="14"/>
        </w:rPr>
        <w:t>3</w:t>
      </w:r>
      <w:r w:rsidRPr="00860655">
        <w:rPr>
          <w:rFonts w:cs="Arial"/>
          <w:b w:val="0"/>
          <w:noProof/>
          <w:sz w:val="14"/>
          <w:szCs w:val="14"/>
        </w:rPr>
        <w:fldChar w:fldCharType="end"/>
      </w:r>
      <w:r w:rsidRPr="00860655">
        <w:rPr>
          <w:b w:val="0"/>
          <w:sz w:val="14"/>
        </w:rPr>
        <w:t xml:space="preserve"> – </w:t>
      </w:r>
      <w:proofErr w:type="spellStart"/>
      <w:r>
        <w:rPr>
          <w:b w:val="0"/>
          <w:sz w:val="14"/>
        </w:rPr>
        <w:t>Share’s</w:t>
      </w:r>
      <w:proofErr w:type="spellEnd"/>
      <w:r>
        <w:rPr>
          <w:b w:val="0"/>
          <w:sz w:val="14"/>
        </w:rPr>
        <w:t xml:space="preserve"> performance</w:t>
      </w:r>
    </w:p>
    <w:tbl>
      <w:tblPr>
        <w:tblStyle w:val="TabeladeLista6Colorida-nfase5"/>
        <w:tblW w:w="9639" w:type="dxa"/>
        <w:tblLook w:val="04A0" w:firstRow="1" w:lastRow="0" w:firstColumn="1" w:lastColumn="0" w:noHBand="0" w:noVBand="1"/>
      </w:tblPr>
      <w:tblGrid>
        <w:gridCol w:w="3828"/>
        <w:gridCol w:w="281"/>
        <w:gridCol w:w="1843"/>
        <w:gridCol w:w="1843"/>
        <w:gridCol w:w="1844"/>
      </w:tblGrid>
      <w:tr w:rsidR="003C4F2E" w:rsidRPr="00860655" w14:paraId="73E6B6DE" w14:textId="77777777" w:rsidTr="00711E1D">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2F5496" w:themeColor="accent1" w:themeShade="BF"/>
              <w:right w:val="nil"/>
            </w:tcBorders>
            <w:shd w:val="clear" w:color="auto" w:fill="auto"/>
            <w:vAlign w:val="center"/>
          </w:tcPr>
          <w:p w14:paraId="38440942" w14:textId="77777777" w:rsidR="003C4F2E" w:rsidRPr="00860655" w:rsidRDefault="003C4F2E">
            <w:pPr>
              <w:pStyle w:val="08-Tabelageral"/>
              <w:jc w:val="left"/>
              <w:rPr>
                <w:rFonts w:cs="Arial"/>
                <w:bCs w:val="0"/>
                <w:szCs w:val="14"/>
                <w:lang w:eastAsia="en-US"/>
              </w:rPr>
            </w:pPr>
          </w:p>
        </w:tc>
        <w:tc>
          <w:tcPr>
            <w:tcW w:w="281" w:type="dxa"/>
            <w:tcBorders>
              <w:top w:val="nil"/>
              <w:left w:val="nil"/>
              <w:bottom w:val="single" w:sz="2" w:space="0" w:color="2F5496" w:themeColor="accent1" w:themeShade="BF"/>
              <w:right w:val="nil"/>
            </w:tcBorders>
            <w:shd w:val="clear" w:color="auto" w:fill="auto"/>
            <w:vAlign w:val="center"/>
          </w:tcPr>
          <w:p w14:paraId="2523FD7F"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2F5496" w:themeColor="accent1" w:themeShade="BF"/>
              <w:right w:val="nil"/>
            </w:tcBorders>
            <w:shd w:val="clear" w:color="auto" w:fill="auto"/>
            <w:vAlign w:val="center"/>
          </w:tcPr>
          <w:p w14:paraId="70C0C6C7"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3" w:type="dxa"/>
            <w:tcBorders>
              <w:top w:val="nil"/>
              <w:left w:val="nil"/>
              <w:bottom w:val="single" w:sz="2" w:space="0" w:color="2F5496" w:themeColor="accent1" w:themeShade="BF"/>
              <w:right w:val="nil"/>
            </w:tcBorders>
            <w:shd w:val="clear" w:color="auto" w:fill="auto"/>
            <w:vAlign w:val="center"/>
          </w:tcPr>
          <w:p w14:paraId="2E96B1BC" w14:textId="77777777" w:rsidR="003C4F2E" w:rsidRPr="00860655" w:rsidRDefault="003C4F2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844" w:type="dxa"/>
            <w:tcBorders>
              <w:top w:val="nil"/>
              <w:left w:val="nil"/>
              <w:bottom w:val="single" w:sz="2" w:space="0" w:color="2F5496" w:themeColor="accent1" w:themeShade="BF"/>
              <w:right w:val="nil"/>
            </w:tcBorders>
            <w:shd w:val="clear" w:color="auto" w:fill="auto"/>
            <w:vAlign w:val="center"/>
          </w:tcPr>
          <w:p w14:paraId="662D536F" w14:textId="77777777" w:rsidR="003C4F2E" w:rsidRPr="00860655" w:rsidRDefault="003C4F2E">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3C4F2E" w:rsidRPr="00860655" w14:paraId="46A3972E" w14:textId="77777777" w:rsidTr="00711E1D">
        <w:trPr>
          <w:cnfStyle w:val="000000100000" w:firstRow="0" w:lastRow="0" w:firstColumn="0" w:lastColumn="0" w:oddVBand="0" w:evenVBand="0" w:oddHBand="1" w:evenHBand="0" w:firstRowFirstColumn="0" w:firstRowLastColumn="0" w:lastRowFirstColumn="0" w:lastRowLastColumn="0"/>
          <w:trHeight w:hRule="exact" w:val="517"/>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2F5496" w:themeColor="accent1" w:themeShade="BF"/>
              <w:left w:val="nil"/>
              <w:bottom w:val="single" w:sz="2" w:space="0" w:color="2F5496" w:themeColor="accent1" w:themeShade="BF"/>
              <w:right w:val="nil"/>
            </w:tcBorders>
            <w:shd w:val="clear" w:color="auto" w:fill="auto"/>
            <w:vAlign w:val="center"/>
          </w:tcPr>
          <w:p w14:paraId="750251EA" w14:textId="77777777" w:rsidR="003C4F2E" w:rsidRPr="00C44307" w:rsidRDefault="003C4F2E">
            <w:pPr>
              <w:pStyle w:val="08-Tabelageral"/>
              <w:jc w:val="left"/>
              <w:rPr>
                <w:rFonts w:cs="Arial"/>
                <w:snapToGrid w:val="0"/>
                <w:lang w:eastAsia="en-US"/>
              </w:rPr>
            </w:pPr>
          </w:p>
        </w:tc>
        <w:tc>
          <w:tcPr>
            <w:tcW w:w="281" w:type="dxa"/>
            <w:tcBorders>
              <w:top w:val="single" w:sz="2" w:space="0" w:color="2F5496" w:themeColor="accent1" w:themeShade="BF"/>
              <w:left w:val="nil"/>
              <w:bottom w:val="single" w:sz="2" w:space="0" w:color="2F5496" w:themeColor="accent1" w:themeShade="BF"/>
              <w:right w:val="nil"/>
            </w:tcBorders>
            <w:shd w:val="clear" w:color="auto" w:fill="auto"/>
            <w:vAlign w:val="center"/>
          </w:tcPr>
          <w:p w14:paraId="750D742B"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szCs w:val="14"/>
                <w:lang w:eastAsia="en-US"/>
              </w:rPr>
            </w:pPr>
          </w:p>
        </w:tc>
        <w:tc>
          <w:tcPr>
            <w:tcW w:w="1843" w:type="dxa"/>
            <w:tcBorders>
              <w:top w:val="single" w:sz="2" w:space="0" w:color="2F5496" w:themeColor="accent1" w:themeShade="BF"/>
              <w:left w:val="nil"/>
              <w:bottom w:val="single" w:sz="2" w:space="0" w:color="2F5496" w:themeColor="accent1" w:themeShade="BF"/>
              <w:right w:val="nil"/>
            </w:tcBorders>
            <w:shd w:val="clear" w:color="auto" w:fill="auto"/>
            <w:hideMark/>
          </w:tcPr>
          <w:p w14:paraId="202E80B2"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Unit</w:t>
            </w:r>
          </w:p>
        </w:tc>
        <w:tc>
          <w:tcPr>
            <w:tcW w:w="1843" w:type="dxa"/>
            <w:tcBorders>
              <w:top w:val="single" w:sz="2" w:space="0" w:color="2F5496" w:themeColor="accent1" w:themeShade="BF"/>
              <w:left w:val="nil"/>
              <w:bottom w:val="single" w:sz="2" w:space="0" w:color="2F5496" w:themeColor="accent1" w:themeShade="BF"/>
              <w:right w:val="nil"/>
            </w:tcBorders>
            <w:shd w:val="clear" w:color="auto" w:fill="auto"/>
            <w:hideMark/>
          </w:tcPr>
          <w:p w14:paraId="330BF5DF"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FY2023</w:t>
            </w:r>
          </w:p>
        </w:tc>
        <w:tc>
          <w:tcPr>
            <w:tcW w:w="1844" w:type="dxa"/>
            <w:tcBorders>
              <w:top w:val="single" w:sz="2" w:space="0" w:color="2F5496" w:themeColor="accent1" w:themeShade="BF"/>
              <w:left w:val="nil"/>
              <w:bottom w:val="single" w:sz="2" w:space="0" w:color="2F5496" w:themeColor="accent1" w:themeShade="BF"/>
              <w:right w:val="nil"/>
            </w:tcBorders>
            <w:shd w:val="clear" w:color="auto" w:fill="auto"/>
            <w:hideMark/>
          </w:tcPr>
          <w:p w14:paraId="6CE4313E"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b/>
                <w:bCs/>
              </w:rPr>
            </w:pPr>
            <w:r w:rsidRPr="00C44307">
              <w:rPr>
                <w:b/>
                <w:bCs/>
              </w:rPr>
              <w:t>FY2022</w:t>
            </w:r>
          </w:p>
          <w:p w14:paraId="0942116F" w14:textId="77777777" w:rsidR="003C4F2E" w:rsidRPr="00C44307"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C44307">
              <w:rPr>
                <w:b/>
                <w:bCs/>
              </w:rPr>
              <w:t>(</w:t>
            </w:r>
            <w:proofErr w:type="spellStart"/>
            <w:r w:rsidRPr="00C44307">
              <w:rPr>
                <w:b/>
                <w:bCs/>
              </w:rPr>
              <w:t>resubmitted</w:t>
            </w:r>
            <w:proofErr w:type="spellEnd"/>
            <w:r w:rsidRPr="00C44307">
              <w:rPr>
                <w:b/>
                <w:bCs/>
              </w:rPr>
              <w:t xml:space="preserve">) </w:t>
            </w:r>
          </w:p>
        </w:tc>
      </w:tr>
      <w:tr w:rsidR="003C4F2E" w:rsidRPr="00FA31E9" w14:paraId="029E8848" w14:textId="77777777" w:rsidTr="00711E1D">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2F5496" w:themeColor="accent1" w:themeShade="BF"/>
              <w:left w:val="nil"/>
              <w:bottom w:val="nil"/>
              <w:right w:val="nil"/>
            </w:tcBorders>
            <w:shd w:val="clear" w:color="auto" w:fill="auto"/>
            <w:hideMark/>
          </w:tcPr>
          <w:p w14:paraId="0CEBA0F9" w14:textId="77777777" w:rsidR="003C4F2E" w:rsidRPr="00575640" w:rsidRDefault="003C4F2E">
            <w:pPr>
              <w:pStyle w:val="08-Tabelageral"/>
              <w:jc w:val="left"/>
              <w:rPr>
                <w:rFonts w:cs="Arial"/>
                <w:b w:val="0"/>
                <w:bCs w:val="0"/>
                <w:snapToGrid w:val="0"/>
                <w:lang w:eastAsia="en-US"/>
              </w:rPr>
            </w:pPr>
            <w:proofErr w:type="spellStart"/>
            <w:r w:rsidRPr="00575640">
              <w:rPr>
                <w:b w:val="0"/>
                <w:bCs w:val="0"/>
              </w:rPr>
              <w:t>Earnings</w:t>
            </w:r>
            <w:proofErr w:type="spellEnd"/>
            <w:r w:rsidRPr="00575640">
              <w:rPr>
                <w:b w:val="0"/>
                <w:bCs w:val="0"/>
              </w:rPr>
              <w:t xml:space="preserve"> per </w:t>
            </w:r>
            <w:proofErr w:type="spellStart"/>
            <w:r w:rsidRPr="00575640">
              <w:rPr>
                <w:b w:val="0"/>
                <w:bCs w:val="0"/>
              </w:rPr>
              <w:t>share</w:t>
            </w:r>
            <w:proofErr w:type="spellEnd"/>
          </w:p>
        </w:tc>
        <w:tc>
          <w:tcPr>
            <w:tcW w:w="281" w:type="dxa"/>
            <w:tcBorders>
              <w:top w:val="single" w:sz="2" w:space="0" w:color="2F5496" w:themeColor="accent1" w:themeShade="BF"/>
              <w:left w:val="nil"/>
              <w:bottom w:val="nil"/>
              <w:right w:val="nil"/>
            </w:tcBorders>
            <w:shd w:val="clear" w:color="auto" w:fill="auto"/>
            <w:vAlign w:val="center"/>
          </w:tcPr>
          <w:p w14:paraId="468B1B17" w14:textId="77777777" w:rsidR="003C4F2E" w:rsidRPr="0086065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single" w:sz="2" w:space="0" w:color="2F5496" w:themeColor="accent1" w:themeShade="BF"/>
              <w:left w:val="nil"/>
              <w:bottom w:val="nil"/>
              <w:right w:val="nil"/>
            </w:tcBorders>
            <w:shd w:val="clear" w:color="auto" w:fill="auto"/>
            <w:hideMark/>
          </w:tcPr>
          <w:p w14:paraId="619B28C1" w14:textId="77777777" w:rsidR="003C4F2E" w:rsidRPr="00860655"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BRL</w:t>
            </w:r>
          </w:p>
        </w:tc>
        <w:tc>
          <w:tcPr>
            <w:tcW w:w="1843" w:type="dxa"/>
            <w:tcBorders>
              <w:top w:val="single" w:sz="2" w:space="0" w:color="2F5496" w:themeColor="accent1" w:themeShade="BF"/>
              <w:left w:val="nil"/>
              <w:bottom w:val="nil"/>
              <w:right w:val="nil"/>
            </w:tcBorders>
            <w:shd w:val="clear" w:color="auto" w:fill="auto"/>
            <w:hideMark/>
          </w:tcPr>
          <w:p w14:paraId="1877676E" w14:textId="77777777" w:rsidR="003C4F2E" w:rsidRPr="004929A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3.97</w:t>
            </w:r>
          </w:p>
        </w:tc>
        <w:tc>
          <w:tcPr>
            <w:tcW w:w="1844" w:type="dxa"/>
            <w:tcBorders>
              <w:top w:val="single" w:sz="2" w:space="0" w:color="2F5496" w:themeColor="accent1" w:themeShade="BF"/>
              <w:left w:val="nil"/>
              <w:bottom w:val="nil"/>
              <w:right w:val="nil"/>
            </w:tcBorders>
            <w:shd w:val="clear" w:color="auto" w:fill="auto"/>
            <w:hideMark/>
          </w:tcPr>
          <w:p w14:paraId="37C7AF58" w14:textId="77777777" w:rsidR="003C4F2E" w:rsidRPr="004929A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3.10</w:t>
            </w:r>
          </w:p>
        </w:tc>
      </w:tr>
      <w:tr w:rsidR="003C4F2E" w:rsidRPr="00DC3779" w14:paraId="72B9F38E"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16DEE64F" w14:textId="77777777" w:rsidR="003C4F2E" w:rsidRPr="00575640" w:rsidRDefault="003C4F2E">
            <w:pPr>
              <w:pStyle w:val="08-Tabelageral"/>
              <w:jc w:val="left"/>
              <w:rPr>
                <w:rFonts w:cs="Arial"/>
                <w:b w:val="0"/>
                <w:bCs w:val="0"/>
                <w:snapToGrid w:val="0"/>
                <w:lang w:val="en-US" w:eastAsia="en-US"/>
              </w:rPr>
            </w:pPr>
            <w:r w:rsidRPr="00575640">
              <w:rPr>
                <w:b w:val="0"/>
                <w:bCs w:val="0"/>
              </w:rPr>
              <w:t xml:space="preserve">Book </w:t>
            </w:r>
            <w:proofErr w:type="spellStart"/>
            <w:r w:rsidRPr="00575640">
              <w:rPr>
                <w:b w:val="0"/>
                <w:bCs w:val="0"/>
              </w:rPr>
              <w:t>value</w:t>
            </w:r>
            <w:proofErr w:type="spellEnd"/>
            <w:r w:rsidRPr="00575640">
              <w:rPr>
                <w:b w:val="0"/>
                <w:bCs w:val="0"/>
              </w:rPr>
              <w:t xml:space="preserve"> per </w:t>
            </w:r>
            <w:proofErr w:type="spellStart"/>
            <w:r w:rsidRPr="00575640">
              <w:rPr>
                <w:b w:val="0"/>
                <w:bCs w:val="0"/>
              </w:rPr>
              <w:t>share</w:t>
            </w:r>
            <w:proofErr w:type="spellEnd"/>
          </w:p>
        </w:tc>
        <w:tc>
          <w:tcPr>
            <w:tcW w:w="281" w:type="dxa"/>
            <w:tcBorders>
              <w:top w:val="nil"/>
              <w:left w:val="nil"/>
              <w:bottom w:val="nil"/>
              <w:right w:val="nil"/>
            </w:tcBorders>
            <w:shd w:val="clear" w:color="auto" w:fill="auto"/>
            <w:vAlign w:val="center"/>
          </w:tcPr>
          <w:p w14:paraId="0036285E" w14:textId="77777777" w:rsidR="003C4F2E" w:rsidRPr="00575640"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val="en-US" w:eastAsia="en-US"/>
              </w:rPr>
            </w:pPr>
          </w:p>
        </w:tc>
        <w:tc>
          <w:tcPr>
            <w:tcW w:w="1843" w:type="dxa"/>
            <w:tcBorders>
              <w:top w:val="nil"/>
              <w:left w:val="nil"/>
              <w:bottom w:val="nil"/>
              <w:right w:val="nil"/>
            </w:tcBorders>
            <w:shd w:val="clear" w:color="auto" w:fill="auto"/>
            <w:hideMark/>
          </w:tcPr>
          <w:p w14:paraId="38B74317"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shd w:val="clear" w:color="auto" w:fill="auto"/>
            <w:hideMark/>
          </w:tcPr>
          <w:p w14:paraId="699591E3"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4.91</w:t>
            </w:r>
          </w:p>
        </w:tc>
        <w:tc>
          <w:tcPr>
            <w:tcW w:w="1844" w:type="dxa"/>
            <w:tcBorders>
              <w:top w:val="nil"/>
              <w:left w:val="nil"/>
              <w:bottom w:val="nil"/>
              <w:right w:val="nil"/>
            </w:tcBorders>
            <w:shd w:val="clear" w:color="auto" w:fill="auto"/>
            <w:hideMark/>
          </w:tcPr>
          <w:p w14:paraId="2A0A9319"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4.02</w:t>
            </w:r>
          </w:p>
        </w:tc>
      </w:tr>
      <w:tr w:rsidR="003C4F2E" w:rsidRPr="00DC3779" w14:paraId="37C9C42D"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62C187BE" w14:textId="77777777" w:rsidR="003C4F2E" w:rsidRPr="00575640" w:rsidRDefault="003C4F2E">
            <w:pPr>
              <w:pStyle w:val="08-Tabelageral"/>
              <w:jc w:val="left"/>
              <w:rPr>
                <w:rFonts w:cs="Arial"/>
                <w:b w:val="0"/>
                <w:bCs w:val="0"/>
                <w:snapToGrid w:val="0"/>
                <w:lang w:val="en-US" w:eastAsia="en-US"/>
              </w:rPr>
            </w:pPr>
            <w:r w:rsidRPr="00575640">
              <w:rPr>
                <w:b w:val="0"/>
                <w:bCs w:val="0"/>
                <w:lang w:val="en-US"/>
              </w:rPr>
              <w:t>Year-end price per share</w:t>
            </w:r>
          </w:p>
        </w:tc>
        <w:tc>
          <w:tcPr>
            <w:tcW w:w="281" w:type="dxa"/>
            <w:tcBorders>
              <w:top w:val="nil"/>
              <w:left w:val="nil"/>
              <w:bottom w:val="nil"/>
              <w:right w:val="nil"/>
            </w:tcBorders>
            <w:shd w:val="clear" w:color="auto" w:fill="auto"/>
            <w:vAlign w:val="center"/>
          </w:tcPr>
          <w:p w14:paraId="3581794A" w14:textId="77777777" w:rsidR="003C4F2E" w:rsidRPr="00575640"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val="en-US" w:eastAsia="en-US"/>
              </w:rPr>
            </w:pPr>
          </w:p>
        </w:tc>
        <w:tc>
          <w:tcPr>
            <w:tcW w:w="1843" w:type="dxa"/>
            <w:tcBorders>
              <w:top w:val="nil"/>
              <w:left w:val="nil"/>
              <w:bottom w:val="nil"/>
              <w:right w:val="nil"/>
            </w:tcBorders>
            <w:shd w:val="clear" w:color="auto" w:fill="auto"/>
            <w:hideMark/>
          </w:tcPr>
          <w:p w14:paraId="4316C9A0"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BRL</w:t>
            </w:r>
          </w:p>
        </w:tc>
        <w:tc>
          <w:tcPr>
            <w:tcW w:w="1843" w:type="dxa"/>
            <w:tcBorders>
              <w:top w:val="nil"/>
              <w:left w:val="nil"/>
              <w:bottom w:val="nil"/>
              <w:right w:val="nil"/>
            </w:tcBorders>
            <w:shd w:val="clear" w:color="auto" w:fill="auto"/>
            <w:hideMark/>
          </w:tcPr>
          <w:p w14:paraId="5C41CC60"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33.65</w:t>
            </w:r>
          </w:p>
        </w:tc>
        <w:tc>
          <w:tcPr>
            <w:tcW w:w="1844" w:type="dxa"/>
            <w:tcBorders>
              <w:top w:val="nil"/>
              <w:left w:val="nil"/>
              <w:bottom w:val="nil"/>
              <w:right w:val="nil"/>
            </w:tcBorders>
            <w:shd w:val="clear" w:color="auto" w:fill="auto"/>
            <w:hideMark/>
          </w:tcPr>
          <w:p w14:paraId="634A6321"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33.71</w:t>
            </w:r>
          </w:p>
        </w:tc>
      </w:tr>
      <w:tr w:rsidR="003C4F2E" w:rsidRPr="00DC3779" w14:paraId="5C6CD1BA"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5277CE5C" w14:textId="77777777" w:rsidR="003C4F2E" w:rsidRPr="00575640" w:rsidRDefault="003C4F2E">
            <w:pPr>
              <w:pStyle w:val="08-Tabelageral"/>
              <w:jc w:val="left"/>
              <w:rPr>
                <w:rFonts w:cs="Arial"/>
                <w:b w:val="0"/>
                <w:bCs w:val="0"/>
                <w:snapToGrid w:val="0"/>
                <w:lang w:eastAsia="en-US"/>
              </w:rPr>
            </w:pPr>
            <w:r w:rsidRPr="00575640">
              <w:rPr>
                <w:b w:val="0"/>
                <w:bCs w:val="0"/>
              </w:rPr>
              <w:t>Market cap</w:t>
            </w:r>
          </w:p>
        </w:tc>
        <w:tc>
          <w:tcPr>
            <w:tcW w:w="281" w:type="dxa"/>
            <w:tcBorders>
              <w:top w:val="nil"/>
              <w:left w:val="nil"/>
              <w:bottom w:val="nil"/>
              <w:right w:val="nil"/>
            </w:tcBorders>
            <w:shd w:val="clear" w:color="auto" w:fill="auto"/>
            <w:vAlign w:val="center"/>
          </w:tcPr>
          <w:p w14:paraId="59347B5C"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4D6D4D64"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billion</w:t>
            </w:r>
            <w:proofErr w:type="spellEnd"/>
          </w:p>
        </w:tc>
        <w:tc>
          <w:tcPr>
            <w:tcW w:w="1843" w:type="dxa"/>
            <w:tcBorders>
              <w:top w:val="nil"/>
              <w:left w:val="nil"/>
              <w:bottom w:val="nil"/>
              <w:right w:val="nil"/>
            </w:tcBorders>
            <w:shd w:val="clear" w:color="auto" w:fill="auto"/>
            <w:hideMark/>
          </w:tcPr>
          <w:p w14:paraId="753ECE6A"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67.3</w:t>
            </w:r>
          </w:p>
        </w:tc>
        <w:tc>
          <w:tcPr>
            <w:tcW w:w="1844" w:type="dxa"/>
            <w:tcBorders>
              <w:top w:val="nil"/>
              <w:left w:val="nil"/>
              <w:bottom w:val="nil"/>
              <w:right w:val="nil"/>
            </w:tcBorders>
            <w:shd w:val="clear" w:color="auto" w:fill="auto"/>
            <w:hideMark/>
          </w:tcPr>
          <w:p w14:paraId="0581B797"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67.4</w:t>
            </w:r>
          </w:p>
        </w:tc>
      </w:tr>
      <w:tr w:rsidR="003C4F2E" w:rsidRPr="00DC3779" w14:paraId="70AC3C5B"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55B6BD69" w14:textId="77777777" w:rsidR="003C4F2E" w:rsidRPr="00575640" w:rsidRDefault="003C4F2E">
            <w:pPr>
              <w:pStyle w:val="08-Tabelageral"/>
              <w:jc w:val="left"/>
              <w:rPr>
                <w:rFonts w:cs="Arial"/>
                <w:b w:val="0"/>
                <w:bCs w:val="0"/>
                <w:snapToGrid w:val="0"/>
                <w:vertAlign w:val="superscript"/>
                <w:lang w:eastAsia="en-US"/>
              </w:rPr>
            </w:pPr>
            <w:proofErr w:type="spellStart"/>
            <w:r w:rsidRPr="00575640">
              <w:rPr>
                <w:b w:val="0"/>
                <w:bCs w:val="0"/>
              </w:rPr>
              <w:t>Number</w:t>
            </w:r>
            <w:proofErr w:type="spellEnd"/>
            <w:r w:rsidRPr="00575640">
              <w:rPr>
                <w:b w:val="0"/>
                <w:bCs w:val="0"/>
              </w:rPr>
              <w:t xml:space="preserve"> </w:t>
            </w:r>
            <w:proofErr w:type="spellStart"/>
            <w:r w:rsidRPr="00575640">
              <w:rPr>
                <w:b w:val="0"/>
                <w:bCs w:val="0"/>
              </w:rPr>
              <w:t>of</w:t>
            </w:r>
            <w:proofErr w:type="spellEnd"/>
            <w:r w:rsidRPr="00575640">
              <w:rPr>
                <w:b w:val="0"/>
                <w:bCs w:val="0"/>
              </w:rPr>
              <w:t xml:space="preserve"> tradings held¹</w:t>
            </w:r>
          </w:p>
        </w:tc>
        <w:tc>
          <w:tcPr>
            <w:tcW w:w="281" w:type="dxa"/>
            <w:tcBorders>
              <w:top w:val="nil"/>
              <w:left w:val="nil"/>
              <w:bottom w:val="nil"/>
              <w:right w:val="nil"/>
            </w:tcBorders>
            <w:shd w:val="clear" w:color="auto" w:fill="auto"/>
            <w:vAlign w:val="center"/>
          </w:tcPr>
          <w:p w14:paraId="5E8D541D"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6EE0B6BF"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r w:rsidRPr="001A5CC9">
              <w:t>-</w:t>
            </w:r>
          </w:p>
        </w:tc>
        <w:tc>
          <w:tcPr>
            <w:tcW w:w="1843" w:type="dxa"/>
            <w:tcBorders>
              <w:top w:val="nil"/>
              <w:left w:val="nil"/>
              <w:bottom w:val="nil"/>
              <w:right w:val="nil"/>
            </w:tcBorders>
            <w:shd w:val="clear" w:color="auto" w:fill="auto"/>
            <w:hideMark/>
          </w:tcPr>
          <w:p w14:paraId="3DCFB1E7"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4,426,591</w:t>
            </w:r>
          </w:p>
        </w:tc>
        <w:tc>
          <w:tcPr>
            <w:tcW w:w="1844" w:type="dxa"/>
            <w:tcBorders>
              <w:top w:val="nil"/>
              <w:left w:val="nil"/>
              <w:bottom w:val="nil"/>
              <w:right w:val="nil"/>
            </w:tcBorders>
            <w:shd w:val="clear" w:color="auto" w:fill="auto"/>
            <w:hideMark/>
          </w:tcPr>
          <w:p w14:paraId="63E8AFC6" w14:textId="77777777" w:rsidR="003C4F2E" w:rsidRPr="00F4280B"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lang w:eastAsia="en-US"/>
              </w:rPr>
            </w:pPr>
            <w:r w:rsidRPr="001A5CC9">
              <w:t>4,730,980</w:t>
            </w:r>
          </w:p>
        </w:tc>
      </w:tr>
      <w:tr w:rsidR="003C4F2E" w:rsidRPr="00DC3779" w14:paraId="413BE438" w14:textId="77777777" w:rsidTr="00711E1D">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shd w:val="clear" w:color="auto" w:fill="auto"/>
            <w:hideMark/>
          </w:tcPr>
          <w:p w14:paraId="1A9471D0" w14:textId="77777777" w:rsidR="003C4F2E" w:rsidRPr="00575640" w:rsidRDefault="003C4F2E">
            <w:pPr>
              <w:pStyle w:val="08-Tabelageral"/>
              <w:jc w:val="left"/>
              <w:rPr>
                <w:rFonts w:cs="Arial"/>
                <w:b w:val="0"/>
                <w:bCs w:val="0"/>
                <w:snapToGrid w:val="0"/>
                <w:lang w:eastAsia="en-US"/>
              </w:rPr>
            </w:pPr>
            <w:proofErr w:type="spellStart"/>
            <w:r w:rsidRPr="00575640">
              <w:rPr>
                <w:b w:val="0"/>
                <w:bCs w:val="0"/>
              </w:rPr>
              <w:t>Average</w:t>
            </w:r>
            <w:proofErr w:type="spellEnd"/>
            <w:r w:rsidRPr="00575640">
              <w:rPr>
                <w:b w:val="0"/>
                <w:bCs w:val="0"/>
              </w:rPr>
              <w:t xml:space="preserve"> </w:t>
            </w:r>
            <w:proofErr w:type="spellStart"/>
            <w:r w:rsidRPr="00575640">
              <w:rPr>
                <w:b w:val="0"/>
                <w:bCs w:val="0"/>
              </w:rPr>
              <w:t>daily</w:t>
            </w:r>
            <w:proofErr w:type="spellEnd"/>
            <w:r w:rsidRPr="00575640">
              <w:rPr>
                <w:b w:val="0"/>
                <w:bCs w:val="0"/>
              </w:rPr>
              <w:t xml:space="preserve"> trading volume¹</w:t>
            </w:r>
          </w:p>
        </w:tc>
        <w:tc>
          <w:tcPr>
            <w:tcW w:w="281" w:type="dxa"/>
            <w:tcBorders>
              <w:top w:val="nil"/>
              <w:left w:val="nil"/>
              <w:bottom w:val="nil"/>
              <w:right w:val="nil"/>
            </w:tcBorders>
            <w:shd w:val="clear" w:color="auto" w:fill="auto"/>
            <w:vAlign w:val="center"/>
          </w:tcPr>
          <w:p w14:paraId="4BDEEAB0"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tcBorders>
              <w:top w:val="nil"/>
              <w:left w:val="nil"/>
              <w:bottom w:val="nil"/>
              <w:right w:val="nil"/>
            </w:tcBorders>
            <w:shd w:val="clear" w:color="auto" w:fill="auto"/>
            <w:hideMark/>
          </w:tcPr>
          <w:p w14:paraId="41DE4FA2" w14:textId="77777777" w:rsidR="003C4F2E" w:rsidRPr="00DC3779"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1A5CC9">
              <w:t xml:space="preserve">BRL </w:t>
            </w:r>
            <w:proofErr w:type="spellStart"/>
            <w:r w:rsidRPr="001A5CC9">
              <w:t>million</w:t>
            </w:r>
            <w:proofErr w:type="spellEnd"/>
          </w:p>
        </w:tc>
        <w:tc>
          <w:tcPr>
            <w:tcW w:w="1843" w:type="dxa"/>
            <w:tcBorders>
              <w:top w:val="nil"/>
              <w:left w:val="nil"/>
              <w:bottom w:val="nil"/>
              <w:right w:val="nil"/>
            </w:tcBorders>
            <w:shd w:val="clear" w:color="auto" w:fill="auto"/>
            <w:hideMark/>
          </w:tcPr>
          <w:p w14:paraId="08A1D0B2"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179.8</w:t>
            </w:r>
          </w:p>
        </w:tc>
        <w:tc>
          <w:tcPr>
            <w:tcW w:w="1844" w:type="dxa"/>
            <w:tcBorders>
              <w:top w:val="nil"/>
              <w:left w:val="nil"/>
              <w:bottom w:val="nil"/>
              <w:right w:val="nil"/>
            </w:tcBorders>
            <w:shd w:val="clear" w:color="auto" w:fill="auto"/>
            <w:hideMark/>
          </w:tcPr>
          <w:p w14:paraId="42D00425" w14:textId="77777777" w:rsidR="003C4F2E" w:rsidRPr="00F4280B"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1A5CC9">
              <w:t>155.5</w:t>
            </w:r>
          </w:p>
        </w:tc>
      </w:tr>
      <w:tr w:rsidR="003C4F2E" w:rsidRPr="00DC3779" w14:paraId="1F7356D4" w14:textId="77777777" w:rsidTr="00711E1D">
        <w:trPr>
          <w:cnfStyle w:val="000000010000" w:firstRow="0" w:lastRow="0" w:firstColumn="0" w:lastColumn="0" w:oddVBand="0" w:evenVBand="0" w:oddHBand="0" w:evenHBand="1"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2F5496" w:themeColor="accent1" w:themeShade="BF"/>
              <w:right w:val="nil"/>
            </w:tcBorders>
            <w:shd w:val="clear" w:color="auto" w:fill="auto"/>
          </w:tcPr>
          <w:p w14:paraId="31AF1DF3" w14:textId="77777777" w:rsidR="003C4F2E" w:rsidRPr="00575640" w:rsidRDefault="003C4F2E">
            <w:pPr>
              <w:pStyle w:val="08-Tabelageral"/>
              <w:jc w:val="left"/>
              <w:rPr>
                <w:rFonts w:cs="Arial"/>
                <w:b w:val="0"/>
                <w:bCs w:val="0"/>
                <w:lang w:eastAsia="en-US"/>
              </w:rPr>
            </w:pPr>
            <w:r w:rsidRPr="00575640">
              <w:rPr>
                <w:b w:val="0"/>
                <w:bCs w:val="0"/>
              </w:rPr>
              <w:t xml:space="preserve">% </w:t>
            </w:r>
            <w:proofErr w:type="spellStart"/>
            <w:r w:rsidRPr="00575640">
              <w:rPr>
                <w:b w:val="0"/>
                <w:bCs w:val="0"/>
              </w:rPr>
              <w:t>of</w:t>
            </w:r>
            <w:proofErr w:type="spellEnd"/>
            <w:r w:rsidRPr="00575640">
              <w:rPr>
                <w:b w:val="0"/>
                <w:bCs w:val="0"/>
              </w:rPr>
              <w:t xml:space="preserve"> B3 ADTV</w:t>
            </w:r>
          </w:p>
        </w:tc>
        <w:tc>
          <w:tcPr>
            <w:tcW w:w="281" w:type="dxa"/>
            <w:tcBorders>
              <w:top w:val="nil"/>
              <w:left w:val="nil"/>
              <w:bottom w:val="single" w:sz="2" w:space="0" w:color="2F5496" w:themeColor="accent1" w:themeShade="BF"/>
              <w:right w:val="nil"/>
            </w:tcBorders>
            <w:shd w:val="clear" w:color="auto" w:fill="auto"/>
            <w:vAlign w:val="center"/>
          </w:tcPr>
          <w:p w14:paraId="261CB272" w14:textId="77777777" w:rsidR="003C4F2E" w:rsidRPr="00DC3779"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lang w:eastAsia="en-US"/>
              </w:rPr>
            </w:pPr>
          </w:p>
        </w:tc>
        <w:tc>
          <w:tcPr>
            <w:tcW w:w="1843" w:type="dxa"/>
            <w:tcBorders>
              <w:top w:val="nil"/>
              <w:left w:val="nil"/>
              <w:bottom w:val="single" w:sz="2" w:space="0" w:color="2F5496" w:themeColor="accent1" w:themeShade="BF"/>
              <w:right w:val="nil"/>
            </w:tcBorders>
            <w:shd w:val="clear" w:color="auto" w:fill="auto"/>
          </w:tcPr>
          <w:p w14:paraId="35F6779C"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w:t>
            </w:r>
          </w:p>
        </w:tc>
        <w:tc>
          <w:tcPr>
            <w:tcW w:w="1843" w:type="dxa"/>
            <w:tcBorders>
              <w:top w:val="nil"/>
              <w:left w:val="nil"/>
              <w:bottom w:val="single" w:sz="2" w:space="0" w:color="2F5496" w:themeColor="accent1" w:themeShade="BF"/>
              <w:right w:val="nil"/>
            </w:tcBorders>
            <w:shd w:val="clear" w:color="auto" w:fill="auto"/>
          </w:tcPr>
          <w:p w14:paraId="4B577E5A"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0.87</w:t>
            </w:r>
          </w:p>
        </w:tc>
        <w:tc>
          <w:tcPr>
            <w:tcW w:w="1844" w:type="dxa"/>
            <w:tcBorders>
              <w:top w:val="nil"/>
              <w:left w:val="nil"/>
              <w:bottom w:val="single" w:sz="2" w:space="0" w:color="2F5496" w:themeColor="accent1" w:themeShade="BF"/>
              <w:right w:val="nil"/>
            </w:tcBorders>
            <w:shd w:val="clear" w:color="auto" w:fill="auto"/>
          </w:tcPr>
          <w:p w14:paraId="76972500" w14:textId="77777777" w:rsidR="003C4F2E" w:rsidRPr="001A5CC9" w:rsidRDefault="003C4F2E">
            <w:pPr>
              <w:pStyle w:val="08-Tabelageral"/>
              <w:cnfStyle w:val="000000010000" w:firstRow="0" w:lastRow="0" w:firstColumn="0" w:lastColumn="0" w:oddVBand="0" w:evenVBand="0" w:oddHBand="0" w:evenHBand="1" w:firstRowFirstColumn="0" w:firstRowLastColumn="0" w:lastRowFirstColumn="0" w:lastRowLastColumn="0"/>
            </w:pPr>
            <w:r>
              <w:t>0.62</w:t>
            </w:r>
          </w:p>
        </w:tc>
      </w:tr>
    </w:tbl>
    <w:p w14:paraId="26D6D729" w14:textId="77777777" w:rsidR="003C4F2E" w:rsidRPr="00575640" w:rsidRDefault="003C4F2E" w:rsidP="003C4F2E">
      <w:pPr>
        <w:pStyle w:val="07-Legenda"/>
        <w:rPr>
          <w:rFonts w:cs="Arial"/>
          <w:lang w:val="en-US"/>
        </w:rPr>
      </w:pPr>
      <w:r w:rsidRPr="00575640">
        <w:rPr>
          <w:rFonts w:cs="Arial"/>
          <w:lang w:val="en-US"/>
        </w:rPr>
        <w:t>(1) Based on the standard batch</w:t>
      </w:r>
    </w:p>
    <w:p w14:paraId="1B091910" w14:textId="77777777" w:rsidR="003C4F2E" w:rsidRPr="00BC754A" w:rsidRDefault="003C4F2E" w:rsidP="003C4F2E">
      <w:pPr>
        <w:pStyle w:val="05-Textonormal"/>
        <w:rPr>
          <w:rFonts w:cs="Arial"/>
          <w:lang w:val="en-US"/>
        </w:rPr>
      </w:pPr>
    </w:p>
    <w:p w14:paraId="47133422" w14:textId="77777777" w:rsidR="003C4F2E" w:rsidRPr="00BC754A" w:rsidRDefault="003C4F2E" w:rsidP="003C4F2E">
      <w:pPr>
        <w:pStyle w:val="03-SubttulodeNota"/>
        <w:spacing w:line="276" w:lineRule="auto"/>
        <w:rPr>
          <w:color w:val="1F3864" w:themeColor="accent1" w:themeShade="80"/>
          <w:lang w:val="en-US"/>
        </w:rPr>
      </w:pPr>
      <w:r w:rsidRPr="00860655">
        <w:rPr>
          <w:color w:val="1F3864" w:themeColor="accent1" w:themeShade="80"/>
          <w:lang w:val="en-US"/>
        </w:rPr>
        <w:t>Shareholders’ Compensation</w:t>
      </w:r>
    </w:p>
    <w:p w14:paraId="46C3D478" w14:textId="77777777" w:rsidR="003C4F2E" w:rsidRPr="00BC754A" w:rsidRDefault="003C4F2E" w:rsidP="003C4F2E">
      <w:pPr>
        <w:pStyle w:val="01-Textonormal"/>
        <w:rPr>
          <w:rFonts w:cs="Arial"/>
          <w:lang w:val="en-US"/>
        </w:rPr>
      </w:pPr>
      <w:r w:rsidRPr="008F6730">
        <w:rPr>
          <w:rFonts w:cs="Arial"/>
          <w:lang w:val="en-US"/>
        </w:rPr>
        <w:t xml:space="preserve">BB </w:t>
      </w:r>
      <w:proofErr w:type="spellStart"/>
      <w:r w:rsidRPr="008F6730">
        <w:rPr>
          <w:rFonts w:cs="Arial"/>
          <w:lang w:val="en-US"/>
        </w:rPr>
        <w:t>Seguridade</w:t>
      </w:r>
      <w:proofErr w:type="spellEnd"/>
      <w:r w:rsidRPr="008F6730">
        <w:rPr>
          <w:rFonts w:cs="Arial"/>
          <w:lang w:val="en-US"/>
        </w:rPr>
        <w:t xml:space="preserve"> allocated approximately </w:t>
      </w:r>
      <w:r>
        <w:rPr>
          <w:rFonts w:cs="Arial"/>
          <w:lang w:val="en-US"/>
        </w:rPr>
        <w:t>71.3</w:t>
      </w:r>
      <w:r w:rsidRPr="008F6730">
        <w:rPr>
          <w:rFonts w:cs="Arial"/>
          <w:lang w:val="en-US"/>
        </w:rPr>
        <w:t>% of the net profit to shareholders as dividends in 2023, totaling R$5.7 billion, equivalent to R$2.83</w:t>
      </w:r>
      <w:r>
        <w:rPr>
          <w:rFonts w:cs="Arial"/>
          <w:lang w:val="en-US"/>
        </w:rPr>
        <w:t xml:space="preserve"> dividend</w:t>
      </w:r>
      <w:r w:rsidRPr="008F6730">
        <w:rPr>
          <w:rFonts w:cs="Arial"/>
          <w:lang w:val="en-US"/>
        </w:rPr>
        <w:t xml:space="preserve"> per share. In 2022, the dividend for the fiscal year </w:t>
      </w:r>
      <w:r>
        <w:rPr>
          <w:rFonts w:cs="Arial"/>
          <w:lang w:val="en-US"/>
        </w:rPr>
        <w:t>totaled</w:t>
      </w:r>
      <w:r w:rsidRPr="008F6730">
        <w:rPr>
          <w:rFonts w:cs="Arial"/>
          <w:lang w:val="en-US"/>
        </w:rPr>
        <w:t xml:space="preserve"> R$2.87 per share. </w:t>
      </w:r>
    </w:p>
    <w:p w14:paraId="61BACA72" w14:textId="77777777" w:rsidR="003C4F2E" w:rsidRPr="00BC754A" w:rsidRDefault="003C4F2E" w:rsidP="003C4F2E">
      <w:pPr>
        <w:pStyle w:val="01-Textonormal"/>
        <w:rPr>
          <w:rFonts w:cs="Arial"/>
          <w:lang w:val="en-US"/>
        </w:rPr>
      </w:pPr>
      <w:r>
        <w:rPr>
          <w:rFonts w:cs="Arial"/>
          <w:lang w:val="en-US"/>
        </w:rPr>
        <w:t xml:space="preserve">In addition to the dividend, in August/2023, the Board of Directors approved the creation of a Company's Share Buyback Program. The program includes the purchase of up to 64,249 thousand shares, to be held in treasury and subsequently sold or canceled, with an execution period of 18 months. From the launch of the program to the end of the fiscal year 2023, roughly 19.9 million shares have been purchased.  </w:t>
      </w:r>
    </w:p>
    <w:p w14:paraId="55F562DC" w14:textId="77777777" w:rsidR="003C4F2E" w:rsidRPr="00BC754A" w:rsidRDefault="003C4F2E" w:rsidP="003C4F2E">
      <w:pPr>
        <w:pStyle w:val="01-Textonormal"/>
        <w:rPr>
          <w:rFonts w:cs="Arial"/>
          <w:lang w:val="en-US"/>
        </w:rPr>
      </w:pPr>
      <w:r>
        <w:rPr>
          <w:rFonts w:cs="Arial"/>
          <w:lang w:val="en-US"/>
        </w:rPr>
        <w:t>Adding the dividend for the year to the amount allocated to the buyback program, the total amount allocated to shareholders’ compensation was R$6.3 billion, equivalent to 79.1% of the year's net profit.</w:t>
      </w:r>
    </w:p>
    <w:p w14:paraId="41DE7DE5" w14:textId="77777777" w:rsidR="003C4F2E" w:rsidRPr="00BC754A" w:rsidRDefault="003C4F2E" w:rsidP="003C4F2E">
      <w:pPr>
        <w:pStyle w:val="05-Textonormal"/>
        <w:rPr>
          <w:rFonts w:cs="Arial"/>
          <w:lang w:val="en-US"/>
        </w:rPr>
      </w:pPr>
    </w:p>
    <w:p w14:paraId="0F908A38"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 xml:space="preserve">STRATEGY </w:t>
      </w:r>
    </w:p>
    <w:p w14:paraId="37133985" w14:textId="77777777" w:rsidR="003C4F2E" w:rsidRPr="00C44307" w:rsidRDefault="003C4F2E" w:rsidP="003C4F2E">
      <w:pPr>
        <w:pStyle w:val="01-Textonormal"/>
        <w:rPr>
          <w:rFonts w:cs="Arial"/>
          <w:lang w:val="en-US"/>
        </w:rPr>
      </w:pPr>
      <w:r w:rsidRPr="00C44307">
        <w:rPr>
          <w:rFonts w:cs="Arial"/>
          <w:lang w:val="en-US"/>
        </w:rPr>
        <w:t xml:space="preserve">BB </w:t>
      </w:r>
      <w:proofErr w:type="spellStart"/>
      <w:r w:rsidRPr="00C44307">
        <w:rPr>
          <w:rFonts w:cs="Arial"/>
          <w:lang w:val="en-US"/>
        </w:rPr>
        <w:t>Seguridade's</w:t>
      </w:r>
      <w:proofErr w:type="spellEnd"/>
      <w:r w:rsidRPr="00C44307">
        <w:rPr>
          <w:rFonts w:cs="Arial"/>
          <w:lang w:val="en-US"/>
        </w:rPr>
        <w:t xml:space="preserve"> strategy seeks to ensure the company's sustainability, balancing short, </w:t>
      </w:r>
      <w:proofErr w:type="gramStart"/>
      <w:r w:rsidRPr="00C44307">
        <w:rPr>
          <w:rFonts w:cs="Arial"/>
          <w:lang w:val="en-US"/>
        </w:rPr>
        <w:t>medium</w:t>
      </w:r>
      <w:proofErr w:type="gramEnd"/>
      <w:r w:rsidRPr="00C44307">
        <w:rPr>
          <w:rFonts w:cs="Arial"/>
          <w:lang w:val="en-US"/>
        </w:rPr>
        <w:t xml:space="preserve"> and long-term efforts and preparing itself to face different scenarios. </w:t>
      </w:r>
    </w:p>
    <w:p w14:paraId="77927F7A" w14:textId="77777777" w:rsidR="003C4F2E" w:rsidRPr="00C44307" w:rsidRDefault="003C4F2E" w:rsidP="003C4F2E">
      <w:pPr>
        <w:pStyle w:val="01-Textonormal"/>
        <w:rPr>
          <w:rFonts w:cs="Arial"/>
          <w:lang w:val="en-US"/>
        </w:rPr>
      </w:pPr>
      <w:r w:rsidRPr="00C44307">
        <w:rPr>
          <w:rFonts w:cs="Arial"/>
          <w:lang w:val="en-US"/>
        </w:rPr>
        <w:t xml:space="preserve">The Company's long-term strategy model consists of the following elements, which are reviewed on an annual basis or at any time </w:t>
      </w:r>
      <w:proofErr w:type="gramStart"/>
      <w:r w:rsidRPr="00C44307">
        <w:rPr>
          <w:rFonts w:cs="Arial"/>
          <w:lang w:val="en-US"/>
        </w:rPr>
        <w:t>as a result of</w:t>
      </w:r>
      <w:proofErr w:type="gramEnd"/>
      <w:r w:rsidRPr="00C44307">
        <w:rPr>
          <w:rFonts w:cs="Arial"/>
          <w:lang w:val="en-US"/>
        </w:rPr>
        <w:t xml:space="preserve"> facts that cause relevant changes in the scenarios, which increases the organization's ability to anticipate and strategically respond to the changes:</w:t>
      </w:r>
    </w:p>
    <w:p w14:paraId="4A315532" w14:textId="77777777" w:rsidR="003C4F2E" w:rsidRPr="00C44307" w:rsidRDefault="003C4F2E" w:rsidP="003C4F2E">
      <w:pPr>
        <w:pStyle w:val="01-Textonormal"/>
        <w:numPr>
          <w:ilvl w:val="0"/>
          <w:numId w:val="55"/>
        </w:numPr>
        <w:rPr>
          <w:rFonts w:cs="Arial"/>
          <w:lang w:val="en-US"/>
        </w:rPr>
      </w:pPr>
      <w:r w:rsidRPr="00C44307">
        <w:rPr>
          <w:rFonts w:cs="Arial"/>
          <w:lang w:val="en-US"/>
        </w:rPr>
        <w:t xml:space="preserve">the prospective scenarios, which contemplate the archetypes indicating the vectors of greater uncertainty inherent to the market in which BB </w:t>
      </w:r>
      <w:proofErr w:type="spellStart"/>
      <w:r w:rsidRPr="00C44307">
        <w:rPr>
          <w:rFonts w:cs="Arial"/>
          <w:lang w:val="en-US"/>
        </w:rPr>
        <w:t>Seguridade</w:t>
      </w:r>
      <w:proofErr w:type="spellEnd"/>
      <w:r w:rsidRPr="00C44307">
        <w:rPr>
          <w:rFonts w:cs="Arial"/>
          <w:lang w:val="en-US"/>
        </w:rPr>
        <w:t xml:space="preserve"> operates and its business model in the long term </w:t>
      </w:r>
      <w:proofErr w:type="gramStart"/>
      <w:r w:rsidRPr="00C44307">
        <w:rPr>
          <w:rFonts w:cs="Arial"/>
          <w:lang w:val="en-US"/>
        </w:rPr>
        <w:t>perspective;</w:t>
      </w:r>
      <w:proofErr w:type="gramEnd"/>
    </w:p>
    <w:p w14:paraId="619E2BF7" w14:textId="77777777" w:rsidR="003C4F2E" w:rsidRPr="00C44307" w:rsidRDefault="003C4F2E" w:rsidP="003C4F2E">
      <w:pPr>
        <w:pStyle w:val="01-Textonormal"/>
        <w:numPr>
          <w:ilvl w:val="0"/>
          <w:numId w:val="55"/>
        </w:numPr>
        <w:rPr>
          <w:rFonts w:cs="Arial"/>
          <w:lang w:val="en-US"/>
        </w:rPr>
      </w:pPr>
      <w:r w:rsidRPr="00C44307">
        <w:rPr>
          <w:rFonts w:cs="Arial"/>
          <w:lang w:val="en-US"/>
        </w:rPr>
        <w:t xml:space="preserve">the SWOT matrix, which consolidates internal and external factors and describes the competitive environment in which the company </w:t>
      </w:r>
      <w:proofErr w:type="gramStart"/>
      <w:r w:rsidRPr="00C44307">
        <w:rPr>
          <w:rFonts w:cs="Arial"/>
          <w:lang w:val="en-US"/>
        </w:rPr>
        <w:t>operates;</w:t>
      </w:r>
      <w:proofErr w:type="gramEnd"/>
    </w:p>
    <w:p w14:paraId="0C09838B" w14:textId="77777777" w:rsidR="003C4F2E" w:rsidRPr="00C44307" w:rsidRDefault="003C4F2E" w:rsidP="003C4F2E">
      <w:pPr>
        <w:pStyle w:val="01-Textonormal"/>
        <w:numPr>
          <w:ilvl w:val="0"/>
          <w:numId w:val="55"/>
        </w:numPr>
        <w:rPr>
          <w:rFonts w:cs="Arial"/>
          <w:lang w:val="en-US"/>
        </w:rPr>
      </w:pPr>
      <w:r w:rsidRPr="00C44307">
        <w:rPr>
          <w:rFonts w:cs="Arial"/>
          <w:lang w:val="en-US"/>
        </w:rPr>
        <w:t xml:space="preserve">the purpose of "Providing tranquility for people's lives, today and always", which represents why the Company's </w:t>
      </w:r>
      <w:proofErr w:type="gramStart"/>
      <w:r w:rsidRPr="00C44307">
        <w:rPr>
          <w:rFonts w:cs="Arial"/>
          <w:lang w:val="en-US"/>
        </w:rPr>
        <w:t>exists;</w:t>
      </w:r>
      <w:proofErr w:type="gramEnd"/>
      <w:r w:rsidRPr="00C44307">
        <w:rPr>
          <w:rFonts w:cs="Arial"/>
          <w:lang w:val="en-US"/>
        </w:rPr>
        <w:t xml:space="preserve"> </w:t>
      </w:r>
    </w:p>
    <w:p w14:paraId="640812AF" w14:textId="77777777" w:rsidR="003C4F2E" w:rsidRPr="00C44307" w:rsidRDefault="003C4F2E" w:rsidP="003C4F2E">
      <w:pPr>
        <w:pStyle w:val="01-Textonormal"/>
        <w:numPr>
          <w:ilvl w:val="0"/>
          <w:numId w:val="55"/>
        </w:numPr>
        <w:rPr>
          <w:rFonts w:cs="Arial"/>
          <w:lang w:val="en-US"/>
        </w:rPr>
      </w:pPr>
      <w:r w:rsidRPr="00C44307">
        <w:rPr>
          <w:rFonts w:cs="Arial"/>
          <w:lang w:val="en-US"/>
        </w:rPr>
        <w:t>the values, which are a set of behaviors and mental attitudes that guide actions: reliability, feeling of ownership, innovation, respect for the customer and simplicity; and</w:t>
      </w:r>
    </w:p>
    <w:p w14:paraId="24C19D57" w14:textId="77777777" w:rsidR="003C4F2E" w:rsidRPr="00C44307" w:rsidRDefault="003C4F2E" w:rsidP="003C4F2E">
      <w:pPr>
        <w:pStyle w:val="01-Textonormal"/>
        <w:numPr>
          <w:ilvl w:val="0"/>
          <w:numId w:val="55"/>
        </w:numPr>
        <w:rPr>
          <w:rFonts w:cs="Arial"/>
          <w:lang w:val="en-US"/>
        </w:rPr>
      </w:pPr>
      <w:r w:rsidRPr="00C44307">
        <w:rPr>
          <w:rFonts w:cs="Arial"/>
          <w:lang w:val="en-US"/>
        </w:rPr>
        <w:t>the strategic objectives, which materialize the Company's strategy into actions, optimizing the understanding and focus on the execution of the strategy; promote strategic alignment with Banco do Brasil and investees; and define metrics and key indicators and results, with the aim of measuring the results achieved and the Company's performance against the stated objectives.</w:t>
      </w:r>
    </w:p>
    <w:p w14:paraId="32BDDD4F"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The main challenges mapped out for the 2023-2027 strategic cycle were consolidated into three pillars: </w:t>
      </w:r>
      <w:proofErr w:type="spellStart"/>
      <w:r w:rsidRPr="00C44307">
        <w:rPr>
          <w:rFonts w:ascii="Arial" w:hAnsi="Arial" w:cs="Arial"/>
          <w:sz w:val="18"/>
          <w:szCs w:val="18"/>
          <w:lang w:val="en-US"/>
        </w:rPr>
        <w:t>i</w:t>
      </w:r>
      <w:proofErr w:type="spellEnd"/>
      <w:r w:rsidRPr="00C44307">
        <w:rPr>
          <w:rFonts w:ascii="Arial" w:hAnsi="Arial" w:cs="Arial"/>
          <w:sz w:val="18"/>
          <w:szCs w:val="18"/>
          <w:lang w:val="en-US"/>
        </w:rPr>
        <w:t>) technological modernization and digital transformation; ii) distribution channel diversification; and iii) improved customer experience.</w:t>
      </w:r>
    </w:p>
    <w:p w14:paraId="38DFFD36" w14:textId="77777777" w:rsidR="003C4F2E" w:rsidRPr="00C44307" w:rsidRDefault="003C4F2E" w:rsidP="003C4F2E">
      <w:pPr>
        <w:pStyle w:val="01-Textonormal"/>
        <w:rPr>
          <w:rFonts w:cs="Arial"/>
          <w:lang w:val="en-US"/>
        </w:rPr>
      </w:pPr>
      <w:r w:rsidRPr="00C44307">
        <w:rPr>
          <w:rFonts w:cs="Arial"/>
          <w:lang w:val="en-US"/>
        </w:rPr>
        <w:t xml:space="preserve">In 2023, after the process of revising the strategic artifacts to cover the 2023-2027 cycle, the following strategic objectives guided BB </w:t>
      </w:r>
      <w:proofErr w:type="spellStart"/>
      <w:r w:rsidRPr="00C44307">
        <w:rPr>
          <w:rFonts w:cs="Arial"/>
          <w:lang w:val="en-US"/>
        </w:rPr>
        <w:t>Seguridade's</w:t>
      </w:r>
      <w:proofErr w:type="spellEnd"/>
      <w:r w:rsidRPr="00C44307">
        <w:rPr>
          <w:rFonts w:cs="Arial"/>
          <w:lang w:val="en-US"/>
        </w:rPr>
        <w:t xml:space="preserve"> actions:</w:t>
      </w:r>
    </w:p>
    <w:p w14:paraId="0401CE79"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being lean, efficient, and sustainable: having a light structure and simple processes, with high value </w:t>
      </w:r>
      <w:proofErr w:type="gramStart"/>
      <w:r w:rsidRPr="00C44307">
        <w:rPr>
          <w:rFonts w:cs="Arial"/>
          <w:lang w:val="en-US"/>
        </w:rPr>
        <w:t>generation;</w:t>
      </w:r>
      <w:proofErr w:type="gramEnd"/>
    </w:p>
    <w:p w14:paraId="545AA0DE"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turning customers into fans: offering products, services, journeys, and relationships that generate customer </w:t>
      </w:r>
      <w:proofErr w:type="gramStart"/>
      <w:r w:rsidRPr="00C44307">
        <w:rPr>
          <w:rFonts w:cs="Arial"/>
          <w:lang w:val="en-US"/>
        </w:rPr>
        <w:t>delight;</w:t>
      </w:r>
      <w:proofErr w:type="gramEnd"/>
    </w:p>
    <w:p w14:paraId="33DA453B"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attracting more customers wherever they are: transforming BB </w:t>
      </w:r>
      <w:proofErr w:type="spellStart"/>
      <w:r w:rsidRPr="00C44307">
        <w:rPr>
          <w:rFonts w:cs="Arial"/>
          <w:lang w:val="en-US"/>
        </w:rPr>
        <w:t>Corretora</w:t>
      </w:r>
      <w:proofErr w:type="spellEnd"/>
      <w:r w:rsidRPr="00C44307">
        <w:rPr>
          <w:rFonts w:cs="Arial"/>
          <w:lang w:val="en-US"/>
        </w:rPr>
        <w:t xml:space="preserve"> into an efficient and independent sales </w:t>
      </w:r>
      <w:proofErr w:type="gramStart"/>
      <w:r w:rsidRPr="00C44307">
        <w:rPr>
          <w:rFonts w:cs="Arial"/>
          <w:lang w:val="en-US"/>
        </w:rPr>
        <w:t>machine;</w:t>
      </w:r>
      <w:proofErr w:type="gramEnd"/>
    </w:p>
    <w:p w14:paraId="579EC771" w14:textId="77777777" w:rsidR="003C4F2E" w:rsidRPr="00C44307" w:rsidRDefault="003C4F2E" w:rsidP="003C4F2E">
      <w:pPr>
        <w:pStyle w:val="01-Textonormal"/>
        <w:numPr>
          <w:ilvl w:val="0"/>
          <w:numId w:val="60"/>
        </w:numPr>
        <w:rPr>
          <w:rFonts w:cs="Arial"/>
          <w:lang w:val="en-US"/>
        </w:rPr>
      </w:pPr>
      <w:r w:rsidRPr="00C44307">
        <w:rPr>
          <w:rFonts w:cs="Arial"/>
          <w:lang w:val="en-US"/>
        </w:rPr>
        <w:t xml:space="preserve">connecting and accelerating the digital operation: accelerating digital transformation as growth and experience levers; and </w:t>
      </w:r>
    </w:p>
    <w:p w14:paraId="0156202F" w14:textId="77777777" w:rsidR="003C4F2E" w:rsidRPr="00C44307" w:rsidRDefault="003C4F2E" w:rsidP="003C4F2E">
      <w:pPr>
        <w:pStyle w:val="01-Textonormal"/>
        <w:numPr>
          <w:ilvl w:val="0"/>
          <w:numId w:val="60"/>
        </w:numPr>
        <w:rPr>
          <w:rFonts w:cs="Arial"/>
          <w:lang w:val="en-US"/>
        </w:rPr>
      </w:pPr>
      <w:r w:rsidRPr="00C44307">
        <w:rPr>
          <w:rFonts w:cs="Arial"/>
          <w:lang w:val="en-US"/>
        </w:rPr>
        <w:t>driving innovation: seeking new business and the constant improvement of existing processes and businesses.</w:t>
      </w:r>
    </w:p>
    <w:p w14:paraId="601D4E4A"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These strategic objectives are monitored by means of an induction tool, known internally as </w:t>
      </w:r>
      <w:proofErr w:type="spellStart"/>
      <w:r w:rsidRPr="00C44307">
        <w:rPr>
          <w:rFonts w:ascii="Arial" w:hAnsi="Arial" w:cs="Arial"/>
          <w:sz w:val="18"/>
          <w:szCs w:val="18"/>
          <w:lang w:val="en-US"/>
        </w:rPr>
        <w:t>Zênite</w:t>
      </w:r>
      <w:proofErr w:type="spellEnd"/>
      <w:r w:rsidRPr="00C44307">
        <w:rPr>
          <w:rFonts w:ascii="Arial" w:hAnsi="Arial" w:cs="Arial"/>
          <w:sz w:val="18"/>
          <w:szCs w:val="18"/>
          <w:lang w:val="en-US"/>
        </w:rPr>
        <w:t xml:space="preserve">, </w:t>
      </w:r>
      <w:proofErr w:type="gramStart"/>
      <w:r w:rsidRPr="00C44307">
        <w:rPr>
          <w:rFonts w:ascii="Arial" w:hAnsi="Arial" w:cs="Arial"/>
          <w:sz w:val="18"/>
          <w:szCs w:val="18"/>
          <w:lang w:val="en-US"/>
        </w:rPr>
        <w:t>in order to</w:t>
      </w:r>
      <w:proofErr w:type="gramEnd"/>
      <w:r w:rsidRPr="00C44307">
        <w:rPr>
          <w:rFonts w:ascii="Arial" w:hAnsi="Arial" w:cs="Arial"/>
          <w:sz w:val="18"/>
          <w:szCs w:val="18"/>
          <w:lang w:val="en-US"/>
        </w:rPr>
        <w:t xml:space="preserve"> unfold and monitor the execution of the Company's strategy. This instrument is organized by strategic objectives, assessed by </w:t>
      </w:r>
      <w:r w:rsidRPr="00C44307">
        <w:rPr>
          <w:rFonts w:ascii="Arial" w:hAnsi="Arial" w:cs="Arial"/>
          <w:i/>
          <w:iCs/>
          <w:sz w:val="18"/>
          <w:szCs w:val="18"/>
          <w:lang w:val="en-US"/>
        </w:rPr>
        <w:t>Key Results</w:t>
      </w:r>
      <w:r w:rsidRPr="00C44307">
        <w:rPr>
          <w:rFonts w:ascii="Arial" w:hAnsi="Arial" w:cs="Arial"/>
          <w:sz w:val="18"/>
          <w:szCs w:val="18"/>
          <w:lang w:val="en-US"/>
        </w:rPr>
        <w:t xml:space="preserve"> (KRs) or by the execution of strategical projects, as provided for in each objective, and the result achieved comprises the calculation of variable compensation for directors and profit-sharing for employees.  </w:t>
      </w:r>
    </w:p>
    <w:p w14:paraId="5F5154F5"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Additionally, it is worth highlighting the following challenges encountered to be monitored with special attention in the strategic cycle: single view of customers; intensive use of data and </w:t>
      </w:r>
      <w:r w:rsidRPr="00C44307">
        <w:rPr>
          <w:rFonts w:ascii="Arial" w:hAnsi="Arial" w:cs="Arial"/>
          <w:i/>
          <w:iCs/>
          <w:sz w:val="18"/>
          <w:szCs w:val="18"/>
          <w:lang w:val="en-US"/>
        </w:rPr>
        <w:t>analytics;</w:t>
      </w:r>
      <w:r w:rsidRPr="00C44307">
        <w:rPr>
          <w:rFonts w:ascii="Arial" w:hAnsi="Arial" w:cs="Arial"/>
          <w:sz w:val="18"/>
          <w:szCs w:val="18"/>
          <w:lang w:val="en-US"/>
        </w:rPr>
        <w:t xml:space="preserve"> risk management; BB’s network employee experience; people development and succession; new partnerships; environmental, social and governance ("ESG") aspects, which is part of the objective "Being lean, efficient and sustainable" and in 2023 had a key indicator for sustainable business expansion via investments, new products and assistance or benefits in existing products; and portfolio management and innovation, operationalized as to cross cut through the entire company.</w:t>
      </w:r>
    </w:p>
    <w:p w14:paraId="4E352BC5" w14:textId="77777777" w:rsidR="003C4F2E" w:rsidRPr="00BC754A" w:rsidRDefault="003C4F2E" w:rsidP="003C4F2E">
      <w:pPr>
        <w:pStyle w:val="01-Textonormal"/>
        <w:rPr>
          <w:lang w:val="en-US"/>
        </w:rPr>
      </w:pPr>
    </w:p>
    <w:p w14:paraId="68DD0C91" w14:textId="77777777" w:rsidR="003C4F2E" w:rsidRPr="00BC754A" w:rsidRDefault="003C4F2E" w:rsidP="003C4F2E">
      <w:pPr>
        <w:pStyle w:val="03-SubttulodeNota"/>
        <w:rPr>
          <w:color w:val="1F3864" w:themeColor="accent1" w:themeShade="80"/>
          <w:lang w:val="en-US"/>
        </w:rPr>
      </w:pPr>
      <w:r w:rsidRPr="00591873">
        <w:rPr>
          <w:color w:val="1F3864" w:themeColor="accent1" w:themeShade="80"/>
          <w:lang w:val="en-US"/>
        </w:rPr>
        <w:t xml:space="preserve">Technological Modernization and Digital Transformation </w:t>
      </w:r>
    </w:p>
    <w:p w14:paraId="0337F504"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At BB </w:t>
      </w:r>
      <w:proofErr w:type="spellStart"/>
      <w:r w:rsidRPr="00C44307">
        <w:rPr>
          <w:rFonts w:ascii="Arial" w:hAnsi="Arial" w:cs="Arial"/>
          <w:sz w:val="18"/>
          <w:szCs w:val="18"/>
          <w:lang w:val="en-US"/>
        </w:rPr>
        <w:t>Seguridade</w:t>
      </w:r>
      <w:proofErr w:type="spellEnd"/>
      <w:r w:rsidRPr="00C44307">
        <w:rPr>
          <w:rFonts w:ascii="Arial" w:hAnsi="Arial" w:cs="Arial"/>
          <w:sz w:val="18"/>
          <w:szCs w:val="18"/>
          <w:lang w:val="en-US"/>
        </w:rPr>
        <w:t xml:space="preserve">, digital transformation, innovation, and technological modernization are constant and cross-cutting aspects in its processes. The Company believes that technology is the great enabler of transformations and a lever for the evolution of its strategy and commercial potential. </w:t>
      </w:r>
    </w:p>
    <w:p w14:paraId="14BF41DE" w14:textId="77777777" w:rsidR="003C4F2E" w:rsidRPr="00C44307" w:rsidRDefault="003C4F2E" w:rsidP="003C4F2E">
      <w:pPr>
        <w:pStyle w:val="01-Textonormal"/>
        <w:rPr>
          <w:rFonts w:cs="Arial"/>
          <w:lang w:val="en-US"/>
        </w:rPr>
      </w:pPr>
      <w:r w:rsidRPr="00C44307">
        <w:rPr>
          <w:rFonts w:cs="Arial"/>
          <w:lang w:val="en-US"/>
        </w:rPr>
        <w:t xml:space="preserve">The digital transformation model is based, in a balanced way, on the optimization of existing processes and on the transformation of impact, with a focus on value generation, improving customer experience and gaining efficiency, as well as expanding the capacity to generate sustainable business. </w:t>
      </w:r>
    </w:p>
    <w:p w14:paraId="084EA9F6" w14:textId="77777777" w:rsidR="003C4F2E" w:rsidRPr="00C44307" w:rsidRDefault="003C4F2E" w:rsidP="003C4F2E">
      <w:pPr>
        <w:pStyle w:val="01-Textonormal"/>
        <w:rPr>
          <w:rFonts w:cs="Arial"/>
          <w:lang w:val="en-US"/>
        </w:rPr>
      </w:pPr>
      <w:r w:rsidRPr="00C44307">
        <w:rPr>
          <w:rFonts w:cs="Arial"/>
          <w:lang w:val="en-US"/>
        </w:rPr>
        <w:t>The digital transformation, technology, and innovation themes are stated in the corporate strategy through the dedicated pillars "Connecting and accelerating the digital operation" and "Boosting innovation</w:t>
      </w:r>
      <w:proofErr w:type="gramStart"/>
      <w:r w:rsidRPr="00C44307">
        <w:rPr>
          <w:rFonts w:cs="Arial"/>
          <w:lang w:val="en-US"/>
        </w:rPr>
        <w:t>", and</w:t>
      </w:r>
      <w:proofErr w:type="gramEnd"/>
      <w:r w:rsidRPr="00C44307">
        <w:rPr>
          <w:rFonts w:cs="Arial"/>
          <w:lang w:val="en-US"/>
        </w:rPr>
        <w:t xml:space="preserve"> permeate the other pillars of the strategy as enabling tools for generating solutions and value. </w:t>
      </w:r>
    </w:p>
    <w:p w14:paraId="4CDAF159"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In 2023, over R$588 million were invested in digital transformation and in the development of solutions and platform ecosystems in the BB </w:t>
      </w:r>
      <w:proofErr w:type="spellStart"/>
      <w:r w:rsidRPr="00C44307">
        <w:rPr>
          <w:rFonts w:ascii="Arial" w:hAnsi="Arial" w:cs="Arial"/>
          <w:sz w:val="18"/>
          <w:szCs w:val="18"/>
          <w:lang w:val="en-US"/>
        </w:rPr>
        <w:t>Seguridade</w:t>
      </w:r>
      <w:proofErr w:type="spellEnd"/>
      <w:r w:rsidRPr="00C44307">
        <w:rPr>
          <w:rFonts w:ascii="Arial" w:hAnsi="Arial" w:cs="Arial"/>
          <w:sz w:val="18"/>
          <w:szCs w:val="18"/>
          <w:lang w:val="en-US"/>
        </w:rPr>
        <w:t xml:space="preserve"> conglomerate, most part of them disbursed by the investees, focusing on the evolution and consolidation of the technological structure and integration with new channels from a service-oriented and cloud-based architecture. The new products in the portfolio are launched based on the new architecture, while the existing ones have a migration routine in course. The migration strategy to the new architecture, which is more agile and flexible, allows for more efficient management of the product portfolio, with shorter time-to-market. </w:t>
      </w:r>
    </w:p>
    <w:p w14:paraId="0669B8E7" w14:textId="77777777" w:rsidR="003C4F2E" w:rsidRPr="00C44307" w:rsidRDefault="003C4F2E" w:rsidP="003C4F2E">
      <w:pPr>
        <w:jc w:val="both"/>
        <w:rPr>
          <w:rFonts w:ascii="Arial" w:hAnsi="Arial" w:cs="Arial"/>
          <w:sz w:val="18"/>
          <w:szCs w:val="18"/>
          <w:lang w:val="en-US"/>
        </w:rPr>
      </w:pPr>
      <w:r w:rsidRPr="00C44307">
        <w:rPr>
          <w:rFonts w:ascii="Arial" w:hAnsi="Arial" w:cs="Arial"/>
          <w:sz w:val="18"/>
          <w:szCs w:val="18"/>
          <w:lang w:val="en-US"/>
        </w:rPr>
        <w:t xml:space="preserve">During the year, more than 135 new solutions were developed and implemented for the application of products in digital and physical channels, covering all business lines, helping to increase the customer base, improve NPS in the main branches, reduce complaints and enable 41 new innovative solutions in the product portfolio. The experimentation path was also expanded, with 6 simultaneous proof-of-concept processes underway in 5 different segments, in addition to the evolution of the CVC program, which assessed 40 companies with an investment and/or partnership bias. </w:t>
      </w:r>
    </w:p>
    <w:p w14:paraId="20E73A08" w14:textId="77777777" w:rsidR="003C4F2E" w:rsidRPr="00C44307" w:rsidRDefault="003C4F2E" w:rsidP="003C4F2E">
      <w:pPr>
        <w:pStyle w:val="01-Textonormal"/>
        <w:rPr>
          <w:rFonts w:cs="Arial"/>
          <w:lang w:val="en-US"/>
        </w:rPr>
      </w:pPr>
      <w:r w:rsidRPr="00C44307">
        <w:rPr>
          <w:rFonts w:cs="Arial"/>
          <w:lang w:val="en-US"/>
        </w:rPr>
        <w:t xml:space="preserve">In 2023, digital channels accounted for 15.0% of sales made in the banking channel (ex-rural), an increase of 11.9% in the number of sales compared to the previous year. Access to digital journeys was also a highlight in the year. In the BB App, the insurance, </w:t>
      </w:r>
      <w:proofErr w:type="gramStart"/>
      <w:r w:rsidRPr="00C44307">
        <w:rPr>
          <w:rFonts w:cs="Arial"/>
          <w:lang w:val="en-US"/>
        </w:rPr>
        <w:t>pension</w:t>
      </w:r>
      <w:proofErr w:type="gramEnd"/>
      <w:r w:rsidRPr="00C44307">
        <w:rPr>
          <w:rFonts w:cs="Arial"/>
          <w:lang w:val="en-US"/>
        </w:rPr>
        <w:t xml:space="preserve"> and premium bonds menus had around 3.9 million hits per month. With WhatsApp, the use of artificial intelligence was intensified, and 12 new sales and after-sales transactions were made available on the BB channel. Exploration of </w:t>
      </w:r>
      <w:r w:rsidRPr="00C44307">
        <w:rPr>
          <w:rFonts w:cs="Arial"/>
          <w:i/>
          <w:iCs/>
          <w:lang w:val="en-US"/>
        </w:rPr>
        <w:t>machine learning</w:t>
      </w:r>
      <w:r w:rsidRPr="00C44307">
        <w:rPr>
          <w:rFonts w:cs="Arial"/>
          <w:lang w:val="en-US"/>
        </w:rPr>
        <w:t xml:space="preserve"> solutions was also ramped up, with the execution of proofs of concept in various segments of the company and the provision in production of a tool for operational support and increased efficiency. </w:t>
      </w:r>
    </w:p>
    <w:p w14:paraId="61A9FCA7" w14:textId="77777777" w:rsidR="003C4F2E" w:rsidRPr="00C44307" w:rsidRDefault="003C4F2E" w:rsidP="003C4F2E">
      <w:pPr>
        <w:pStyle w:val="01-Textonormal"/>
        <w:rPr>
          <w:rFonts w:cs="Arial"/>
          <w:color w:val="FF0000"/>
          <w:lang w:val="en-US"/>
        </w:rPr>
      </w:pPr>
      <w:r w:rsidRPr="00C44307">
        <w:rPr>
          <w:rFonts w:cs="Arial"/>
          <w:lang w:val="en-US"/>
        </w:rPr>
        <w:t>The use of data and analytical intelligence was intensified throughout the year to generate value for: (</w:t>
      </w:r>
      <w:proofErr w:type="spellStart"/>
      <w:r w:rsidRPr="00C44307">
        <w:rPr>
          <w:rFonts w:cs="Arial"/>
          <w:lang w:val="en-US"/>
        </w:rPr>
        <w:t>i</w:t>
      </w:r>
      <w:proofErr w:type="spellEnd"/>
      <w:r w:rsidRPr="00C44307">
        <w:rPr>
          <w:rFonts w:cs="Arial"/>
          <w:lang w:val="en-US"/>
        </w:rPr>
        <w:t xml:space="preserve">) BB </w:t>
      </w:r>
      <w:proofErr w:type="spellStart"/>
      <w:r w:rsidRPr="00C44307">
        <w:rPr>
          <w:rFonts w:cs="Arial"/>
          <w:lang w:val="en-US"/>
        </w:rPr>
        <w:t>Corretora</w:t>
      </w:r>
      <w:proofErr w:type="spellEnd"/>
      <w:r w:rsidRPr="00C44307">
        <w:rPr>
          <w:rFonts w:cs="Arial"/>
          <w:lang w:val="en-US"/>
        </w:rPr>
        <w:t xml:space="preserve">, in the certification of bases and creation of business dashboards, making data available and reliable for consumption; (ii) BB Seguros' investees, through the interchange with BB that enabled the creation of more assertive analytic models; and (iii) customers, with greater personalization of the relationship and availability of analytical solutions for the creation of intelligent journeys. </w:t>
      </w:r>
    </w:p>
    <w:p w14:paraId="514E71E7" w14:textId="77777777" w:rsidR="003C4F2E" w:rsidRPr="00BC754A" w:rsidRDefault="003C4F2E" w:rsidP="003C4F2E">
      <w:pPr>
        <w:pStyle w:val="01-Textonormal"/>
        <w:rPr>
          <w:color w:val="FF0000"/>
          <w:lang w:val="en-US"/>
        </w:rPr>
      </w:pPr>
    </w:p>
    <w:p w14:paraId="49747F96" w14:textId="77777777" w:rsidR="003C4F2E" w:rsidRPr="00BC754A" w:rsidRDefault="003C4F2E" w:rsidP="003C4F2E">
      <w:pPr>
        <w:pStyle w:val="03-SubttulodeNota"/>
        <w:rPr>
          <w:color w:val="1F3864" w:themeColor="accent1" w:themeShade="80"/>
          <w:lang w:val="en-US"/>
        </w:rPr>
      </w:pPr>
      <w:bookmarkStart w:id="7" w:name="_Hlk123044567"/>
      <w:r w:rsidRPr="00591873">
        <w:rPr>
          <w:color w:val="1F3864" w:themeColor="accent1" w:themeShade="80"/>
          <w:lang w:val="en-US"/>
        </w:rPr>
        <w:t>Channel Diversification</w:t>
      </w:r>
    </w:p>
    <w:p w14:paraId="154F8113" w14:textId="77777777" w:rsidR="003C4F2E" w:rsidRPr="00F341D0" w:rsidRDefault="003C4F2E" w:rsidP="003C4F2E">
      <w:pPr>
        <w:pStyle w:val="01-Textonormal"/>
        <w:rPr>
          <w:rFonts w:cs="Arial"/>
          <w:lang w:val="en-US"/>
        </w:rPr>
      </w:pPr>
      <w:r w:rsidRPr="00F341D0">
        <w:rPr>
          <w:rFonts w:cs="Arial"/>
          <w:lang w:val="en-US"/>
        </w:rPr>
        <w:t xml:space="preserve">In 2023, the Company maintained its strategy of prospecting and developing new distribution models and channels, searching for high-value partners in all its investees and monetizing the partnerships that had already been formalized. </w:t>
      </w:r>
    </w:p>
    <w:p w14:paraId="261778B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rural segment, the strategy was diversified beyond crop insurance, with the formalization of 32 new partnerships with agricultural machinery and equipment dealers to offer rural property insurance, further including and fostering this business line in the cooperatives and dealers previously formalized. </w:t>
      </w:r>
    </w:p>
    <w:p w14:paraId="6D7FC565"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total, R$1.3 billion in rural insurance premiums were written through these new partnerships, an increase of 43% compared to the previous year. </w:t>
      </w:r>
    </w:p>
    <w:p w14:paraId="59C4B29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Also in the insurance area, partnerships with banking correspondent networks resulted in R$201 million in premiums for credit life insurance, up 43% YoY. </w:t>
      </w:r>
    </w:p>
    <w:p w14:paraId="6A054C36"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In premium bonds, it was possible to make progress in new partnerships for the distribution of products in the Philanthropy modality, with an emphasis on sustainable solutions and highlighting the launch of the "</w:t>
      </w:r>
      <w:proofErr w:type="spellStart"/>
      <w:r w:rsidRPr="00F341D0">
        <w:rPr>
          <w:rFonts w:ascii="Arial" w:hAnsi="Arial" w:cs="Arial"/>
          <w:sz w:val="18"/>
          <w:szCs w:val="18"/>
          <w:lang w:val="en-US"/>
        </w:rPr>
        <w:t>Bem</w:t>
      </w:r>
      <w:proofErr w:type="spellEnd"/>
      <w:r w:rsidRPr="00F341D0">
        <w:rPr>
          <w:rFonts w:ascii="Arial" w:hAnsi="Arial" w:cs="Arial"/>
          <w:sz w:val="18"/>
          <w:szCs w:val="18"/>
          <w:lang w:val="en-US"/>
        </w:rPr>
        <w:t xml:space="preserve"> da </w:t>
      </w:r>
      <w:proofErr w:type="spellStart"/>
      <w:r w:rsidRPr="00F341D0">
        <w:rPr>
          <w:rFonts w:ascii="Arial" w:hAnsi="Arial" w:cs="Arial"/>
          <w:sz w:val="18"/>
          <w:szCs w:val="18"/>
          <w:lang w:val="en-US"/>
        </w:rPr>
        <w:t>Sorte</w:t>
      </w:r>
      <w:proofErr w:type="spellEnd"/>
      <w:r w:rsidRPr="00F341D0">
        <w:rPr>
          <w:rFonts w:ascii="Arial" w:hAnsi="Arial" w:cs="Arial"/>
          <w:sz w:val="18"/>
          <w:szCs w:val="18"/>
          <w:lang w:val="en-US"/>
        </w:rPr>
        <w:t xml:space="preserve">" product in a hybrid model (digital and physical).  In the Guarantee Instrument modality, with a consolidated presence in the real estate market, "Cap Fiador" made progress in offering a solution for rental collateral, with the accreditation of independent insurance brokers, achieving 22% growth in new partnerships and reaching a production outside the banking channel of more than R$250 million in collection. </w:t>
      </w:r>
    </w:p>
    <w:p w14:paraId="68499446"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pension segment, the strategy of signing up independent brokers was maintained, with a total of 560 accredited brokers and production of approximately R$27 million in VGBL and PGBL plans. </w:t>
      </w:r>
    </w:p>
    <w:p w14:paraId="69CA2768"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Partnerships with brokers specializing in large risks and transport have already brought results in 2023, representing a growth of 37% in premiums and 81% in commission, as well as adding greater quality to the offer and after-sales process.  </w:t>
      </w:r>
    </w:p>
    <w:p w14:paraId="0B56A2CA" w14:textId="77777777" w:rsidR="003C4F2E" w:rsidRPr="00BC754A" w:rsidRDefault="003C4F2E" w:rsidP="003C4F2E">
      <w:pPr>
        <w:pStyle w:val="01-Textonormal"/>
        <w:rPr>
          <w:lang w:val="en-US"/>
        </w:rPr>
      </w:pPr>
    </w:p>
    <w:bookmarkEnd w:id="7"/>
    <w:p w14:paraId="15AFE957" w14:textId="77777777" w:rsidR="003C4F2E" w:rsidRPr="00BC754A" w:rsidRDefault="003C4F2E" w:rsidP="003C4F2E">
      <w:pPr>
        <w:pStyle w:val="03-SubttulodeNota"/>
        <w:rPr>
          <w:color w:val="1F3864" w:themeColor="accent1" w:themeShade="80"/>
          <w:lang w:val="en-US"/>
        </w:rPr>
      </w:pPr>
      <w:r w:rsidRPr="00591873">
        <w:rPr>
          <w:color w:val="1F3864" w:themeColor="accent1" w:themeShade="80"/>
          <w:lang w:val="en-US"/>
        </w:rPr>
        <w:t xml:space="preserve">Improved Customer Experience </w:t>
      </w:r>
    </w:p>
    <w:p w14:paraId="18976CCC" w14:textId="77777777" w:rsidR="003C4F2E" w:rsidRPr="00F341D0" w:rsidRDefault="003C4F2E" w:rsidP="003C4F2E">
      <w:pPr>
        <w:jc w:val="both"/>
        <w:rPr>
          <w:rFonts w:ascii="Arial" w:hAnsi="Arial" w:cs="Arial"/>
          <w:sz w:val="18"/>
          <w:szCs w:val="18"/>
          <w:lang w:val="en-US" w:eastAsia="pt-BR"/>
        </w:rPr>
      </w:pPr>
      <w:bookmarkStart w:id="8" w:name="_Hlk123132081"/>
      <w:r w:rsidRPr="00F341D0">
        <w:rPr>
          <w:rFonts w:ascii="Arial" w:hAnsi="Arial" w:cs="Arial"/>
          <w:sz w:val="18"/>
          <w:szCs w:val="18"/>
          <w:lang w:val="en-US" w:eastAsia="pt-BR"/>
        </w:rPr>
        <w:t xml:space="preserve">BB </w:t>
      </w:r>
      <w:proofErr w:type="spellStart"/>
      <w:r w:rsidRPr="00F341D0">
        <w:rPr>
          <w:rFonts w:ascii="Arial" w:hAnsi="Arial" w:cs="Arial"/>
          <w:sz w:val="18"/>
          <w:szCs w:val="18"/>
          <w:lang w:val="en-US" w:eastAsia="pt-BR"/>
        </w:rPr>
        <w:t>Seguridade</w:t>
      </w:r>
      <w:proofErr w:type="spellEnd"/>
      <w:r w:rsidRPr="00F341D0">
        <w:rPr>
          <w:rFonts w:ascii="Arial" w:hAnsi="Arial" w:cs="Arial"/>
          <w:sz w:val="18"/>
          <w:szCs w:val="18"/>
          <w:lang w:val="en-US" w:eastAsia="pt-BR"/>
        </w:rPr>
        <w:t xml:space="preserve"> remains committed to transforming people's lives by providing a high-quality protection ecosystem, anchored in one of its core values, Customer Respect. </w:t>
      </w:r>
    </w:p>
    <w:p w14:paraId="04359ED0" w14:textId="77777777" w:rsidR="003C4F2E" w:rsidRPr="00F341D0" w:rsidRDefault="003C4F2E" w:rsidP="003C4F2E">
      <w:pPr>
        <w:jc w:val="both"/>
        <w:rPr>
          <w:rFonts w:ascii="Arial" w:hAnsi="Arial" w:cs="Arial"/>
          <w:sz w:val="18"/>
          <w:szCs w:val="18"/>
          <w:lang w:val="en-US" w:eastAsia="pt-BR"/>
        </w:rPr>
      </w:pPr>
      <w:r w:rsidRPr="00F341D0">
        <w:rPr>
          <w:rFonts w:ascii="Arial" w:hAnsi="Arial" w:cs="Arial"/>
          <w:sz w:val="18"/>
          <w:szCs w:val="18"/>
          <w:lang w:val="en-US" w:eastAsia="pt-BR"/>
        </w:rPr>
        <w:t xml:space="preserve">In this sense, the Company's strategy reflects the conviction that satisfied customers become true fans and, </w:t>
      </w:r>
      <w:proofErr w:type="gramStart"/>
      <w:r w:rsidRPr="00F341D0">
        <w:rPr>
          <w:rFonts w:ascii="Arial" w:hAnsi="Arial" w:cs="Arial"/>
          <w:sz w:val="18"/>
          <w:szCs w:val="18"/>
          <w:lang w:val="en-US" w:eastAsia="pt-BR"/>
        </w:rPr>
        <w:t>in order to</w:t>
      </w:r>
      <w:proofErr w:type="gramEnd"/>
      <w:r w:rsidRPr="00F341D0">
        <w:rPr>
          <w:rFonts w:ascii="Arial" w:hAnsi="Arial" w:cs="Arial"/>
          <w:sz w:val="18"/>
          <w:szCs w:val="18"/>
          <w:lang w:val="en-US" w:eastAsia="pt-BR"/>
        </w:rPr>
        <w:t xml:space="preserve"> understand the complexities and nuances of their needs, a series of proactive initiatives have been implemented – customer councils, NPS surveys at every point of interaction and satisfaction assessments on digital channels and call centers – used as tools in the continuous search for improvement. </w:t>
      </w:r>
    </w:p>
    <w:p w14:paraId="181A36BB" w14:textId="77777777" w:rsidR="003C4F2E" w:rsidRPr="00F341D0" w:rsidRDefault="003C4F2E" w:rsidP="003C4F2E">
      <w:pPr>
        <w:jc w:val="both"/>
        <w:rPr>
          <w:rFonts w:ascii="Arial" w:hAnsi="Arial" w:cs="Arial"/>
          <w:sz w:val="18"/>
          <w:szCs w:val="18"/>
          <w:lang w:val="en-US" w:eastAsia="pt-BR"/>
        </w:rPr>
      </w:pPr>
      <w:r w:rsidRPr="00F341D0">
        <w:rPr>
          <w:rFonts w:ascii="Arial" w:hAnsi="Arial" w:cs="Arial"/>
          <w:sz w:val="18"/>
          <w:szCs w:val="18"/>
          <w:lang w:val="en-US" w:eastAsia="pt-BR"/>
        </w:rPr>
        <w:t>Active management of complaints and identification of the main reasons for dissatisfaction are essential pillars in the approach, with a commitment not only to correcting problems, but also to anticipating and preventing them, ensuring that the customer experience is constantly evolving. In 2023, there was an improvement in customer satisfaction, with an increase of 1.2 p.p. in the NPS, backed by a significant reduction in the number of complaints received (-18.0%). </w:t>
      </w:r>
    </w:p>
    <w:p w14:paraId="40B25B02" w14:textId="77777777" w:rsidR="003C4F2E" w:rsidRPr="00F341D0" w:rsidRDefault="003C4F2E" w:rsidP="003C4F2E">
      <w:pPr>
        <w:jc w:val="both"/>
        <w:rPr>
          <w:rFonts w:ascii="Arial" w:hAnsi="Arial" w:cs="Arial"/>
          <w:sz w:val="18"/>
          <w:szCs w:val="18"/>
          <w:lang w:val="en-US" w:eastAsia="pt-BR"/>
        </w:rPr>
      </w:pPr>
      <w:r w:rsidRPr="00F341D0">
        <w:rPr>
          <w:rStyle w:val="ui-provider"/>
          <w:rFonts w:ascii="Arial" w:hAnsi="Arial" w:cs="Arial"/>
          <w:sz w:val="18"/>
          <w:szCs w:val="18"/>
          <w:lang w:val="en-US"/>
        </w:rPr>
        <w:t>However, the Company's commitment extends beyond operational excellence and the provision of appropriate solutions, seeking to always being close to its customers, especially during the most challenging times. A notable example is the action taken in climate disasters, with a proactive approach, establishing close communication with the customer, prioritizing customer service, making assistance coverage more flexible and simplifying the processes for calculating and paying claims. The aim was not only to ensure access to adequate services and coverage for customers in the face of adverse weather effects, but also to minimize damage and protect the safety and well-being of the insured and the community in general.</w:t>
      </w:r>
    </w:p>
    <w:p w14:paraId="155A229D" w14:textId="77777777" w:rsidR="003C4F2E" w:rsidRPr="00F341D0" w:rsidRDefault="003C4F2E" w:rsidP="003C4F2E">
      <w:pPr>
        <w:pStyle w:val="01-Textonormal"/>
        <w:rPr>
          <w:rFonts w:cs="Arial"/>
          <w:lang w:val="en-US"/>
        </w:rPr>
      </w:pPr>
      <w:r w:rsidRPr="00F341D0">
        <w:rPr>
          <w:rFonts w:cs="Arial"/>
          <w:lang w:val="en-US"/>
        </w:rPr>
        <w:t>Seeking to bring customers closer, improving their experience and turning them into fans of the brand, a Relationship Program was launched in September, a pioneering initiative in the Brazilian insurance market.</w:t>
      </w:r>
    </w:p>
    <w:p w14:paraId="3DEE8E11" w14:textId="77777777" w:rsidR="003C4F2E" w:rsidRPr="00F341D0" w:rsidRDefault="003C4F2E" w:rsidP="003C4F2E">
      <w:pPr>
        <w:pStyle w:val="01-Textonormal"/>
        <w:rPr>
          <w:rFonts w:cs="Arial"/>
          <w:lang w:val="en-US"/>
        </w:rPr>
      </w:pPr>
      <w:r w:rsidRPr="00F341D0">
        <w:rPr>
          <w:rFonts w:cs="Arial"/>
          <w:lang w:val="en-US"/>
        </w:rPr>
        <w:t xml:space="preserve">Now widespread among part of the customer base, the program offers extra assistance, financial advice, tickets to sponsored events, benefits at retail partners, discounts, and exclusive monthly benefits. </w:t>
      </w:r>
      <w:proofErr w:type="spellStart"/>
      <w:r w:rsidRPr="00F341D0">
        <w:rPr>
          <w:rFonts w:cs="Arial"/>
          <w:lang w:val="en-US"/>
        </w:rPr>
        <w:t>Superprotected</w:t>
      </w:r>
      <w:proofErr w:type="spellEnd"/>
      <w:r w:rsidRPr="00F341D0">
        <w:rPr>
          <w:rFonts w:cs="Arial"/>
          <w:lang w:val="en-US"/>
        </w:rPr>
        <w:t xml:space="preserve"> customers have been the target of promotional actions, enjoying assistance tastings, </w:t>
      </w:r>
      <w:r w:rsidRPr="00F341D0">
        <w:rPr>
          <w:rFonts w:cs="Arial"/>
          <w:i/>
          <w:iCs/>
          <w:lang w:val="en-US"/>
        </w:rPr>
        <w:t>premium</w:t>
      </w:r>
      <w:r w:rsidRPr="00F341D0">
        <w:rPr>
          <w:rFonts w:cs="Arial"/>
          <w:lang w:val="en-US"/>
        </w:rPr>
        <w:t xml:space="preserve"> experiences at sponsored events and uniform and differentiated service. </w:t>
      </w:r>
    </w:p>
    <w:p w14:paraId="03CD0263"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In the BB App, the relationship experience for customers with the level of protection has already registered more than 600 thousand accesses and impacted more than 120 thousand customers. </w:t>
      </w:r>
    </w:p>
    <w:bookmarkEnd w:id="8"/>
    <w:p w14:paraId="6AE14C21" w14:textId="77777777" w:rsidR="003C4F2E" w:rsidRPr="00BC754A" w:rsidRDefault="003C4F2E" w:rsidP="003C4F2E">
      <w:pPr>
        <w:pStyle w:val="01-Textonormal"/>
        <w:rPr>
          <w:lang w:val="en-US"/>
        </w:rPr>
      </w:pPr>
    </w:p>
    <w:p w14:paraId="603288B8" w14:textId="77777777" w:rsidR="003C4F2E" w:rsidRPr="000F2ECA" w:rsidRDefault="003C4F2E" w:rsidP="003C4F2E">
      <w:pPr>
        <w:pStyle w:val="01-TtulodeNota"/>
        <w:numPr>
          <w:ilvl w:val="0"/>
          <w:numId w:val="57"/>
        </w:numPr>
        <w:ind w:left="357" w:hanging="357"/>
        <w:rPr>
          <w:color w:val="1F3864" w:themeColor="accent1" w:themeShade="80"/>
          <w:lang w:val="en-US"/>
        </w:rPr>
      </w:pPr>
      <w:r>
        <w:rPr>
          <w:color w:val="1F3864" w:themeColor="accent1" w:themeShade="80"/>
          <w:lang w:val="en-US"/>
        </w:rPr>
        <w:t xml:space="preserve">ENVIRONMENTAL, SOCIAL AND GOVERNANCE ASPECTS </w:t>
      </w:r>
    </w:p>
    <w:p w14:paraId="0DB3E911" w14:textId="77777777" w:rsidR="003C4F2E" w:rsidRPr="00F341D0" w:rsidRDefault="003C4F2E" w:rsidP="003C4F2E">
      <w:pPr>
        <w:jc w:val="both"/>
        <w:rPr>
          <w:rFonts w:ascii="Arial" w:hAnsi="Arial" w:cs="Arial"/>
          <w:sz w:val="18"/>
          <w:szCs w:val="18"/>
          <w:lang w:val="en-US"/>
        </w:rPr>
      </w:pPr>
      <w:bookmarkStart w:id="9" w:name="_Hlk153974743"/>
      <w:r w:rsidRPr="00F341D0">
        <w:rPr>
          <w:rFonts w:ascii="Arial" w:hAnsi="Arial" w:cs="Arial"/>
          <w:sz w:val="18"/>
          <w:szCs w:val="18"/>
          <w:lang w:val="en-US"/>
        </w:rPr>
        <w:t xml:space="preserve">In 2023, </w:t>
      </w:r>
      <w:proofErr w:type="gramStart"/>
      <w:r w:rsidRPr="00F341D0">
        <w:rPr>
          <w:rFonts w:ascii="Arial" w:hAnsi="Arial" w:cs="Arial"/>
          <w:sz w:val="18"/>
          <w:szCs w:val="18"/>
          <w:lang w:val="en-US"/>
        </w:rPr>
        <w:t>in order to</w:t>
      </w:r>
      <w:proofErr w:type="gramEnd"/>
      <w:r w:rsidRPr="00F341D0">
        <w:rPr>
          <w:rFonts w:ascii="Arial" w:hAnsi="Arial" w:cs="Arial"/>
          <w:sz w:val="18"/>
          <w:szCs w:val="18"/>
          <w:lang w:val="en-US"/>
        </w:rPr>
        <w:t xml:space="preserve"> measure the actions related to environmental, social and governance (ESG) aspects, for the first time the Company had an exclusive performance indicator, which included products and investments focused on ESG aspects. </w:t>
      </w:r>
    </w:p>
    <w:p w14:paraId="4A00EC12"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The ESG Committee, created in 2022 aimed at uniting the efforts of the companies of BB Seguros Group to advance the sustainability agenda with a view to integration and which comprises four permanent members of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(from different and strategic areas) and executive-level representatives of the investees, conducted its activities with a focus on diagnosing the main points to be improved by the Company on environmental, social and governance issues, which resulted in the ESG Action Plan, with initiatives for the next 2 years, starting in 2024.</w:t>
      </w:r>
    </w:p>
    <w:p w14:paraId="206D3F8A"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With the aim of providing even more transparency and credibility in the disclosure of its information, the Company carried out, for the first time, external assurance of the content of the Sustainability Report with Deloitte Touche Tohmatsu, maintaining alignment with the standards of the Global Reporting Initiative (GRI), besides including the standards of the Sustainability Accounting Standards Boards (SASB).</w:t>
      </w:r>
    </w:p>
    <w:p w14:paraId="1A2B522C"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In addition, pursuant to CVM Rule No. 193/2023, the Company is assessing the moment of adoption of S1 and S2 rules issued by the International Sustainability Standards Board (ISSB), linked to the IFRS Foundation, which provide the standards for financial sustainability information elaboration and disclosure.</w:t>
      </w:r>
    </w:p>
    <w:p w14:paraId="0AFC2EF0" w14:textId="69A71ABB" w:rsidR="003C4F2E" w:rsidRPr="00F341D0" w:rsidRDefault="003C4F2E" w:rsidP="003C4F2E">
      <w:pPr>
        <w:pStyle w:val="01-Textonormal"/>
        <w:rPr>
          <w:rFonts w:eastAsiaTheme="minorHAnsi" w:cs="Arial"/>
          <w:b/>
          <w:lang w:val="en-US"/>
        </w:rPr>
      </w:pPr>
      <w:r w:rsidRPr="00F341D0">
        <w:rPr>
          <w:rFonts w:cs="Arial"/>
          <w:lang w:val="en-US"/>
        </w:rPr>
        <w:t xml:space="preserve">The Company's sustainability reports for the last fiscal years can be accessed at </w:t>
      </w:r>
      <w:hyperlink r:id="rId15" w:history="1">
        <w:r w:rsidR="00C80E96" w:rsidRPr="001064E2">
          <w:rPr>
            <w:rStyle w:val="Hyperlink"/>
            <w:rFonts w:cs="Arial"/>
            <w:lang w:val="en-US"/>
          </w:rPr>
          <w:t>https:</w:t>
        </w:r>
        <w:r w:rsidR="001064E2" w:rsidRPr="001064E2">
          <w:rPr>
            <w:rStyle w:val="Hyperlink"/>
            <w:rFonts w:cs="Arial"/>
            <w:lang w:val="en-US"/>
          </w:rPr>
          <w:t>//</w:t>
        </w:r>
        <w:r w:rsidRPr="001064E2">
          <w:rPr>
            <w:rStyle w:val="Hyperlink"/>
            <w:rFonts w:cs="Arial"/>
            <w:lang w:val="en-US"/>
          </w:rPr>
          <w:t>www.bbseguridaderi.com.br/sustentabilidade-e-governanca/sustentabilidade/</w:t>
        </w:r>
      </w:hyperlink>
      <w:r w:rsidRPr="00F341D0">
        <w:rPr>
          <w:rFonts w:cs="Arial"/>
          <w:lang w:val="en-US"/>
        </w:rPr>
        <w:t>.</w:t>
      </w:r>
      <w:bookmarkEnd w:id="9"/>
    </w:p>
    <w:p w14:paraId="07A17592" w14:textId="77777777" w:rsidR="003C4F2E" w:rsidRPr="00BC754A" w:rsidRDefault="003C4F2E" w:rsidP="003C4F2E">
      <w:pPr>
        <w:pStyle w:val="03-SubttulodeNota"/>
        <w:spacing w:line="276" w:lineRule="auto"/>
        <w:rPr>
          <w:color w:val="1F3864" w:themeColor="accent1" w:themeShade="80"/>
          <w:lang w:val="en-US"/>
        </w:rPr>
      </w:pPr>
    </w:p>
    <w:p w14:paraId="58282759" w14:textId="77777777" w:rsidR="003C4F2E" w:rsidRPr="00BC754A" w:rsidRDefault="003C4F2E" w:rsidP="003C4F2E">
      <w:pPr>
        <w:pStyle w:val="03-SubttulodeNota"/>
        <w:spacing w:line="276" w:lineRule="auto"/>
        <w:rPr>
          <w:color w:val="1F3864" w:themeColor="accent1" w:themeShade="80"/>
          <w:lang w:val="en-US"/>
        </w:rPr>
      </w:pPr>
      <w:r w:rsidRPr="00053E4D">
        <w:rPr>
          <w:color w:val="1F3864" w:themeColor="accent1" w:themeShade="80"/>
          <w:lang w:val="en-US"/>
        </w:rPr>
        <w:t xml:space="preserve">Governance, Risk Management and </w:t>
      </w:r>
      <w:r w:rsidRPr="003253D6">
        <w:rPr>
          <w:i/>
          <w:iCs/>
          <w:color w:val="1F3864" w:themeColor="accent1" w:themeShade="80"/>
          <w:lang w:val="en-US"/>
        </w:rPr>
        <w:t>Compliance</w:t>
      </w:r>
      <w:r w:rsidRPr="00053E4D">
        <w:rPr>
          <w:color w:val="1F3864" w:themeColor="accent1" w:themeShade="80"/>
          <w:lang w:val="en-US"/>
        </w:rPr>
        <w:t xml:space="preserve"> </w:t>
      </w:r>
    </w:p>
    <w:p w14:paraId="177A5BD9" w14:textId="77777777" w:rsidR="003C4F2E" w:rsidRPr="00F341D0" w:rsidRDefault="003C4F2E" w:rsidP="003C4F2E">
      <w:pPr>
        <w:pStyle w:val="01-Textonormal"/>
        <w:rPr>
          <w:rFonts w:cs="Arial"/>
          <w:b/>
          <w:u w:val="single"/>
          <w:lang w:val="en-US"/>
        </w:rPr>
      </w:pPr>
      <w:r w:rsidRPr="00F341D0">
        <w:rPr>
          <w:rFonts w:cs="Arial"/>
          <w:u w:val="single"/>
          <w:lang w:val="en-US"/>
        </w:rPr>
        <w:t xml:space="preserve">Governance </w:t>
      </w:r>
    </w:p>
    <w:p w14:paraId="4C22577E"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BB </w:t>
      </w:r>
      <w:proofErr w:type="spellStart"/>
      <w:r w:rsidRPr="00F341D0">
        <w:rPr>
          <w:rFonts w:ascii="Arial" w:hAnsi="Arial" w:cs="Arial"/>
          <w:sz w:val="18"/>
          <w:szCs w:val="18"/>
          <w:lang w:val="en-US"/>
        </w:rPr>
        <w:t>Seguridade's</w:t>
      </w:r>
      <w:proofErr w:type="spellEnd"/>
      <w:r w:rsidRPr="00F341D0">
        <w:rPr>
          <w:rFonts w:ascii="Arial" w:hAnsi="Arial" w:cs="Arial"/>
          <w:sz w:val="18"/>
          <w:szCs w:val="18"/>
          <w:lang w:val="en-US"/>
        </w:rPr>
        <w:t xml:space="preserve"> commitment to transparency in its relationship with the market, and specially with its minority shareholders, is ratified by its membership, since going public, in B3's Novo Mercado, segment that brings together companies that meet the highest corporate governance requirements in the Brazilian market.</w:t>
      </w:r>
    </w:p>
    <w:p w14:paraId="5C83576F"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The Company's governance structure consists of the General Shareholders' Meeting; the Board of Directors (BD) and its advisory committees – the Audit Committee (</w:t>
      </w:r>
      <w:proofErr w:type="spellStart"/>
      <w:r w:rsidRPr="00F341D0">
        <w:rPr>
          <w:rFonts w:ascii="Arial" w:hAnsi="Arial" w:cs="Arial"/>
          <w:sz w:val="18"/>
          <w:szCs w:val="18"/>
          <w:lang w:val="en-US"/>
        </w:rPr>
        <w:t>Coaud</w:t>
      </w:r>
      <w:proofErr w:type="spellEnd"/>
      <w:r w:rsidRPr="00F341D0">
        <w:rPr>
          <w:rFonts w:ascii="Arial" w:hAnsi="Arial" w:cs="Arial"/>
          <w:sz w:val="18"/>
          <w:szCs w:val="18"/>
          <w:lang w:val="en-US"/>
        </w:rPr>
        <w:t>), the Eligibility Committee (CE), the Related-Party Transactions Committee (CTPR) and the Risk and Capital Committee (Coris); the Executive Board; and the Fiscal Council.</w:t>
      </w:r>
    </w:p>
    <w:p w14:paraId="35BE3549"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At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the management bodies are structured to ensure collegiate decision-making, anchored in wide-ranging debates on all strategic issues, with the aim of reducing business risks and contributing to its sustainability. In this context, management uses a structure of committees that ensure agility, </w:t>
      </w:r>
      <w:proofErr w:type="gramStart"/>
      <w:r w:rsidRPr="00F341D0">
        <w:rPr>
          <w:rFonts w:ascii="Arial" w:hAnsi="Arial" w:cs="Arial"/>
          <w:sz w:val="18"/>
          <w:szCs w:val="18"/>
          <w:lang w:val="en-US"/>
        </w:rPr>
        <w:t>quality</w:t>
      </w:r>
      <w:proofErr w:type="gramEnd"/>
      <w:r w:rsidRPr="00F341D0">
        <w:rPr>
          <w:rFonts w:ascii="Arial" w:hAnsi="Arial" w:cs="Arial"/>
          <w:sz w:val="18"/>
          <w:szCs w:val="18"/>
          <w:lang w:val="en-US"/>
        </w:rPr>
        <w:t xml:space="preserve"> and security in decision-making. </w:t>
      </w:r>
    </w:p>
    <w:p w14:paraId="5D0F03F0"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 xml:space="preserve">The Bylaws establishes the principles and rules of operation, such as the definition of the corporate purpose, the composition of the share capital, the responsibilities of the statutory bodies, among others. BB </w:t>
      </w:r>
      <w:proofErr w:type="spellStart"/>
      <w:r w:rsidRPr="00F341D0">
        <w:rPr>
          <w:rFonts w:ascii="Arial" w:hAnsi="Arial" w:cs="Arial"/>
          <w:sz w:val="18"/>
          <w:szCs w:val="18"/>
          <w:lang w:val="en-US"/>
        </w:rPr>
        <w:t>Seguridade</w:t>
      </w:r>
      <w:proofErr w:type="spellEnd"/>
      <w:r w:rsidRPr="00F341D0">
        <w:rPr>
          <w:rFonts w:ascii="Arial" w:hAnsi="Arial" w:cs="Arial"/>
          <w:sz w:val="18"/>
          <w:szCs w:val="18"/>
          <w:lang w:val="en-US"/>
        </w:rPr>
        <w:t xml:space="preserve"> further has internal regulations governing the operation of the Board of Directors, all related committees, the Executive </w:t>
      </w:r>
      <w:proofErr w:type="gramStart"/>
      <w:r w:rsidRPr="00F341D0">
        <w:rPr>
          <w:rFonts w:ascii="Arial" w:hAnsi="Arial" w:cs="Arial"/>
          <w:sz w:val="18"/>
          <w:szCs w:val="18"/>
          <w:lang w:val="en-US"/>
        </w:rPr>
        <w:t>Board</w:t>
      </w:r>
      <w:proofErr w:type="gramEnd"/>
      <w:r w:rsidRPr="00F341D0">
        <w:rPr>
          <w:rFonts w:ascii="Arial" w:hAnsi="Arial" w:cs="Arial"/>
          <w:sz w:val="18"/>
          <w:szCs w:val="18"/>
          <w:lang w:val="en-US"/>
        </w:rPr>
        <w:t xml:space="preserve"> and the Supervisory Board, in accordance with the laws and best Corporate Governance practices.</w:t>
      </w:r>
    </w:p>
    <w:p w14:paraId="241706E6" w14:textId="77777777" w:rsidR="003C4F2E" w:rsidRPr="00F341D0" w:rsidRDefault="003C4F2E" w:rsidP="003C4F2E">
      <w:pPr>
        <w:pStyle w:val="03-SubttulodeNota"/>
        <w:spacing w:line="276" w:lineRule="auto"/>
        <w:rPr>
          <w:rFonts w:cs="Arial"/>
          <w:b w:val="0"/>
          <w:bCs/>
          <w:sz w:val="18"/>
          <w:szCs w:val="18"/>
          <w:u w:val="single"/>
          <w:lang w:val="en-US"/>
        </w:rPr>
      </w:pPr>
      <w:r w:rsidRPr="00F341D0">
        <w:rPr>
          <w:rFonts w:cs="Arial"/>
          <w:b w:val="0"/>
          <w:bCs/>
          <w:sz w:val="18"/>
          <w:szCs w:val="18"/>
          <w:u w:val="single"/>
          <w:lang w:val="en-US"/>
        </w:rPr>
        <w:t xml:space="preserve">Risk Management and Compliance </w:t>
      </w:r>
    </w:p>
    <w:p w14:paraId="227070EF"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In addition to statutory governance, </w:t>
      </w:r>
      <w:proofErr w:type="gramStart"/>
      <w:r w:rsidRPr="00F341D0">
        <w:rPr>
          <w:rFonts w:ascii="Arial" w:eastAsia="Times New Roman" w:hAnsi="Arial" w:cs="Arial"/>
          <w:spacing w:val="-2"/>
          <w:sz w:val="18"/>
          <w:szCs w:val="18"/>
          <w:lang w:val="en-US" w:eastAsia="pt-BR"/>
        </w:rPr>
        <w:t>inspection</w:t>
      </w:r>
      <w:proofErr w:type="gramEnd"/>
      <w:r w:rsidRPr="00F341D0">
        <w:rPr>
          <w:rFonts w:ascii="Arial" w:eastAsia="Times New Roman" w:hAnsi="Arial" w:cs="Arial"/>
          <w:spacing w:val="-2"/>
          <w:sz w:val="18"/>
          <w:szCs w:val="18"/>
          <w:lang w:val="en-US" w:eastAsia="pt-BR"/>
        </w:rPr>
        <w:t xml:space="preserve"> and control bodies, such as the Audit Committee ("</w:t>
      </w:r>
      <w:proofErr w:type="spellStart"/>
      <w:r w:rsidRPr="00F341D0">
        <w:rPr>
          <w:rFonts w:ascii="Arial" w:eastAsia="Times New Roman" w:hAnsi="Arial" w:cs="Arial"/>
          <w:spacing w:val="-2"/>
          <w:sz w:val="18"/>
          <w:szCs w:val="18"/>
          <w:lang w:val="en-US" w:eastAsia="pt-BR"/>
        </w:rPr>
        <w:t>Coaud</w:t>
      </w:r>
      <w:proofErr w:type="spellEnd"/>
      <w:r w:rsidRPr="00F341D0">
        <w:rPr>
          <w:rFonts w:ascii="Arial" w:eastAsia="Times New Roman" w:hAnsi="Arial" w:cs="Arial"/>
          <w:spacing w:val="-2"/>
          <w:sz w:val="18"/>
          <w:szCs w:val="18"/>
          <w:lang w:val="en-US" w:eastAsia="pt-BR"/>
        </w:rPr>
        <w:t xml:space="preserve">"), the Risk and Capital Committee (Coris) and the Fiscal Council, BB </w:t>
      </w:r>
      <w:proofErr w:type="spellStart"/>
      <w:r w:rsidRPr="00F341D0">
        <w:rPr>
          <w:rFonts w:ascii="Arial" w:eastAsia="Times New Roman" w:hAnsi="Arial" w:cs="Arial"/>
          <w:spacing w:val="-2"/>
          <w:sz w:val="18"/>
          <w:szCs w:val="18"/>
          <w:lang w:val="en-US" w:eastAsia="pt-BR"/>
        </w:rPr>
        <w:t>Seguridade</w:t>
      </w:r>
      <w:proofErr w:type="spellEnd"/>
      <w:r w:rsidRPr="00F341D0">
        <w:rPr>
          <w:rFonts w:ascii="Arial" w:eastAsia="Times New Roman" w:hAnsi="Arial" w:cs="Arial"/>
          <w:spacing w:val="-2"/>
          <w:sz w:val="18"/>
          <w:szCs w:val="18"/>
          <w:lang w:val="en-US" w:eastAsia="pt-BR"/>
        </w:rPr>
        <w:t xml:space="preserve"> has, in its organizational structure, a technical area separated from business functions, the Executive Risk and Compliance Superintendency, linked directly to the Company's CEO, which ensures the required independence of action. </w:t>
      </w:r>
    </w:p>
    <w:p w14:paraId="4EA95053"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This executive superintendency is responsible for developing and standardizing methodologies for risk management, internal controls, </w:t>
      </w:r>
      <w:proofErr w:type="gramStart"/>
      <w:r w:rsidRPr="00F341D0">
        <w:rPr>
          <w:rFonts w:ascii="Arial" w:eastAsia="Times New Roman" w:hAnsi="Arial" w:cs="Arial"/>
          <w:spacing w:val="-2"/>
          <w:sz w:val="18"/>
          <w:szCs w:val="18"/>
          <w:lang w:val="en-US" w:eastAsia="pt-BR"/>
        </w:rPr>
        <w:t>compliance</w:t>
      </w:r>
      <w:proofErr w:type="gramEnd"/>
      <w:r w:rsidRPr="00F341D0">
        <w:rPr>
          <w:rFonts w:ascii="Arial" w:eastAsia="Times New Roman" w:hAnsi="Arial" w:cs="Arial"/>
          <w:spacing w:val="-2"/>
          <w:sz w:val="18"/>
          <w:szCs w:val="18"/>
          <w:lang w:val="en-US" w:eastAsia="pt-BR"/>
        </w:rPr>
        <w:t xml:space="preserve"> and security, as well as guiding the adoption of best practices in this area. The guidelines, approved by the Board of Directors, are provided in the Risk Appetite Statement, Risk and Capital Management Policy, Internal Controls and Integrity Policy, Policy on the Prevention and Fight Against Money Laundering and the Financing of Terrorism, Policy on the Prevention and Fight Against Corruption, Information and Cybersecurity Policy and Privacy and Personal Data Protection Policy.</w:t>
      </w:r>
    </w:p>
    <w:p w14:paraId="507B4F47"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The Risk Management, Internal Controls and Security Model, approved by the Board of Directors, is in line with the Company's strategy and considers the corporate scenarios in the identification, analysis, evaluation, and treatment of events capable of impacting the achievement of the objectives. </w:t>
      </w:r>
    </w:p>
    <w:p w14:paraId="259D2971"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In 2023, it was conducted a full review of the Personal Data Protection Impact Report, as required by the General Data Protection Law ("LGPD"), and a Crisis Management Plan was approved by the Board of Directors.</w:t>
      </w:r>
    </w:p>
    <w:p w14:paraId="194B94F1"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From a risk management perspective, the main indicators are reported monthly to the Executive Board and Coris. Moreover, on a quarterly basis, the results of the monitoring of risk appetite and tolerance indicators and limits are brought to the attention of the Board of Directors, with prior transit to Coris and </w:t>
      </w:r>
      <w:proofErr w:type="spellStart"/>
      <w:r w:rsidRPr="00F341D0">
        <w:rPr>
          <w:rFonts w:ascii="Arial" w:eastAsia="Times New Roman" w:hAnsi="Arial" w:cs="Arial"/>
          <w:spacing w:val="-2"/>
          <w:sz w:val="18"/>
          <w:szCs w:val="18"/>
          <w:lang w:val="en-US" w:eastAsia="pt-BR"/>
        </w:rPr>
        <w:t>Coaud</w:t>
      </w:r>
      <w:proofErr w:type="spellEnd"/>
      <w:r w:rsidRPr="00F341D0">
        <w:rPr>
          <w:rFonts w:ascii="Arial" w:eastAsia="Times New Roman" w:hAnsi="Arial" w:cs="Arial"/>
          <w:spacing w:val="-2"/>
          <w:sz w:val="18"/>
          <w:szCs w:val="18"/>
          <w:lang w:val="en-US" w:eastAsia="pt-BR"/>
        </w:rPr>
        <w:t xml:space="preserve">. </w:t>
      </w:r>
    </w:p>
    <w:p w14:paraId="039DA092" w14:textId="77777777" w:rsidR="003C4F2E" w:rsidRPr="00F341D0" w:rsidRDefault="003C4F2E" w:rsidP="003C4F2E">
      <w:pPr>
        <w:spacing w:before="120" w:after="120"/>
        <w:jc w:val="both"/>
        <w:rPr>
          <w:rFonts w:ascii="Arial" w:eastAsia="Times New Roman" w:hAnsi="Arial" w:cs="Arial"/>
          <w:spacing w:val="-2"/>
          <w:sz w:val="18"/>
          <w:szCs w:val="18"/>
          <w:lang w:val="en-US" w:eastAsia="pt-BR"/>
        </w:rPr>
      </w:pPr>
      <w:r w:rsidRPr="00F341D0">
        <w:rPr>
          <w:rFonts w:ascii="Arial" w:eastAsia="Times New Roman" w:hAnsi="Arial" w:cs="Arial"/>
          <w:spacing w:val="-2"/>
          <w:sz w:val="18"/>
          <w:szCs w:val="18"/>
          <w:lang w:val="en-US" w:eastAsia="pt-BR"/>
        </w:rPr>
        <w:t xml:space="preserve">In 2023, the Compliance and Integrity program was updated </w:t>
      </w:r>
      <w:proofErr w:type="gramStart"/>
      <w:r w:rsidRPr="00F341D0">
        <w:rPr>
          <w:rFonts w:ascii="Arial" w:eastAsia="Times New Roman" w:hAnsi="Arial" w:cs="Arial"/>
          <w:spacing w:val="-2"/>
          <w:sz w:val="18"/>
          <w:szCs w:val="18"/>
          <w:lang w:val="en-US" w:eastAsia="pt-BR"/>
        </w:rPr>
        <w:t>as a result of</w:t>
      </w:r>
      <w:proofErr w:type="gramEnd"/>
      <w:r w:rsidRPr="00F341D0">
        <w:rPr>
          <w:rFonts w:ascii="Arial" w:eastAsia="Times New Roman" w:hAnsi="Arial" w:cs="Arial"/>
          <w:spacing w:val="-2"/>
          <w:sz w:val="18"/>
          <w:szCs w:val="18"/>
          <w:lang w:val="en-US" w:eastAsia="pt-BR"/>
        </w:rPr>
        <w:t xml:space="preserve"> the periodic assessment focused on fostering an ethical organizational culture and reinforcing everyone's responsibility with regard to best practices in internal controls and compliance.</w:t>
      </w:r>
    </w:p>
    <w:p w14:paraId="5125AB4C" w14:textId="77777777" w:rsidR="003C4F2E" w:rsidRPr="00BC754A" w:rsidRDefault="003C4F2E" w:rsidP="003C4F2E">
      <w:pPr>
        <w:spacing w:before="120" w:after="120"/>
        <w:jc w:val="both"/>
        <w:rPr>
          <w:lang w:val="en-US" w:eastAsia="pt-BR"/>
        </w:rPr>
      </w:pPr>
    </w:p>
    <w:p w14:paraId="2D296D89" w14:textId="77777777" w:rsidR="003C4F2E" w:rsidRPr="00BC754A" w:rsidRDefault="003C4F2E" w:rsidP="003C4F2E">
      <w:pPr>
        <w:pStyle w:val="03-SubttulodeNota"/>
        <w:rPr>
          <w:color w:val="1F3864" w:themeColor="accent1" w:themeShade="80"/>
          <w:lang w:val="en-US"/>
        </w:rPr>
      </w:pPr>
      <w:r w:rsidRPr="00597253">
        <w:rPr>
          <w:color w:val="1F3864" w:themeColor="accent1" w:themeShade="80"/>
          <w:lang w:val="en-US"/>
        </w:rPr>
        <w:t xml:space="preserve">Human Capital Management </w:t>
      </w:r>
    </w:p>
    <w:p w14:paraId="295BDBF7" w14:textId="77777777" w:rsidR="003C4F2E" w:rsidRPr="00F341D0" w:rsidRDefault="003C4F2E" w:rsidP="003C4F2E">
      <w:pPr>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BB </w:t>
      </w:r>
      <w:proofErr w:type="spellStart"/>
      <w:r w:rsidRPr="00F341D0">
        <w:rPr>
          <w:rFonts w:ascii="Arial" w:hAnsi="Arial" w:cs="Arial"/>
          <w:color w:val="000000"/>
          <w:sz w:val="18"/>
          <w:szCs w:val="18"/>
          <w:lang w:val="en-US"/>
        </w:rPr>
        <w:t>Seguridade's</w:t>
      </w:r>
      <w:proofErr w:type="spellEnd"/>
      <w:r w:rsidRPr="00F341D0">
        <w:rPr>
          <w:rFonts w:ascii="Arial" w:hAnsi="Arial" w:cs="Arial"/>
          <w:color w:val="000000"/>
          <w:sz w:val="18"/>
          <w:szCs w:val="18"/>
          <w:lang w:val="en-US"/>
        </w:rPr>
        <w:t xml:space="preserve"> staff consists of employees assigned by BB. On December 31, 2023, the Company had </w:t>
      </w:r>
      <w:r w:rsidRPr="00F341D0">
        <w:rPr>
          <w:rFonts w:ascii="Arial" w:hAnsi="Arial" w:cs="Arial"/>
          <w:sz w:val="18"/>
          <w:szCs w:val="18"/>
          <w:lang w:val="en-US"/>
        </w:rPr>
        <w:t>187</w:t>
      </w:r>
      <w:r w:rsidRPr="00F341D0">
        <w:rPr>
          <w:rFonts w:ascii="Arial" w:hAnsi="Arial" w:cs="Arial"/>
          <w:color w:val="000000"/>
          <w:sz w:val="18"/>
          <w:szCs w:val="18"/>
          <w:lang w:val="en-US"/>
        </w:rPr>
        <w:t xml:space="preserve"> permanent employees and 3 executive officers, located in Brasília and São Paulo, </w:t>
      </w:r>
      <w:r w:rsidRPr="00F341D0">
        <w:rPr>
          <w:rFonts w:ascii="Arial" w:hAnsi="Arial" w:cs="Arial"/>
          <w:sz w:val="18"/>
          <w:szCs w:val="18"/>
          <w:lang w:val="en-US"/>
        </w:rPr>
        <w:t>15</w:t>
      </w:r>
      <w:r w:rsidRPr="00F341D0">
        <w:rPr>
          <w:rFonts w:ascii="Arial" w:hAnsi="Arial" w:cs="Arial"/>
          <w:color w:val="000000"/>
          <w:sz w:val="18"/>
          <w:szCs w:val="18"/>
          <w:lang w:val="en-US"/>
        </w:rPr>
        <w:t xml:space="preserve"> interns and </w:t>
      </w:r>
      <w:r w:rsidRPr="00F341D0">
        <w:rPr>
          <w:rFonts w:ascii="Arial" w:hAnsi="Arial" w:cs="Arial"/>
          <w:sz w:val="18"/>
          <w:szCs w:val="18"/>
          <w:lang w:val="en-US"/>
        </w:rPr>
        <w:t>46</w:t>
      </w:r>
      <w:r w:rsidRPr="00F341D0">
        <w:rPr>
          <w:rFonts w:ascii="Arial" w:hAnsi="Arial" w:cs="Arial"/>
          <w:color w:val="000000"/>
          <w:sz w:val="18"/>
          <w:szCs w:val="18"/>
          <w:lang w:val="en-US"/>
        </w:rPr>
        <w:t xml:space="preserve"> outsourced collaborators. </w:t>
      </w:r>
    </w:p>
    <w:p w14:paraId="4412593D" w14:textId="77777777" w:rsidR="003C4F2E" w:rsidRPr="00BC754A" w:rsidRDefault="003C4F2E" w:rsidP="003C4F2E">
      <w:pPr>
        <w:spacing w:before="120" w:after="120"/>
        <w:jc w:val="both"/>
        <w:rPr>
          <w:rFonts w:cs="Arial"/>
          <w:color w:val="000000"/>
          <w:szCs w:val="18"/>
          <w:lang w:val="en-US"/>
        </w:rPr>
      </w:pPr>
    </w:p>
    <w:p w14:paraId="0EF65015" w14:textId="77777777" w:rsidR="003C4F2E" w:rsidRPr="00F341D0" w:rsidRDefault="003C4F2E" w:rsidP="003C4F2E">
      <w:pPr>
        <w:pStyle w:val="01-Textonormal"/>
        <w:rPr>
          <w:rFonts w:cs="Arial"/>
          <w:u w:val="single"/>
          <w:lang w:val="en-US"/>
        </w:rPr>
      </w:pPr>
      <w:r w:rsidRPr="00F341D0">
        <w:rPr>
          <w:rFonts w:cs="Arial"/>
          <w:u w:val="single"/>
          <w:lang w:val="en-US"/>
        </w:rPr>
        <w:t>Training and Development</w:t>
      </w:r>
    </w:p>
    <w:p w14:paraId="1A6ADDB8"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bookmarkStart w:id="10" w:name="_Hlk156208516"/>
      <w:r w:rsidRPr="00F341D0">
        <w:rPr>
          <w:rFonts w:ascii="Arial" w:hAnsi="Arial" w:cs="Arial"/>
          <w:color w:val="000000"/>
          <w:sz w:val="18"/>
          <w:szCs w:val="18"/>
          <w:lang w:val="en-US"/>
        </w:rPr>
        <w:t xml:space="preserve">Reinforcing the importance that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attaches to employee development, in 2023, more than R$700k was invested in training and subsidies of up to 80% in graduate and language scholarships. The Corporate Development Plan (PDC) was drawn up and implemented in a gamified manner through the Knowledge Academy Program.</w:t>
      </w:r>
    </w:p>
    <w:p w14:paraId="10C89624"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With the aim of developing and strengthening key competencies, the Program consists of: (</w:t>
      </w:r>
      <w:proofErr w:type="spellStart"/>
      <w:r w:rsidRPr="00F341D0">
        <w:rPr>
          <w:rFonts w:ascii="Arial" w:hAnsi="Arial" w:cs="Arial"/>
          <w:color w:val="000000"/>
          <w:sz w:val="18"/>
          <w:szCs w:val="18"/>
          <w:lang w:val="en-US"/>
        </w:rPr>
        <w:t>i</w:t>
      </w:r>
      <w:proofErr w:type="spellEnd"/>
      <w:r w:rsidRPr="00F341D0">
        <w:rPr>
          <w:rFonts w:ascii="Arial" w:hAnsi="Arial" w:cs="Arial"/>
          <w:color w:val="000000"/>
          <w:sz w:val="18"/>
          <w:szCs w:val="18"/>
          <w:lang w:val="en-US"/>
        </w:rPr>
        <w:t xml:space="preserve">) encouraging the completion of course tracks addressing the year's strategic objectives and core competencies; (ii) encouraging the obtaining of professional market certifications; (iii) mentoring; (iv) raising awareness, </w:t>
      </w:r>
      <w:proofErr w:type="gramStart"/>
      <w:r w:rsidRPr="00F341D0">
        <w:rPr>
          <w:rFonts w:ascii="Arial" w:hAnsi="Arial" w:cs="Arial"/>
          <w:color w:val="000000"/>
          <w:sz w:val="18"/>
          <w:szCs w:val="18"/>
          <w:lang w:val="en-US"/>
        </w:rPr>
        <w:t>recognizing</w:t>
      </w:r>
      <w:proofErr w:type="gramEnd"/>
      <w:r w:rsidRPr="00F341D0">
        <w:rPr>
          <w:rFonts w:ascii="Arial" w:hAnsi="Arial" w:cs="Arial"/>
          <w:color w:val="000000"/>
          <w:sz w:val="18"/>
          <w:szCs w:val="18"/>
          <w:lang w:val="en-US"/>
        </w:rPr>
        <w:t xml:space="preserve"> and enhancing individual outstanding competence; and (v) focusing on development through practical activities to consolidate/sustain learning (70:20:10 methodology).</w:t>
      </w:r>
    </w:p>
    <w:p w14:paraId="7A34A2B0"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proofErr w:type="gramStart"/>
      <w:r w:rsidRPr="00F341D0">
        <w:rPr>
          <w:rFonts w:ascii="Arial" w:hAnsi="Arial" w:cs="Arial"/>
          <w:color w:val="000000"/>
          <w:sz w:val="18"/>
          <w:szCs w:val="18"/>
          <w:lang w:val="en-US"/>
        </w:rPr>
        <w:t>In order to</w:t>
      </w:r>
      <w:proofErr w:type="gramEnd"/>
      <w:r w:rsidRPr="00F341D0">
        <w:rPr>
          <w:rFonts w:ascii="Arial" w:hAnsi="Arial" w:cs="Arial"/>
          <w:color w:val="000000"/>
          <w:sz w:val="18"/>
          <w:szCs w:val="18"/>
          <w:lang w:val="en-US"/>
        </w:rPr>
        <w:t xml:space="preserve"> support, improve and certify the technical knowledge of employees in strategic topics for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6 preparatory courses were sponsored for obtaining professional market certification and the official exam: Life Insurance Broker, Pension Plans, Premium Bonds and Other Insurance, Open Finance, OKR, Scrum Master and Management 3.0. More than 100 professional certifications were obtained by the Company's employees over the course of 2023.</w:t>
      </w:r>
    </w:p>
    <w:p w14:paraId="5052424E"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It should be highlighted the 20 managers who took part in the Management 3.0 course, which takes a practical look at the current agile management model and delves into subjects such as change management, complex thinking, team motivation and engagement, delegation and empowerment, remote team management, effective feedback and how to deal with successes and failures </w:t>
      </w:r>
      <w:proofErr w:type="gramStart"/>
      <w:r w:rsidRPr="00F341D0">
        <w:rPr>
          <w:rFonts w:ascii="Arial" w:hAnsi="Arial" w:cs="Arial"/>
          <w:color w:val="000000"/>
          <w:sz w:val="18"/>
          <w:szCs w:val="18"/>
          <w:lang w:val="en-US"/>
        </w:rPr>
        <w:t>on a daily basis</w:t>
      </w:r>
      <w:proofErr w:type="gramEnd"/>
      <w:r w:rsidRPr="00F341D0">
        <w:rPr>
          <w:rFonts w:ascii="Arial" w:hAnsi="Arial" w:cs="Arial"/>
          <w:color w:val="000000"/>
          <w:sz w:val="18"/>
          <w:szCs w:val="18"/>
          <w:lang w:val="en-US"/>
        </w:rPr>
        <w:t>.</w:t>
      </w:r>
      <w:bookmarkEnd w:id="10"/>
      <w:r w:rsidRPr="00F341D0">
        <w:rPr>
          <w:rFonts w:ascii="Arial" w:hAnsi="Arial" w:cs="Arial"/>
          <w:color w:val="000000"/>
          <w:sz w:val="18"/>
          <w:szCs w:val="18"/>
          <w:lang w:val="en-US"/>
        </w:rPr>
        <w:t xml:space="preserve"> </w:t>
      </w:r>
    </w:p>
    <w:p w14:paraId="7EC69AA6" w14:textId="77777777" w:rsidR="003C4F2E" w:rsidRPr="00F341D0" w:rsidRDefault="003C4F2E" w:rsidP="003C4F2E">
      <w:pPr>
        <w:pStyle w:val="01-Textonormal"/>
        <w:rPr>
          <w:rFonts w:cs="Arial"/>
          <w:u w:val="single"/>
          <w:lang w:val="en-US"/>
        </w:rPr>
      </w:pPr>
      <w:r w:rsidRPr="00F341D0">
        <w:rPr>
          <w:rFonts w:cs="Arial"/>
          <w:u w:val="single"/>
          <w:lang w:val="en-US"/>
        </w:rPr>
        <w:t>Talent and Succession</w:t>
      </w:r>
    </w:p>
    <w:p w14:paraId="2427DD39" w14:textId="77777777" w:rsidR="003C4F2E" w:rsidRPr="00F341D0" w:rsidRDefault="003C4F2E" w:rsidP="003C4F2E">
      <w:pPr>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 xml:space="preserve">Since 2019, 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has made progress in raising the maturity of the identification process of talents and successors.</w:t>
      </w:r>
    </w:p>
    <w:p w14:paraId="285EA48E"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Key employees are identified during the performance management cycle, which includes six-monthly appraisals and an annual collegiate discussion on the competencies and results presented. This process, called the Career and Development Commission, involves all the Company's managers and has as one of its final objectives the preparation of a list of potential successors, employees who have shown high performance and high potential and who will be developed to occupy new positions of greater complexity.</w:t>
      </w:r>
    </w:p>
    <w:p w14:paraId="51DBB50D" w14:textId="77777777" w:rsidR="003C4F2E" w:rsidRPr="00F341D0" w:rsidRDefault="003C4F2E" w:rsidP="003C4F2E">
      <w:pPr>
        <w:tabs>
          <w:tab w:val="left" w:pos="1175"/>
        </w:tabs>
        <w:spacing w:before="120" w:after="120"/>
        <w:jc w:val="both"/>
        <w:rPr>
          <w:rFonts w:ascii="Arial" w:hAnsi="Arial" w:cs="Arial"/>
          <w:color w:val="000000"/>
          <w:sz w:val="18"/>
          <w:szCs w:val="18"/>
          <w:lang w:val="en-US"/>
        </w:rPr>
      </w:pPr>
      <w:r w:rsidRPr="00F341D0">
        <w:rPr>
          <w:rFonts w:ascii="Arial" w:hAnsi="Arial" w:cs="Arial"/>
          <w:color w:val="000000"/>
          <w:sz w:val="18"/>
          <w:szCs w:val="18"/>
          <w:lang w:val="en-US"/>
        </w:rPr>
        <w:t>In 2023, the Strategic Mentoring Program (PME) was implemented, with the participation of 40 employees identified with high potential to take on more complex roles, seeking retention and development. The Program consisted of online and live classes lasting 12 hours, conducted by a specialized company, where it was possible to address essential topics for the leadership of the future.</w:t>
      </w:r>
    </w:p>
    <w:p w14:paraId="74BD88EA" w14:textId="77777777" w:rsidR="003C4F2E" w:rsidRPr="00F341D0" w:rsidRDefault="003C4F2E" w:rsidP="003C4F2E">
      <w:pPr>
        <w:pStyle w:val="01-Textonormal"/>
        <w:rPr>
          <w:rFonts w:cs="Arial"/>
          <w:bCs/>
          <w:color w:val="000000" w:themeColor="text1"/>
          <w:u w:val="single"/>
          <w:lang w:val="en-US"/>
        </w:rPr>
      </w:pPr>
      <w:r w:rsidRPr="00F341D0">
        <w:rPr>
          <w:rFonts w:cs="Arial"/>
          <w:bCs/>
          <w:color w:val="000000" w:themeColor="text1"/>
          <w:u w:val="single"/>
          <w:lang w:val="en-US"/>
        </w:rPr>
        <w:t>Benefits and Rewards</w:t>
      </w:r>
    </w:p>
    <w:p w14:paraId="263A6701" w14:textId="77777777" w:rsidR="003C4F2E" w:rsidRPr="00F341D0" w:rsidRDefault="003C4F2E" w:rsidP="003C4F2E">
      <w:pPr>
        <w:jc w:val="both"/>
        <w:rPr>
          <w:rFonts w:ascii="Arial" w:hAnsi="Arial" w:cs="Arial"/>
          <w:sz w:val="18"/>
          <w:szCs w:val="18"/>
          <w:lang w:val="en-US"/>
        </w:rPr>
      </w:pPr>
      <w:r w:rsidRPr="00F341D0">
        <w:rPr>
          <w:rFonts w:ascii="Arial" w:hAnsi="Arial" w:cs="Arial"/>
          <w:color w:val="000000"/>
          <w:sz w:val="18"/>
          <w:szCs w:val="18"/>
          <w:lang w:val="en-US"/>
        </w:rPr>
        <w:t xml:space="preserve">BB </w:t>
      </w:r>
      <w:proofErr w:type="spellStart"/>
      <w:r w:rsidRPr="00F341D0">
        <w:rPr>
          <w:rFonts w:ascii="Arial" w:hAnsi="Arial" w:cs="Arial"/>
          <w:color w:val="000000"/>
          <w:sz w:val="18"/>
          <w:szCs w:val="18"/>
          <w:lang w:val="en-US"/>
        </w:rPr>
        <w:t>Seguridade</w:t>
      </w:r>
      <w:proofErr w:type="spellEnd"/>
      <w:r w:rsidRPr="00F341D0">
        <w:rPr>
          <w:rFonts w:ascii="Arial" w:hAnsi="Arial" w:cs="Arial"/>
          <w:color w:val="000000"/>
          <w:sz w:val="18"/>
          <w:szCs w:val="18"/>
          <w:lang w:val="en-US"/>
        </w:rPr>
        <w:t xml:space="preserve"> offers its employees several benefits, such as a supplementary retirement plan, daycare/babysitting assistance, assistance for disabled children, dental plan, health plans, gym, psychotherapy, and variable compensation based on profits and results. In addition to these benefits, in 2023, the Board of Directors approved the updating of the "Applause Program", an award linked to the result and individual performance of eligible participants who differentiate themselves by achieving individual goals and making distinctive contributions to the company's results. The award is paid in cash to 40% of the staff identified as having an "Above Expectation" or "Outstanding" performance and at least a "Knowledgeable" behavior in the Development and Career Matrix</w:t>
      </w:r>
      <w:r w:rsidRPr="00F341D0">
        <w:rPr>
          <w:rFonts w:ascii="Arial" w:hAnsi="Arial" w:cs="Arial"/>
          <w:sz w:val="18"/>
          <w:szCs w:val="18"/>
          <w:lang w:val="en-US"/>
        </w:rPr>
        <w:t xml:space="preserve">. </w:t>
      </w:r>
    </w:p>
    <w:p w14:paraId="298E5DB8"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Regarding the compensation of senior management, the Corporate Variable Compensation Program also recognizes the results and decisions of the directors, establishing the payment of up to 12 monthly salaries.</w:t>
      </w:r>
    </w:p>
    <w:p w14:paraId="55AE12D7" w14:textId="77777777" w:rsidR="003C4F2E" w:rsidRPr="00F341D0" w:rsidRDefault="003C4F2E" w:rsidP="003C4F2E">
      <w:pPr>
        <w:jc w:val="both"/>
        <w:rPr>
          <w:rFonts w:ascii="Arial" w:hAnsi="Arial" w:cs="Arial"/>
          <w:sz w:val="18"/>
          <w:szCs w:val="18"/>
          <w:lang w:val="en-US"/>
        </w:rPr>
      </w:pPr>
      <w:r w:rsidRPr="00F341D0">
        <w:rPr>
          <w:rFonts w:ascii="Arial" w:hAnsi="Arial" w:cs="Arial"/>
          <w:sz w:val="18"/>
          <w:szCs w:val="18"/>
          <w:lang w:val="en-US"/>
        </w:rPr>
        <w:t>Below we demonstrate the investments made in human capital:</w:t>
      </w:r>
    </w:p>
    <w:p w14:paraId="1215A863" w14:textId="18959F2A" w:rsidR="003C4F2E" w:rsidRDefault="003C4F2E" w:rsidP="003C4F2E">
      <w:pPr>
        <w:pStyle w:val="01-TtulodeNota"/>
        <w:rPr>
          <w:rFonts w:cs="Arial"/>
          <w:b w:val="0"/>
          <w:sz w:val="14"/>
          <w:lang w:val="en-US"/>
        </w:rPr>
      </w:pPr>
      <w:bookmarkStart w:id="11" w:name="_Hlk126575621"/>
      <w:r w:rsidRPr="00272B21">
        <w:rPr>
          <w:rFonts w:cs="Arial"/>
          <w:b w:val="0"/>
          <w:sz w:val="14"/>
          <w:szCs w:val="14"/>
          <w:lang w:val="en-US"/>
        </w:rPr>
        <w:t xml:space="preserve">Table </w:t>
      </w:r>
      <w:r>
        <w:rPr>
          <w:rFonts w:cs="Arial"/>
          <w:b w:val="0"/>
          <w:sz w:val="14"/>
          <w:szCs w:val="14"/>
        </w:rPr>
        <w:fldChar w:fldCharType="begin"/>
      </w:r>
      <w:r w:rsidRPr="00272B21">
        <w:rPr>
          <w:rFonts w:cs="Arial"/>
          <w:b w:val="0"/>
          <w:sz w:val="14"/>
          <w:szCs w:val="14"/>
          <w:lang w:val="en-US"/>
        </w:rPr>
        <w:instrText xml:space="preserve"> SEQ Tabela \* ARABIC </w:instrText>
      </w:r>
      <w:r>
        <w:rPr>
          <w:rFonts w:cs="Arial"/>
          <w:b w:val="0"/>
          <w:sz w:val="14"/>
          <w:szCs w:val="14"/>
        </w:rPr>
        <w:fldChar w:fldCharType="separate"/>
      </w:r>
      <w:r w:rsidR="001125FF">
        <w:rPr>
          <w:rFonts w:cs="Arial"/>
          <w:b w:val="0"/>
          <w:noProof/>
          <w:sz w:val="14"/>
          <w:szCs w:val="14"/>
          <w:lang w:val="en-US"/>
        </w:rPr>
        <w:t>4</w:t>
      </w:r>
      <w:r>
        <w:rPr>
          <w:rFonts w:cs="Arial"/>
          <w:b w:val="0"/>
          <w:noProof/>
          <w:sz w:val="14"/>
          <w:szCs w:val="14"/>
        </w:rPr>
        <w:fldChar w:fldCharType="end"/>
      </w:r>
      <w:r w:rsidRPr="00272B21">
        <w:rPr>
          <w:b w:val="0"/>
          <w:sz w:val="14"/>
          <w:lang w:val="en-US"/>
        </w:rPr>
        <w:t xml:space="preserve"> –</w:t>
      </w:r>
      <w:r w:rsidRPr="00272B21">
        <w:rPr>
          <w:rFonts w:cs="Arial"/>
          <w:b w:val="0"/>
          <w:sz w:val="14"/>
          <w:lang w:val="en-US"/>
        </w:rPr>
        <w:t>Human Capital – In</w:t>
      </w:r>
      <w:r>
        <w:rPr>
          <w:rFonts w:cs="Arial"/>
          <w:b w:val="0"/>
          <w:sz w:val="14"/>
          <w:lang w:val="en-US"/>
        </w:rPr>
        <w:t>vestments</w:t>
      </w:r>
      <w:r w:rsidRPr="00272B21">
        <w:rPr>
          <w:rFonts w:cs="Arial"/>
          <w:b w:val="0"/>
          <w:sz w:val="14"/>
          <w:lang w:val="en-US"/>
        </w:rPr>
        <w:t xml:space="preserve"> (</w:t>
      </w:r>
      <w:r>
        <w:rPr>
          <w:rFonts w:cs="Arial"/>
          <w:b w:val="0"/>
          <w:sz w:val="14"/>
          <w:lang w:val="en-US"/>
        </w:rPr>
        <w:t>consolidated figure</w:t>
      </w:r>
      <w:r w:rsidRPr="00272B21">
        <w:rPr>
          <w:rFonts w:cs="Arial"/>
          <w:b w:val="0"/>
          <w:sz w:val="14"/>
          <w:lang w:val="en-US"/>
        </w:rPr>
        <w:t>)</w:t>
      </w:r>
    </w:p>
    <w:tbl>
      <w:tblPr>
        <w:tblStyle w:val="TabeladeLista6Colorida-nfase5"/>
        <w:tblW w:w="9639" w:type="dxa"/>
        <w:tblLook w:val="04A0" w:firstRow="1" w:lastRow="0" w:firstColumn="1" w:lastColumn="0" w:noHBand="0" w:noVBand="1"/>
      </w:tblPr>
      <w:tblGrid>
        <w:gridCol w:w="4063"/>
        <w:gridCol w:w="1859"/>
        <w:gridCol w:w="1859"/>
        <w:gridCol w:w="1858"/>
      </w:tblGrid>
      <w:tr w:rsidR="003C4F2E" w14:paraId="166058FD" w14:textId="77777777" w:rsidTr="00F341D0">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vAlign w:val="center"/>
          </w:tcPr>
          <w:p w14:paraId="63E98F1E" w14:textId="77777777" w:rsidR="003C4F2E" w:rsidRDefault="003C4F2E">
            <w:pPr>
              <w:pStyle w:val="08-Tabelageral"/>
              <w:jc w:val="left"/>
              <w:rPr>
                <w:rFonts w:cs="Arial"/>
                <w:lang w:eastAsia="en-US"/>
              </w:rPr>
            </w:pPr>
            <w:r>
              <w:rPr>
                <w:rFonts w:cs="Arial"/>
                <w:lang w:eastAsia="en-US"/>
              </w:rPr>
              <w:t xml:space="preserve">BRL </w:t>
            </w:r>
            <w:proofErr w:type="spellStart"/>
            <w:r>
              <w:rPr>
                <w:rFonts w:cs="Arial"/>
                <w:lang w:eastAsia="en-US"/>
              </w:rPr>
              <w:t>thousand</w:t>
            </w:r>
            <w:proofErr w:type="spellEnd"/>
          </w:p>
        </w:tc>
        <w:tc>
          <w:tcPr>
            <w:tcW w:w="5576" w:type="dxa"/>
            <w:gridSpan w:val="3"/>
            <w:tcBorders>
              <w:top w:val="single" w:sz="2" w:space="0" w:color="2F5496" w:themeColor="accent1" w:themeShade="BF"/>
              <w:left w:val="nil"/>
              <w:bottom w:val="nil"/>
              <w:right w:val="nil"/>
            </w:tcBorders>
            <w:shd w:val="clear" w:color="auto" w:fill="auto"/>
            <w:vAlign w:val="center"/>
            <w:hideMark/>
          </w:tcPr>
          <w:p w14:paraId="122451BC" w14:textId="77777777" w:rsidR="003C4F2E" w:rsidRDefault="003C4F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 xml:space="preserve">Annual </w:t>
            </w:r>
            <w:proofErr w:type="spellStart"/>
            <w:r>
              <w:rPr>
                <w:rFonts w:cs="Arial"/>
                <w:lang w:eastAsia="en-US"/>
              </w:rPr>
              <w:t>Amounts</w:t>
            </w:r>
            <w:proofErr w:type="spellEnd"/>
          </w:p>
        </w:tc>
      </w:tr>
      <w:tr w:rsidR="003C4F2E" w14:paraId="5A950A0F" w14:textId="77777777" w:rsidTr="00F341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tcPr>
          <w:p w14:paraId="0942A486" w14:textId="77777777" w:rsidR="003C4F2E" w:rsidRDefault="003C4F2E">
            <w:pPr>
              <w:pStyle w:val="08-Tabelageral"/>
              <w:jc w:val="left"/>
              <w:rPr>
                <w:rFonts w:cs="Arial"/>
                <w:bCs w:val="0"/>
                <w:szCs w:val="14"/>
                <w:lang w:eastAsia="en-US"/>
              </w:rPr>
            </w:pPr>
          </w:p>
        </w:tc>
        <w:tc>
          <w:tcPr>
            <w:tcW w:w="1859" w:type="dxa"/>
            <w:tcBorders>
              <w:top w:val="nil"/>
              <w:left w:val="nil"/>
              <w:bottom w:val="single" w:sz="2" w:space="0" w:color="2F5496" w:themeColor="accent1" w:themeShade="BF"/>
              <w:right w:val="nil"/>
            </w:tcBorders>
            <w:shd w:val="clear" w:color="auto" w:fill="auto"/>
            <w:vAlign w:val="center"/>
            <w:hideMark/>
          </w:tcPr>
          <w:p w14:paraId="5CAE6E83"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2023</w:t>
            </w:r>
          </w:p>
        </w:tc>
        <w:tc>
          <w:tcPr>
            <w:tcW w:w="1859" w:type="dxa"/>
            <w:tcBorders>
              <w:top w:val="nil"/>
              <w:left w:val="nil"/>
              <w:bottom w:val="single" w:sz="2" w:space="0" w:color="2F5496" w:themeColor="accent1" w:themeShade="BF"/>
              <w:right w:val="nil"/>
            </w:tcBorders>
            <w:shd w:val="clear" w:color="auto" w:fill="auto"/>
            <w:vAlign w:val="center"/>
            <w:hideMark/>
          </w:tcPr>
          <w:p w14:paraId="2AD27C85"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2022</w:t>
            </w:r>
          </w:p>
        </w:tc>
        <w:tc>
          <w:tcPr>
            <w:tcW w:w="1858" w:type="dxa"/>
            <w:tcBorders>
              <w:top w:val="nil"/>
              <w:left w:val="nil"/>
              <w:bottom w:val="single" w:sz="2" w:space="0" w:color="2F5496" w:themeColor="accent1" w:themeShade="BF"/>
              <w:right w:val="nil"/>
            </w:tcBorders>
            <w:shd w:val="clear" w:color="auto" w:fill="auto"/>
            <w:vAlign w:val="center"/>
            <w:hideMark/>
          </w:tcPr>
          <w:p w14:paraId="67FFC77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r>
      <w:tr w:rsidR="003C4F2E" w14:paraId="08446621" w14:textId="77777777" w:rsidTr="00F341D0">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hideMark/>
          </w:tcPr>
          <w:p w14:paraId="22AFC0C3" w14:textId="77777777" w:rsidR="003C4F2E" w:rsidRDefault="003C4F2E">
            <w:pPr>
              <w:pStyle w:val="08-Tabelageral"/>
              <w:jc w:val="left"/>
              <w:rPr>
                <w:rFonts w:cs="Arial"/>
                <w:snapToGrid w:val="0"/>
                <w:color w:val="000000"/>
                <w:lang w:eastAsia="en-US"/>
              </w:rPr>
            </w:pPr>
            <w:r w:rsidRPr="00494289">
              <w:t>People Investments</w:t>
            </w:r>
          </w:p>
        </w:tc>
        <w:tc>
          <w:tcPr>
            <w:tcW w:w="1859" w:type="dxa"/>
            <w:tcBorders>
              <w:top w:val="single" w:sz="2" w:space="0" w:color="2F5496" w:themeColor="accent1" w:themeShade="BF"/>
              <w:left w:val="nil"/>
              <w:bottom w:val="nil"/>
              <w:right w:val="nil"/>
            </w:tcBorders>
            <w:shd w:val="clear" w:color="auto" w:fill="auto"/>
            <w:hideMark/>
          </w:tcPr>
          <w:p w14:paraId="4B82AE1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b/>
                <w:bCs/>
                <w:color w:val="FF0000"/>
                <w:lang w:eastAsia="en-US"/>
              </w:rPr>
            </w:pPr>
            <w:r w:rsidRPr="00FF4BB9">
              <w:t xml:space="preserve"> 79,189 </w:t>
            </w:r>
          </w:p>
        </w:tc>
        <w:tc>
          <w:tcPr>
            <w:tcW w:w="1859" w:type="dxa"/>
            <w:tcBorders>
              <w:top w:val="single" w:sz="2" w:space="0" w:color="2F5496" w:themeColor="accent1" w:themeShade="BF"/>
              <w:left w:val="nil"/>
              <w:bottom w:val="nil"/>
              <w:right w:val="nil"/>
            </w:tcBorders>
            <w:shd w:val="clear" w:color="auto" w:fill="auto"/>
            <w:hideMark/>
          </w:tcPr>
          <w:p w14:paraId="6F5E6DFE"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FF4BB9">
              <w:t xml:space="preserve"> 69,511 </w:t>
            </w:r>
          </w:p>
        </w:tc>
        <w:tc>
          <w:tcPr>
            <w:tcW w:w="1858" w:type="dxa"/>
            <w:tcBorders>
              <w:top w:val="single" w:sz="2" w:space="0" w:color="2F5496" w:themeColor="accent1" w:themeShade="BF"/>
              <w:left w:val="nil"/>
              <w:bottom w:val="nil"/>
              <w:right w:val="nil"/>
            </w:tcBorders>
            <w:shd w:val="clear" w:color="auto" w:fill="auto"/>
            <w:hideMark/>
          </w:tcPr>
          <w:p w14:paraId="14AE92DA"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lang w:eastAsia="en-US"/>
              </w:rPr>
            </w:pPr>
            <w:r w:rsidRPr="00FF4BB9">
              <w:t xml:space="preserve"> 57,656 </w:t>
            </w:r>
          </w:p>
        </w:tc>
      </w:tr>
      <w:tr w:rsidR="003C4F2E" w14:paraId="74E2496B"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30EA48E"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Payroll¹</w:t>
            </w:r>
          </w:p>
        </w:tc>
        <w:tc>
          <w:tcPr>
            <w:tcW w:w="1859" w:type="dxa"/>
            <w:tcBorders>
              <w:top w:val="nil"/>
              <w:left w:val="nil"/>
              <w:bottom w:val="nil"/>
              <w:right w:val="nil"/>
            </w:tcBorders>
            <w:shd w:val="clear" w:color="auto" w:fill="auto"/>
            <w:hideMark/>
          </w:tcPr>
          <w:p w14:paraId="23CBA7A4"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FF4BB9">
              <w:t xml:space="preserve"> 70,970 </w:t>
            </w:r>
          </w:p>
        </w:tc>
        <w:tc>
          <w:tcPr>
            <w:tcW w:w="1859" w:type="dxa"/>
            <w:tcBorders>
              <w:top w:val="nil"/>
              <w:left w:val="nil"/>
              <w:bottom w:val="nil"/>
              <w:right w:val="nil"/>
            </w:tcBorders>
            <w:shd w:val="clear" w:color="auto" w:fill="auto"/>
            <w:hideMark/>
          </w:tcPr>
          <w:p w14:paraId="56EB0010"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62,130 </w:t>
            </w:r>
          </w:p>
        </w:tc>
        <w:tc>
          <w:tcPr>
            <w:tcW w:w="1858" w:type="dxa"/>
            <w:tcBorders>
              <w:top w:val="nil"/>
              <w:left w:val="nil"/>
              <w:bottom w:val="nil"/>
              <w:right w:val="nil"/>
            </w:tcBorders>
            <w:shd w:val="clear" w:color="auto" w:fill="auto"/>
            <w:hideMark/>
          </w:tcPr>
          <w:p w14:paraId="106E5C94"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51,887 </w:t>
            </w:r>
          </w:p>
        </w:tc>
      </w:tr>
      <w:tr w:rsidR="003C4F2E" w14:paraId="18A7FB6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28277BCB" w14:textId="77777777" w:rsidR="003C4F2E" w:rsidRPr="00EF2505" w:rsidRDefault="003C4F2E">
            <w:pPr>
              <w:pStyle w:val="08-Tabelageral"/>
              <w:ind w:left="113"/>
              <w:jc w:val="left"/>
              <w:rPr>
                <w:rFonts w:cs="Arial"/>
                <w:b w:val="0"/>
                <w:bCs w:val="0"/>
                <w:snapToGrid w:val="0"/>
                <w:color w:val="000000"/>
                <w:lang w:eastAsia="en-US"/>
              </w:rPr>
            </w:pPr>
            <w:proofErr w:type="spellStart"/>
            <w:r w:rsidRPr="00EF2505">
              <w:rPr>
                <w:b w:val="0"/>
                <w:bCs w:val="0"/>
              </w:rPr>
              <w:t>Pension</w:t>
            </w:r>
            <w:proofErr w:type="spellEnd"/>
            <w:r w:rsidRPr="00EF2505">
              <w:rPr>
                <w:b w:val="0"/>
                <w:bCs w:val="0"/>
              </w:rPr>
              <w:t xml:space="preserve"> </w:t>
            </w:r>
            <w:proofErr w:type="spellStart"/>
            <w:r w:rsidRPr="00EF2505">
              <w:rPr>
                <w:b w:val="0"/>
                <w:bCs w:val="0"/>
              </w:rPr>
              <w:t>plans</w:t>
            </w:r>
            <w:proofErr w:type="spellEnd"/>
          </w:p>
        </w:tc>
        <w:tc>
          <w:tcPr>
            <w:tcW w:w="1859" w:type="dxa"/>
            <w:tcBorders>
              <w:top w:val="nil"/>
              <w:left w:val="nil"/>
              <w:bottom w:val="nil"/>
              <w:right w:val="nil"/>
            </w:tcBorders>
            <w:shd w:val="clear" w:color="auto" w:fill="auto"/>
            <w:hideMark/>
          </w:tcPr>
          <w:p w14:paraId="0DC4E035"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color w:val="FF0000"/>
                <w:lang w:eastAsia="en-US"/>
              </w:rPr>
            </w:pPr>
            <w:r w:rsidRPr="00FF4BB9">
              <w:t xml:space="preserve"> 4,372 </w:t>
            </w:r>
          </w:p>
        </w:tc>
        <w:tc>
          <w:tcPr>
            <w:tcW w:w="1859" w:type="dxa"/>
            <w:tcBorders>
              <w:top w:val="nil"/>
              <w:left w:val="nil"/>
              <w:bottom w:val="nil"/>
              <w:right w:val="nil"/>
            </w:tcBorders>
            <w:shd w:val="clear" w:color="auto" w:fill="auto"/>
            <w:hideMark/>
          </w:tcPr>
          <w:p w14:paraId="54DA1357"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3,725 </w:t>
            </w:r>
          </w:p>
        </w:tc>
        <w:tc>
          <w:tcPr>
            <w:tcW w:w="1858" w:type="dxa"/>
            <w:tcBorders>
              <w:top w:val="nil"/>
              <w:left w:val="nil"/>
              <w:bottom w:val="nil"/>
              <w:right w:val="nil"/>
            </w:tcBorders>
            <w:shd w:val="clear" w:color="auto" w:fill="auto"/>
            <w:hideMark/>
          </w:tcPr>
          <w:p w14:paraId="4D24D263"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2,985 </w:t>
            </w:r>
          </w:p>
        </w:tc>
      </w:tr>
      <w:tr w:rsidR="003C4F2E" w14:paraId="7145D188" w14:textId="77777777" w:rsidTr="00F341D0">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F6382CA"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 xml:space="preserve">Health </w:t>
            </w:r>
            <w:proofErr w:type="spellStart"/>
            <w:r w:rsidRPr="00EF2505">
              <w:rPr>
                <w:b w:val="0"/>
                <w:bCs w:val="0"/>
              </w:rPr>
              <w:t>plans</w:t>
            </w:r>
            <w:proofErr w:type="spellEnd"/>
          </w:p>
        </w:tc>
        <w:tc>
          <w:tcPr>
            <w:tcW w:w="1859" w:type="dxa"/>
            <w:tcBorders>
              <w:top w:val="nil"/>
              <w:left w:val="nil"/>
              <w:bottom w:val="nil"/>
              <w:right w:val="nil"/>
            </w:tcBorders>
            <w:shd w:val="clear" w:color="auto" w:fill="auto"/>
            <w:hideMark/>
          </w:tcPr>
          <w:p w14:paraId="279D7552"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FF4BB9">
              <w:t xml:space="preserve"> 3,075 </w:t>
            </w:r>
          </w:p>
        </w:tc>
        <w:tc>
          <w:tcPr>
            <w:tcW w:w="1859" w:type="dxa"/>
            <w:tcBorders>
              <w:top w:val="nil"/>
              <w:left w:val="nil"/>
              <w:bottom w:val="nil"/>
              <w:right w:val="nil"/>
            </w:tcBorders>
            <w:shd w:val="clear" w:color="auto" w:fill="auto"/>
            <w:hideMark/>
          </w:tcPr>
          <w:p w14:paraId="5EAAA108"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2,631 </w:t>
            </w:r>
          </w:p>
        </w:tc>
        <w:tc>
          <w:tcPr>
            <w:tcW w:w="1858" w:type="dxa"/>
            <w:tcBorders>
              <w:top w:val="nil"/>
              <w:left w:val="nil"/>
              <w:bottom w:val="nil"/>
              <w:right w:val="nil"/>
            </w:tcBorders>
            <w:shd w:val="clear" w:color="auto" w:fill="auto"/>
            <w:hideMark/>
          </w:tcPr>
          <w:p w14:paraId="52F08C5E" w14:textId="77777777" w:rsidR="003C4F2E" w:rsidRPr="00DC06BA" w:rsidRDefault="003C4F2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FF4BB9">
              <w:t xml:space="preserve"> 2,128 </w:t>
            </w:r>
          </w:p>
        </w:tc>
      </w:tr>
      <w:tr w:rsidR="003C4F2E" w14:paraId="4D4CF14E" w14:textId="77777777" w:rsidTr="00F341D0">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hideMark/>
          </w:tcPr>
          <w:p w14:paraId="1E843104" w14:textId="77777777" w:rsidR="003C4F2E" w:rsidRPr="00EF2505" w:rsidRDefault="003C4F2E">
            <w:pPr>
              <w:pStyle w:val="08-Tabelageral"/>
              <w:ind w:left="113"/>
              <w:jc w:val="left"/>
              <w:rPr>
                <w:rFonts w:cs="Arial"/>
                <w:b w:val="0"/>
                <w:bCs w:val="0"/>
                <w:snapToGrid w:val="0"/>
                <w:color w:val="000000"/>
                <w:lang w:eastAsia="en-US"/>
              </w:rPr>
            </w:pPr>
            <w:r w:rsidRPr="00EF2505">
              <w:rPr>
                <w:b w:val="0"/>
                <w:bCs w:val="0"/>
              </w:rPr>
              <w:t>Training²</w:t>
            </w:r>
          </w:p>
        </w:tc>
        <w:tc>
          <w:tcPr>
            <w:tcW w:w="1859" w:type="dxa"/>
            <w:tcBorders>
              <w:top w:val="nil"/>
              <w:left w:val="nil"/>
              <w:bottom w:val="single" w:sz="2" w:space="0" w:color="2F5496" w:themeColor="accent1" w:themeShade="BF"/>
              <w:right w:val="nil"/>
            </w:tcBorders>
            <w:shd w:val="clear" w:color="auto" w:fill="auto"/>
            <w:hideMark/>
          </w:tcPr>
          <w:p w14:paraId="50591B6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color w:val="FF0000"/>
                <w:lang w:eastAsia="en-US"/>
              </w:rPr>
            </w:pPr>
            <w:r w:rsidRPr="00FF4BB9">
              <w:t xml:space="preserve"> 772 </w:t>
            </w:r>
          </w:p>
        </w:tc>
        <w:tc>
          <w:tcPr>
            <w:tcW w:w="1859" w:type="dxa"/>
            <w:tcBorders>
              <w:top w:val="nil"/>
              <w:left w:val="nil"/>
              <w:bottom w:val="single" w:sz="2" w:space="0" w:color="2F5496" w:themeColor="accent1" w:themeShade="BF"/>
              <w:right w:val="nil"/>
            </w:tcBorders>
            <w:shd w:val="clear" w:color="auto" w:fill="auto"/>
            <w:hideMark/>
          </w:tcPr>
          <w:p w14:paraId="057E0E8D"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1,025 </w:t>
            </w:r>
          </w:p>
        </w:tc>
        <w:tc>
          <w:tcPr>
            <w:tcW w:w="1858" w:type="dxa"/>
            <w:tcBorders>
              <w:top w:val="nil"/>
              <w:left w:val="nil"/>
              <w:bottom w:val="single" w:sz="2" w:space="0" w:color="2F5496" w:themeColor="accent1" w:themeShade="BF"/>
              <w:right w:val="nil"/>
            </w:tcBorders>
            <w:shd w:val="clear" w:color="auto" w:fill="auto"/>
            <w:hideMark/>
          </w:tcPr>
          <w:p w14:paraId="5000E48E" w14:textId="77777777" w:rsidR="003C4F2E" w:rsidRPr="00DC06BA"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color w:val="auto"/>
                <w:szCs w:val="14"/>
                <w:lang w:eastAsia="en-US"/>
              </w:rPr>
            </w:pPr>
            <w:r w:rsidRPr="00FF4BB9">
              <w:t xml:space="preserve"> 656 </w:t>
            </w:r>
          </w:p>
        </w:tc>
      </w:tr>
    </w:tbl>
    <w:bookmarkEnd w:id="11"/>
    <w:p w14:paraId="1BD20F63" w14:textId="77777777" w:rsidR="003C4F2E" w:rsidRPr="00B14338" w:rsidRDefault="003C4F2E" w:rsidP="00184069">
      <w:pPr>
        <w:pStyle w:val="07-Legenda"/>
        <w:numPr>
          <w:ilvl w:val="0"/>
          <w:numId w:val="63"/>
        </w:numPr>
        <w:tabs>
          <w:tab w:val="left" w:pos="142"/>
        </w:tabs>
        <w:ind w:left="0" w:firstLine="0"/>
        <w:rPr>
          <w:rFonts w:cs="Arial"/>
          <w:color w:val="000000"/>
          <w:lang w:val="en-US"/>
        </w:rPr>
      </w:pPr>
      <w:r w:rsidRPr="00B14338">
        <w:rPr>
          <w:rFonts w:cs="Arial"/>
          <w:color w:val="000000"/>
          <w:lang w:val="en-US"/>
        </w:rPr>
        <w:t xml:space="preserve">Includes salaries, </w:t>
      </w:r>
      <w:proofErr w:type="gramStart"/>
      <w:r w:rsidRPr="00B14338">
        <w:rPr>
          <w:rFonts w:cs="Arial"/>
          <w:color w:val="000000"/>
          <w:lang w:val="en-US"/>
        </w:rPr>
        <w:t>benefits</w:t>
      </w:r>
      <w:proofErr w:type="gramEnd"/>
      <w:r w:rsidRPr="00B14338">
        <w:rPr>
          <w:rFonts w:cs="Arial"/>
          <w:color w:val="000000"/>
          <w:lang w:val="en-US"/>
        </w:rPr>
        <w:t xml:space="preserve"> and taxes.</w:t>
      </w:r>
    </w:p>
    <w:p w14:paraId="64A4F878" w14:textId="77777777" w:rsidR="003C4F2E" w:rsidRPr="00B14338" w:rsidRDefault="003C4F2E" w:rsidP="00184069">
      <w:pPr>
        <w:pStyle w:val="07-Legenda"/>
        <w:numPr>
          <w:ilvl w:val="0"/>
          <w:numId w:val="63"/>
        </w:numPr>
        <w:tabs>
          <w:tab w:val="left" w:pos="142"/>
        </w:tabs>
        <w:ind w:left="0" w:firstLine="0"/>
        <w:rPr>
          <w:rFonts w:cs="Arial"/>
          <w:color w:val="000000"/>
          <w:lang w:val="en-US"/>
        </w:rPr>
      </w:pPr>
      <w:r w:rsidRPr="00B14338">
        <w:rPr>
          <w:rFonts w:cs="Arial"/>
          <w:color w:val="000000"/>
          <w:lang w:val="en-US"/>
        </w:rPr>
        <w:t>From 2022, the values related to transportation for training initiatives were include in Training expenses. Thus, the values for 2021 are different from those presented before to keep the comparability with 2022 and 2023.</w:t>
      </w:r>
    </w:p>
    <w:p w14:paraId="27DCF394" w14:textId="77777777" w:rsidR="003C4F2E" w:rsidRPr="00B14338" w:rsidRDefault="003C4F2E" w:rsidP="003C4F2E">
      <w:pPr>
        <w:jc w:val="both"/>
        <w:rPr>
          <w:rFonts w:cs="Arial"/>
          <w:szCs w:val="18"/>
          <w:lang w:val="en-US"/>
        </w:rPr>
      </w:pPr>
    </w:p>
    <w:p w14:paraId="62794264" w14:textId="77777777" w:rsidR="003C4F2E" w:rsidRPr="00A150AB" w:rsidRDefault="003C4F2E" w:rsidP="003C4F2E">
      <w:pPr>
        <w:pStyle w:val="01-Textonormal"/>
        <w:rPr>
          <w:rFonts w:cs="Arial"/>
          <w:b/>
          <w:u w:val="single"/>
          <w:lang w:val="en-US"/>
        </w:rPr>
      </w:pPr>
      <w:r w:rsidRPr="00A150AB">
        <w:rPr>
          <w:rFonts w:cs="Arial"/>
          <w:u w:val="single"/>
          <w:lang w:val="en-US"/>
        </w:rPr>
        <w:t>Diversity</w:t>
      </w:r>
    </w:p>
    <w:p w14:paraId="60F4D70F"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 xml:space="preserve">BB </w:t>
      </w:r>
      <w:proofErr w:type="spellStart"/>
      <w:r w:rsidRPr="00A150AB">
        <w:rPr>
          <w:rFonts w:eastAsiaTheme="minorHAnsi" w:cs="Arial"/>
          <w:b w:val="0"/>
          <w:color w:val="000000"/>
          <w:spacing w:val="0"/>
          <w:sz w:val="18"/>
          <w:szCs w:val="18"/>
          <w:lang w:val="en-US" w:eastAsia="en-US"/>
        </w:rPr>
        <w:t>Seguridade</w:t>
      </w:r>
      <w:proofErr w:type="spellEnd"/>
      <w:r w:rsidRPr="00A150AB">
        <w:rPr>
          <w:rFonts w:eastAsiaTheme="minorHAnsi" w:cs="Arial"/>
          <w:b w:val="0"/>
          <w:color w:val="000000"/>
          <w:spacing w:val="0"/>
          <w:sz w:val="18"/>
          <w:szCs w:val="18"/>
          <w:lang w:val="en-US" w:eastAsia="en-US"/>
        </w:rPr>
        <w:t xml:space="preserve"> held the 2nd edition of the Mais Cor Program with the motto "Diversity that supports sustainable growth", continuing the actions that address the </w:t>
      </w:r>
      <w:proofErr w:type="gramStart"/>
      <w:r w:rsidRPr="00A150AB">
        <w:rPr>
          <w:rFonts w:eastAsiaTheme="minorHAnsi" w:cs="Arial"/>
          <w:b w:val="0"/>
          <w:color w:val="000000"/>
          <w:spacing w:val="0"/>
          <w:sz w:val="18"/>
          <w:szCs w:val="18"/>
          <w:lang w:val="en-US" w:eastAsia="en-US"/>
        </w:rPr>
        <w:t>Social</w:t>
      </w:r>
      <w:proofErr w:type="gramEnd"/>
      <w:r w:rsidRPr="00A150AB">
        <w:rPr>
          <w:rFonts w:eastAsiaTheme="minorHAnsi" w:cs="Arial"/>
          <w:b w:val="0"/>
          <w:color w:val="000000"/>
          <w:spacing w:val="0"/>
          <w:sz w:val="18"/>
          <w:szCs w:val="18"/>
          <w:lang w:val="en-US" w:eastAsia="en-US"/>
        </w:rPr>
        <w:t xml:space="preserve"> pillar of the ESG aspects. The Program has a flexible format, allowing for different editions each year, with specific topics and formats, according to the needs and possibilities of the cycle.</w:t>
      </w:r>
    </w:p>
    <w:p w14:paraId="2BEB4766"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In this 2nd edition, the actions were based on 3 pillars: 1. Listening and Diagnosing; 2. Aligning and Doing; and 3. Raising Literacy and Awareness.</w:t>
      </w:r>
    </w:p>
    <w:p w14:paraId="7C1ECB93" w14:textId="77777777" w:rsidR="003C4F2E" w:rsidRPr="00A150AB" w:rsidRDefault="003C4F2E" w:rsidP="003C4F2E">
      <w:pPr>
        <w:pStyle w:val="03-SubttulodeNota"/>
        <w:spacing w:line="276" w:lineRule="auto"/>
        <w:rPr>
          <w:rFonts w:eastAsiaTheme="minorHAnsi" w:cs="Arial"/>
          <w:b w:val="0"/>
          <w:color w:val="000000"/>
          <w:spacing w:val="0"/>
          <w:sz w:val="18"/>
          <w:szCs w:val="18"/>
          <w:lang w:val="en-US" w:eastAsia="en-US"/>
        </w:rPr>
      </w:pPr>
      <w:r w:rsidRPr="00A150AB">
        <w:rPr>
          <w:rFonts w:eastAsiaTheme="minorHAnsi" w:cs="Arial"/>
          <w:b w:val="0"/>
          <w:color w:val="000000"/>
          <w:spacing w:val="0"/>
          <w:sz w:val="18"/>
          <w:szCs w:val="18"/>
          <w:lang w:val="en-US" w:eastAsia="en-US"/>
        </w:rPr>
        <w:t xml:space="preserve">In the Listening and Diagnosing pillar, it was carried out the Diversity Census, with 76% participation. As for the Aligning and Doing pillar, BB </w:t>
      </w:r>
      <w:proofErr w:type="spellStart"/>
      <w:r w:rsidRPr="00A150AB">
        <w:rPr>
          <w:rFonts w:eastAsiaTheme="minorHAnsi" w:cs="Arial"/>
          <w:b w:val="0"/>
          <w:color w:val="000000"/>
          <w:spacing w:val="0"/>
          <w:sz w:val="18"/>
          <w:szCs w:val="18"/>
          <w:lang w:val="en-US" w:eastAsia="en-US"/>
        </w:rPr>
        <w:t>Seguridade</w:t>
      </w:r>
      <w:proofErr w:type="spellEnd"/>
      <w:r w:rsidRPr="00A150AB">
        <w:rPr>
          <w:rFonts w:eastAsiaTheme="minorHAnsi" w:cs="Arial"/>
          <w:b w:val="0"/>
          <w:color w:val="000000"/>
          <w:spacing w:val="0"/>
          <w:sz w:val="18"/>
          <w:szCs w:val="18"/>
          <w:lang w:val="en-US" w:eastAsia="en-US"/>
        </w:rPr>
        <w:t xml:space="preserve"> held Forums with its investees to share experiences, good </w:t>
      </w:r>
      <w:proofErr w:type="gramStart"/>
      <w:r w:rsidRPr="00A150AB">
        <w:rPr>
          <w:rFonts w:eastAsiaTheme="minorHAnsi" w:cs="Arial"/>
          <w:b w:val="0"/>
          <w:color w:val="000000"/>
          <w:spacing w:val="0"/>
          <w:sz w:val="18"/>
          <w:szCs w:val="18"/>
          <w:lang w:val="en-US" w:eastAsia="en-US"/>
        </w:rPr>
        <w:t>practices</w:t>
      </w:r>
      <w:proofErr w:type="gramEnd"/>
      <w:r w:rsidRPr="00A150AB">
        <w:rPr>
          <w:rFonts w:eastAsiaTheme="minorHAnsi" w:cs="Arial"/>
          <w:b w:val="0"/>
          <w:color w:val="000000"/>
          <w:spacing w:val="0"/>
          <w:sz w:val="18"/>
          <w:szCs w:val="18"/>
          <w:lang w:val="en-US" w:eastAsia="en-US"/>
        </w:rPr>
        <w:t xml:space="preserve"> and proposals for improvement actions. The Diversity working group, self-organized by the employees, was also set up with the aim of bringing the issue closer together, analyzing and discussing it within the Company. As part of the Raising Literacy and Awareness pillar, the self-organized working group of employees promoted various literacy and awareness raising actions such as: Women's Day; International LGBTQIAPN+ Pride Day; PWD Workshop; and Black Consciousness Day. </w:t>
      </w:r>
      <w:proofErr w:type="gramStart"/>
      <w:r w:rsidRPr="00A150AB">
        <w:rPr>
          <w:rFonts w:eastAsiaTheme="minorHAnsi" w:cs="Arial"/>
          <w:b w:val="0"/>
          <w:color w:val="000000"/>
          <w:spacing w:val="0"/>
          <w:sz w:val="18"/>
          <w:szCs w:val="18"/>
          <w:lang w:val="en-US" w:eastAsia="en-US"/>
        </w:rPr>
        <w:t>Also</w:t>
      </w:r>
      <w:proofErr w:type="gramEnd"/>
      <w:r w:rsidRPr="00A150AB">
        <w:rPr>
          <w:rFonts w:eastAsiaTheme="minorHAnsi" w:cs="Arial"/>
          <w:b w:val="0"/>
          <w:color w:val="000000"/>
          <w:spacing w:val="0"/>
          <w:sz w:val="18"/>
          <w:szCs w:val="18"/>
          <w:lang w:val="en-US" w:eastAsia="en-US"/>
        </w:rPr>
        <w:t xml:space="preserve"> within this pillar, there was the 2nd edition of Women's Career Management, aimed at optimizing the use of the intellectual capital of female talents, the possibility of mutual exchanges, and the engagement of BB </w:t>
      </w:r>
      <w:proofErr w:type="spellStart"/>
      <w:r w:rsidRPr="00A150AB">
        <w:rPr>
          <w:rFonts w:eastAsiaTheme="minorHAnsi" w:cs="Arial"/>
          <w:b w:val="0"/>
          <w:color w:val="000000"/>
          <w:spacing w:val="0"/>
          <w:sz w:val="18"/>
          <w:szCs w:val="18"/>
          <w:lang w:val="en-US" w:eastAsia="en-US"/>
        </w:rPr>
        <w:t>Seguridade's</w:t>
      </w:r>
      <w:proofErr w:type="spellEnd"/>
      <w:r w:rsidRPr="00A150AB">
        <w:rPr>
          <w:rFonts w:eastAsiaTheme="minorHAnsi" w:cs="Arial"/>
          <w:b w:val="0"/>
          <w:color w:val="000000"/>
          <w:spacing w:val="0"/>
          <w:sz w:val="18"/>
          <w:szCs w:val="18"/>
          <w:lang w:val="en-US" w:eastAsia="en-US"/>
        </w:rPr>
        <w:t xml:space="preserve"> female employees. </w:t>
      </w:r>
    </w:p>
    <w:p w14:paraId="4474B718" w14:textId="77777777" w:rsidR="003C4F2E" w:rsidRPr="00A150AB" w:rsidRDefault="003C4F2E" w:rsidP="003C4F2E">
      <w:pPr>
        <w:pStyle w:val="03-SubttulodeNota"/>
        <w:rPr>
          <w:rFonts w:cs="Arial"/>
          <w:color w:val="000000"/>
          <w:sz w:val="18"/>
          <w:szCs w:val="18"/>
          <w:lang w:val="en-US"/>
        </w:rPr>
      </w:pPr>
      <w:r w:rsidRPr="00A150AB">
        <w:rPr>
          <w:rFonts w:cs="Arial"/>
          <w:b w:val="0"/>
          <w:color w:val="000000"/>
          <w:sz w:val="18"/>
          <w:szCs w:val="18"/>
          <w:lang w:val="en-US"/>
        </w:rPr>
        <w:t xml:space="preserve">In terms of female leadership, in 2023, there was a </w:t>
      </w:r>
      <w:r w:rsidRPr="00A150AB">
        <w:rPr>
          <w:rFonts w:cs="Arial"/>
          <w:b w:val="0"/>
          <w:sz w:val="18"/>
          <w:szCs w:val="18"/>
          <w:lang w:val="en-US"/>
        </w:rPr>
        <w:t>28%</w:t>
      </w:r>
      <w:r w:rsidRPr="00A150AB">
        <w:rPr>
          <w:rFonts w:cs="Arial"/>
          <w:b w:val="0"/>
          <w:color w:val="000000"/>
          <w:sz w:val="18"/>
          <w:szCs w:val="18"/>
          <w:lang w:val="en-US"/>
        </w:rPr>
        <w:t xml:space="preserve"> increase in the number of female managers in the Company compared to the previous year.</w:t>
      </w:r>
    </w:p>
    <w:p w14:paraId="4CA0F4C0"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Regarding the promotion of equal rights and fair treatment for the LGBTQIAPN+ public, the following practices are noteworthy: (</w:t>
      </w:r>
      <w:proofErr w:type="spellStart"/>
      <w:r w:rsidRPr="00A150AB">
        <w:rPr>
          <w:rFonts w:ascii="Arial" w:hAnsi="Arial" w:cs="Arial"/>
          <w:color w:val="000000"/>
          <w:sz w:val="18"/>
          <w:szCs w:val="18"/>
          <w:lang w:val="en-US"/>
        </w:rPr>
        <w:t>i</w:t>
      </w:r>
      <w:proofErr w:type="spellEnd"/>
      <w:r w:rsidRPr="00A150AB">
        <w:rPr>
          <w:rFonts w:ascii="Arial" w:hAnsi="Arial" w:cs="Arial"/>
          <w:color w:val="000000"/>
          <w:sz w:val="18"/>
          <w:szCs w:val="18"/>
          <w:lang w:val="en-US"/>
        </w:rPr>
        <w:t xml:space="preserve">) the possibility of using the social name on the badge, business card, stamps, and email for trans and cross-dressing people; (ii) use of bathroom according to the employee's gender identity; (iii) simplification of procedures for the inclusion of dependents by same-sex union; and (iv) maternity leave for one of the spouses of parents of children generated by a surrogate. </w:t>
      </w:r>
    </w:p>
    <w:p w14:paraId="55DA4C34"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The inclusion of people with disabilities in 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xml:space="preserve"> is also part of a set of actions aimed at promoting equal rights and citizenship. In this sense, BB promotes the adequacy of physical work environments and guidance of conduct for the reception of employees with disabilities.</w:t>
      </w:r>
    </w:p>
    <w:p w14:paraId="32AA5AA8"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In line with all the </w:t>
      </w:r>
      <w:proofErr w:type="gramStart"/>
      <w:r w:rsidRPr="00A150AB">
        <w:rPr>
          <w:rFonts w:ascii="Arial" w:hAnsi="Arial" w:cs="Arial"/>
          <w:color w:val="000000"/>
          <w:sz w:val="18"/>
          <w:szCs w:val="18"/>
          <w:lang w:val="en-US"/>
        </w:rPr>
        <w:t>aforementioned actions</w:t>
      </w:r>
      <w:proofErr w:type="gramEnd"/>
      <w:r w:rsidRPr="00A150AB">
        <w:rPr>
          <w:rFonts w:ascii="Arial" w:hAnsi="Arial" w:cs="Arial"/>
          <w:color w:val="000000"/>
          <w:sz w:val="18"/>
          <w:szCs w:val="18"/>
          <w:lang w:val="en-US"/>
        </w:rPr>
        <w:t xml:space="preserve">, 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in its policies, practices and culture, values the maintenance of demographic and thought diversity. Table 5 summarizes the diversity information:</w:t>
      </w:r>
    </w:p>
    <w:p w14:paraId="4C64AADC" w14:textId="77777777" w:rsidR="003C4F2E" w:rsidRDefault="003C4F2E" w:rsidP="003C4F2E">
      <w:pPr>
        <w:pStyle w:val="01-Textonormal"/>
        <w:rPr>
          <w:u w:val="single"/>
          <w:lang w:val="en-US"/>
        </w:rPr>
      </w:pPr>
    </w:p>
    <w:p w14:paraId="4CFB8CDE" w14:textId="29A37F4E" w:rsidR="003C4F2E" w:rsidRDefault="003C4F2E" w:rsidP="003C4F2E">
      <w:pPr>
        <w:rPr>
          <w:rFonts w:cs="Arial"/>
          <w:sz w:val="14"/>
        </w:rPr>
      </w:pPr>
      <w:proofErr w:type="spellStart"/>
      <w:r>
        <w:rPr>
          <w:rFonts w:cs="Arial"/>
          <w:sz w:val="14"/>
          <w:szCs w:val="14"/>
        </w:rPr>
        <w:t>Table</w:t>
      </w:r>
      <w:proofErr w:type="spellEnd"/>
      <w:r w:rsidRPr="00F761F3">
        <w:rPr>
          <w:rFonts w:cs="Arial"/>
          <w:sz w:val="14"/>
          <w:szCs w:val="14"/>
        </w:rPr>
        <w:t xml:space="preserve"> </w:t>
      </w:r>
      <w:r w:rsidRPr="00F761F3">
        <w:rPr>
          <w:rFonts w:cs="Arial"/>
          <w:sz w:val="14"/>
          <w:szCs w:val="14"/>
        </w:rPr>
        <w:fldChar w:fldCharType="begin"/>
      </w:r>
      <w:r w:rsidRPr="00F761F3">
        <w:rPr>
          <w:rFonts w:cs="Arial"/>
          <w:sz w:val="14"/>
          <w:szCs w:val="14"/>
        </w:rPr>
        <w:instrText xml:space="preserve"> SEQ Tabela \* ARABIC </w:instrText>
      </w:r>
      <w:r w:rsidRPr="00F761F3">
        <w:rPr>
          <w:rFonts w:cs="Arial"/>
          <w:sz w:val="14"/>
          <w:szCs w:val="14"/>
        </w:rPr>
        <w:fldChar w:fldCharType="separate"/>
      </w:r>
      <w:r w:rsidR="001125FF">
        <w:rPr>
          <w:rFonts w:cs="Arial"/>
          <w:noProof/>
          <w:sz w:val="14"/>
          <w:szCs w:val="14"/>
        </w:rPr>
        <w:t>5</w:t>
      </w:r>
      <w:r w:rsidRPr="00F761F3">
        <w:rPr>
          <w:rFonts w:cs="Arial"/>
          <w:noProof/>
          <w:sz w:val="14"/>
          <w:szCs w:val="14"/>
        </w:rPr>
        <w:fldChar w:fldCharType="end"/>
      </w:r>
      <w:r>
        <w:rPr>
          <w:sz w:val="14"/>
        </w:rPr>
        <w:t xml:space="preserve"> –</w:t>
      </w:r>
      <w:proofErr w:type="spellStart"/>
      <w:r>
        <w:rPr>
          <w:rFonts w:cs="Arial"/>
          <w:sz w:val="14"/>
        </w:rPr>
        <w:t>Human</w:t>
      </w:r>
      <w:proofErr w:type="spellEnd"/>
      <w:r>
        <w:rPr>
          <w:rFonts w:cs="Arial"/>
          <w:sz w:val="14"/>
        </w:rPr>
        <w:t xml:space="preserve"> Capital – </w:t>
      </w:r>
      <w:proofErr w:type="spellStart"/>
      <w:r>
        <w:rPr>
          <w:rFonts w:cs="Arial"/>
          <w:sz w:val="14"/>
        </w:rPr>
        <w:t>Breakdown</w:t>
      </w:r>
      <w:proofErr w:type="spellEnd"/>
    </w:p>
    <w:tbl>
      <w:tblPr>
        <w:tblStyle w:val="TabeladeLista6Colorida-nfase5"/>
        <w:tblW w:w="9639" w:type="dxa"/>
        <w:tblLook w:val="04A0" w:firstRow="1" w:lastRow="0" w:firstColumn="1" w:lastColumn="0" w:noHBand="0" w:noVBand="1"/>
      </w:tblPr>
      <w:tblGrid>
        <w:gridCol w:w="4063"/>
        <w:gridCol w:w="1859"/>
        <w:gridCol w:w="1859"/>
        <w:gridCol w:w="1858"/>
      </w:tblGrid>
      <w:tr w:rsidR="003C4F2E" w14:paraId="20D3A3C2" w14:textId="77777777" w:rsidTr="00A150A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vAlign w:val="center"/>
          </w:tcPr>
          <w:p w14:paraId="6957FD68" w14:textId="77777777" w:rsidR="003C4F2E" w:rsidRDefault="003C4F2E">
            <w:pPr>
              <w:pStyle w:val="08-Tabelageral"/>
              <w:jc w:val="left"/>
              <w:rPr>
                <w:rFonts w:cs="Arial"/>
                <w:lang w:eastAsia="en-US"/>
              </w:rPr>
            </w:pPr>
          </w:p>
        </w:tc>
        <w:tc>
          <w:tcPr>
            <w:tcW w:w="5576" w:type="dxa"/>
            <w:gridSpan w:val="3"/>
            <w:tcBorders>
              <w:top w:val="single" w:sz="2" w:space="0" w:color="2F5496" w:themeColor="accent1" w:themeShade="BF"/>
              <w:left w:val="nil"/>
              <w:bottom w:val="nil"/>
              <w:right w:val="nil"/>
            </w:tcBorders>
            <w:shd w:val="clear" w:color="auto" w:fill="auto"/>
            <w:vAlign w:val="center"/>
            <w:hideMark/>
          </w:tcPr>
          <w:p w14:paraId="6FA17A09" w14:textId="77777777" w:rsidR="003C4F2E" w:rsidRDefault="003C4F2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Year-</w:t>
            </w:r>
            <w:proofErr w:type="spellStart"/>
            <w:r>
              <w:rPr>
                <w:rFonts w:cs="Arial"/>
                <w:lang w:eastAsia="en-US"/>
              </w:rPr>
              <w:t>end</w:t>
            </w:r>
            <w:proofErr w:type="spellEnd"/>
            <w:r>
              <w:rPr>
                <w:rFonts w:cs="Arial"/>
                <w:lang w:eastAsia="en-US"/>
              </w:rPr>
              <w:t xml:space="preserve"> </w:t>
            </w:r>
            <w:proofErr w:type="spellStart"/>
            <w:r>
              <w:rPr>
                <w:rFonts w:cs="Arial"/>
                <w:lang w:eastAsia="en-US"/>
              </w:rPr>
              <w:t>Information</w:t>
            </w:r>
            <w:proofErr w:type="spellEnd"/>
          </w:p>
        </w:tc>
      </w:tr>
      <w:tr w:rsidR="003C4F2E" w14:paraId="33E47871" w14:textId="77777777" w:rsidTr="00A150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tcPr>
          <w:p w14:paraId="723DFFF2" w14:textId="77777777" w:rsidR="003C4F2E" w:rsidRDefault="003C4F2E">
            <w:pPr>
              <w:pStyle w:val="08-Tabelageral"/>
              <w:jc w:val="left"/>
              <w:rPr>
                <w:rFonts w:cs="Arial"/>
                <w:bCs w:val="0"/>
                <w:szCs w:val="14"/>
                <w:lang w:eastAsia="en-US"/>
              </w:rPr>
            </w:pPr>
          </w:p>
        </w:tc>
        <w:tc>
          <w:tcPr>
            <w:tcW w:w="1859" w:type="dxa"/>
            <w:tcBorders>
              <w:top w:val="nil"/>
              <w:left w:val="nil"/>
              <w:bottom w:val="single" w:sz="2" w:space="0" w:color="2F5496" w:themeColor="accent1" w:themeShade="BF"/>
              <w:right w:val="nil"/>
            </w:tcBorders>
            <w:shd w:val="clear" w:color="auto" w:fill="auto"/>
            <w:vAlign w:val="center"/>
            <w:hideMark/>
          </w:tcPr>
          <w:p w14:paraId="4F90E924"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2023</w:t>
            </w:r>
          </w:p>
        </w:tc>
        <w:tc>
          <w:tcPr>
            <w:tcW w:w="1859" w:type="dxa"/>
            <w:tcBorders>
              <w:top w:val="nil"/>
              <w:left w:val="nil"/>
              <w:bottom w:val="single" w:sz="2" w:space="0" w:color="2F5496" w:themeColor="accent1" w:themeShade="BF"/>
              <w:right w:val="nil"/>
            </w:tcBorders>
            <w:shd w:val="clear" w:color="auto" w:fill="auto"/>
            <w:vAlign w:val="center"/>
            <w:hideMark/>
          </w:tcPr>
          <w:p w14:paraId="054CD83B" w14:textId="77777777" w:rsidR="003C4F2E" w:rsidRDefault="003C4F2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8" w:type="dxa"/>
            <w:tcBorders>
              <w:top w:val="nil"/>
              <w:left w:val="nil"/>
              <w:bottom w:val="single" w:sz="2" w:space="0" w:color="2F5496" w:themeColor="accent1" w:themeShade="BF"/>
              <w:right w:val="nil"/>
            </w:tcBorders>
            <w:shd w:val="clear" w:color="auto" w:fill="auto"/>
            <w:vAlign w:val="center"/>
            <w:hideMark/>
          </w:tcPr>
          <w:p w14:paraId="70101437"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r>
      <w:tr w:rsidR="003C4F2E" w14:paraId="6527DC0C" w14:textId="77777777" w:rsidTr="00A150AB">
        <w:trPr>
          <w:cnfStyle w:val="000000010000" w:firstRow="0" w:lastRow="0" w:firstColumn="0" w:lastColumn="0" w:oddVBand="0" w:evenVBand="0" w:oddHBand="0" w:evenHBand="1"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2F5496" w:themeColor="accent1" w:themeShade="BF"/>
              <w:left w:val="nil"/>
              <w:bottom w:val="nil"/>
              <w:right w:val="nil"/>
            </w:tcBorders>
            <w:shd w:val="clear" w:color="auto" w:fill="auto"/>
            <w:hideMark/>
          </w:tcPr>
          <w:p w14:paraId="5EED67A2" w14:textId="77777777" w:rsidR="003C4F2E" w:rsidRDefault="003C4F2E">
            <w:pPr>
              <w:pStyle w:val="08-Tabelageral"/>
              <w:jc w:val="left"/>
              <w:rPr>
                <w:rFonts w:cs="Arial"/>
                <w:snapToGrid w:val="0"/>
                <w:color w:val="000000"/>
                <w:lang w:eastAsia="en-US"/>
              </w:rPr>
            </w:pPr>
            <w:r w:rsidRPr="001643ED">
              <w:t xml:space="preserve">Staff per </w:t>
            </w:r>
            <w:proofErr w:type="spellStart"/>
            <w:r w:rsidRPr="001643ED">
              <w:t>group</w:t>
            </w:r>
            <w:proofErr w:type="spellEnd"/>
          </w:p>
        </w:tc>
        <w:tc>
          <w:tcPr>
            <w:tcW w:w="1859" w:type="dxa"/>
            <w:tcBorders>
              <w:top w:val="single" w:sz="2" w:space="0" w:color="2F5496" w:themeColor="accent1" w:themeShade="BF"/>
              <w:left w:val="nil"/>
              <w:bottom w:val="nil"/>
              <w:right w:val="nil"/>
            </w:tcBorders>
            <w:shd w:val="clear" w:color="auto" w:fill="auto"/>
            <w:vAlign w:val="center"/>
          </w:tcPr>
          <w:p w14:paraId="54AD90DC"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c>
          <w:tcPr>
            <w:tcW w:w="1859" w:type="dxa"/>
            <w:tcBorders>
              <w:top w:val="single" w:sz="2" w:space="0" w:color="2F5496" w:themeColor="accent1" w:themeShade="BF"/>
              <w:left w:val="nil"/>
              <w:bottom w:val="nil"/>
              <w:right w:val="nil"/>
            </w:tcBorders>
            <w:shd w:val="clear" w:color="auto" w:fill="auto"/>
            <w:vAlign w:val="center"/>
          </w:tcPr>
          <w:p w14:paraId="219B2E0D"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szCs w:val="14"/>
                <w:lang w:eastAsia="en-US"/>
              </w:rPr>
            </w:pPr>
          </w:p>
        </w:tc>
        <w:tc>
          <w:tcPr>
            <w:tcW w:w="1858" w:type="dxa"/>
            <w:tcBorders>
              <w:top w:val="single" w:sz="2" w:space="0" w:color="2F5496" w:themeColor="accent1" w:themeShade="BF"/>
              <w:left w:val="nil"/>
              <w:bottom w:val="nil"/>
              <w:right w:val="nil"/>
            </w:tcBorders>
            <w:shd w:val="clear" w:color="auto" w:fill="auto"/>
            <w:vAlign w:val="center"/>
          </w:tcPr>
          <w:p w14:paraId="5942724D" w14:textId="77777777" w:rsidR="003C4F2E" w:rsidRDefault="003C4F2E">
            <w:pPr>
              <w:pStyle w:val="08-Tabelageral"/>
              <w:cnfStyle w:val="000000010000" w:firstRow="0" w:lastRow="0" w:firstColumn="0" w:lastColumn="0" w:oddVBand="0" w:evenVBand="0" w:oddHBand="0" w:evenHBand="1" w:firstRowFirstColumn="0" w:firstRowLastColumn="0" w:lastRowFirstColumn="0" w:lastRowLastColumn="0"/>
              <w:rPr>
                <w:rFonts w:cs="Arial"/>
                <w:b/>
                <w:color w:val="FF0000"/>
                <w:szCs w:val="14"/>
                <w:lang w:eastAsia="en-US"/>
              </w:rPr>
            </w:pPr>
          </w:p>
        </w:tc>
      </w:tr>
      <w:tr w:rsidR="003C4F2E" w14:paraId="2D9FE6CB"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5319DAA"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Employees¹</w:t>
            </w:r>
          </w:p>
        </w:tc>
        <w:tc>
          <w:tcPr>
            <w:tcW w:w="1859" w:type="dxa"/>
            <w:tcBorders>
              <w:top w:val="nil"/>
              <w:left w:val="nil"/>
              <w:bottom w:val="nil"/>
              <w:right w:val="nil"/>
            </w:tcBorders>
            <w:shd w:val="clear" w:color="auto" w:fill="auto"/>
            <w:vAlign w:val="center"/>
          </w:tcPr>
          <w:p w14:paraId="1B7A4C6A"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190</w:t>
            </w:r>
          </w:p>
        </w:tc>
        <w:tc>
          <w:tcPr>
            <w:tcW w:w="1859" w:type="dxa"/>
            <w:tcBorders>
              <w:top w:val="nil"/>
              <w:left w:val="nil"/>
              <w:bottom w:val="nil"/>
              <w:right w:val="nil"/>
            </w:tcBorders>
            <w:shd w:val="clear" w:color="auto" w:fill="auto"/>
            <w:vAlign w:val="center"/>
            <w:hideMark/>
          </w:tcPr>
          <w:p w14:paraId="3DD24730"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175</w:t>
            </w:r>
          </w:p>
        </w:tc>
        <w:tc>
          <w:tcPr>
            <w:tcW w:w="1858" w:type="dxa"/>
            <w:tcBorders>
              <w:top w:val="nil"/>
              <w:left w:val="nil"/>
              <w:bottom w:val="nil"/>
              <w:right w:val="nil"/>
            </w:tcBorders>
            <w:shd w:val="clear" w:color="auto" w:fill="auto"/>
            <w:vAlign w:val="center"/>
            <w:hideMark/>
          </w:tcPr>
          <w:p w14:paraId="4701DD9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157</w:t>
            </w:r>
          </w:p>
        </w:tc>
      </w:tr>
      <w:tr w:rsidR="003C4F2E" w14:paraId="1DEF345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A65BEE7"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Outsourced</w:t>
            </w:r>
            <w:proofErr w:type="spellEnd"/>
          </w:p>
        </w:tc>
        <w:tc>
          <w:tcPr>
            <w:tcW w:w="1859" w:type="dxa"/>
            <w:tcBorders>
              <w:top w:val="nil"/>
              <w:left w:val="nil"/>
              <w:bottom w:val="nil"/>
              <w:right w:val="nil"/>
            </w:tcBorders>
            <w:shd w:val="clear" w:color="auto" w:fill="auto"/>
            <w:vAlign w:val="center"/>
          </w:tcPr>
          <w:p w14:paraId="5C5996DB"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FF0000"/>
                <w:lang w:eastAsia="en-US"/>
              </w:rPr>
            </w:pPr>
            <w:r w:rsidRPr="00C5343A">
              <w:rPr>
                <w:bCs/>
                <w:color w:val="auto"/>
                <w:lang w:eastAsia="en-US"/>
              </w:rPr>
              <w:t>46</w:t>
            </w:r>
          </w:p>
        </w:tc>
        <w:tc>
          <w:tcPr>
            <w:tcW w:w="1859" w:type="dxa"/>
            <w:tcBorders>
              <w:top w:val="nil"/>
              <w:left w:val="nil"/>
              <w:bottom w:val="nil"/>
              <w:right w:val="nil"/>
            </w:tcBorders>
            <w:shd w:val="clear" w:color="auto" w:fill="auto"/>
            <w:vAlign w:val="center"/>
            <w:hideMark/>
          </w:tcPr>
          <w:p w14:paraId="73FD41D2"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000000"/>
                <w:lang w:eastAsia="en-US"/>
              </w:rPr>
            </w:pPr>
            <w:r>
              <w:rPr>
                <w:color w:val="auto"/>
                <w:lang w:eastAsia="en-US"/>
              </w:rPr>
              <w:t>27</w:t>
            </w:r>
          </w:p>
        </w:tc>
        <w:tc>
          <w:tcPr>
            <w:tcW w:w="1858" w:type="dxa"/>
            <w:tcBorders>
              <w:top w:val="nil"/>
              <w:left w:val="nil"/>
              <w:bottom w:val="nil"/>
              <w:right w:val="nil"/>
            </w:tcBorders>
            <w:shd w:val="clear" w:color="auto" w:fill="auto"/>
            <w:vAlign w:val="center"/>
            <w:hideMark/>
          </w:tcPr>
          <w:p w14:paraId="55D31591"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19</w:t>
            </w:r>
          </w:p>
        </w:tc>
      </w:tr>
      <w:tr w:rsidR="003C4F2E" w14:paraId="0AB7AB99"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CB6DCB1"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Interns</w:t>
            </w:r>
            <w:proofErr w:type="spellEnd"/>
          </w:p>
        </w:tc>
        <w:tc>
          <w:tcPr>
            <w:tcW w:w="1859" w:type="dxa"/>
            <w:tcBorders>
              <w:top w:val="nil"/>
              <w:left w:val="nil"/>
              <w:bottom w:val="nil"/>
              <w:right w:val="nil"/>
            </w:tcBorders>
            <w:shd w:val="clear" w:color="auto" w:fill="auto"/>
            <w:vAlign w:val="center"/>
          </w:tcPr>
          <w:p w14:paraId="0E3D6744"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w:t>
            </w:r>
            <w:r>
              <w:rPr>
                <w:color w:val="auto"/>
                <w:lang w:eastAsia="en-US"/>
              </w:rPr>
              <w:t>5</w:t>
            </w:r>
          </w:p>
        </w:tc>
        <w:tc>
          <w:tcPr>
            <w:tcW w:w="1859" w:type="dxa"/>
            <w:tcBorders>
              <w:top w:val="nil"/>
              <w:left w:val="nil"/>
              <w:bottom w:val="nil"/>
              <w:right w:val="nil"/>
            </w:tcBorders>
            <w:shd w:val="clear" w:color="auto" w:fill="auto"/>
            <w:vAlign w:val="center"/>
            <w:hideMark/>
          </w:tcPr>
          <w:p w14:paraId="64AF6402"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11</w:t>
            </w:r>
          </w:p>
        </w:tc>
        <w:tc>
          <w:tcPr>
            <w:tcW w:w="1858" w:type="dxa"/>
            <w:tcBorders>
              <w:top w:val="nil"/>
              <w:left w:val="nil"/>
              <w:bottom w:val="nil"/>
              <w:right w:val="nil"/>
            </w:tcBorders>
            <w:shd w:val="clear" w:color="auto" w:fill="auto"/>
            <w:vAlign w:val="center"/>
            <w:hideMark/>
          </w:tcPr>
          <w:p w14:paraId="379C856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w:t>
            </w:r>
          </w:p>
        </w:tc>
      </w:tr>
      <w:tr w:rsidR="003C4F2E" w14:paraId="2DC6A6E1"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33ECFDE"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 xml:space="preserve">Board </w:t>
            </w:r>
            <w:proofErr w:type="spellStart"/>
            <w:r w:rsidRPr="000C2D71">
              <w:rPr>
                <w:b w:val="0"/>
                <w:bCs w:val="0"/>
              </w:rPr>
              <w:t>and</w:t>
            </w:r>
            <w:proofErr w:type="spellEnd"/>
            <w:r w:rsidRPr="000C2D71">
              <w:rPr>
                <w:b w:val="0"/>
                <w:bCs w:val="0"/>
              </w:rPr>
              <w:t xml:space="preserve"> </w:t>
            </w:r>
            <w:proofErr w:type="spellStart"/>
            <w:r w:rsidRPr="000C2D71">
              <w:rPr>
                <w:b w:val="0"/>
                <w:bCs w:val="0"/>
              </w:rPr>
              <w:t>council</w:t>
            </w:r>
            <w:proofErr w:type="spellEnd"/>
            <w:r w:rsidRPr="000C2D71">
              <w:rPr>
                <w:b w:val="0"/>
                <w:bCs w:val="0"/>
              </w:rPr>
              <w:t xml:space="preserve"> members</w:t>
            </w:r>
            <w:r>
              <w:rPr>
                <w:b w:val="0"/>
                <w:bCs w:val="0"/>
              </w:rPr>
              <w:t>²</w:t>
            </w:r>
          </w:p>
        </w:tc>
        <w:tc>
          <w:tcPr>
            <w:tcW w:w="1859" w:type="dxa"/>
            <w:tcBorders>
              <w:top w:val="nil"/>
              <w:left w:val="nil"/>
              <w:bottom w:val="nil"/>
              <w:right w:val="nil"/>
            </w:tcBorders>
            <w:shd w:val="clear" w:color="auto" w:fill="auto"/>
            <w:vAlign w:val="center"/>
          </w:tcPr>
          <w:p w14:paraId="5BB955D5"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w:t>
            </w:r>
            <w:r>
              <w:rPr>
                <w:color w:val="auto"/>
                <w:lang w:eastAsia="en-US"/>
              </w:rPr>
              <w:t>7</w:t>
            </w:r>
          </w:p>
        </w:tc>
        <w:tc>
          <w:tcPr>
            <w:tcW w:w="1859" w:type="dxa"/>
            <w:tcBorders>
              <w:top w:val="nil"/>
              <w:left w:val="nil"/>
              <w:bottom w:val="nil"/>
              <w:right w:val="nil"/>
            </w:tcBorders>
            <w:shd w:val="clear" w:color="auto" w:fill="auto"/>
            <w:vAlign w:val="center"/>
            <w:hideMark/>
          </w:tcPr>
          <w:p w14:paraId="701EB29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Pr>
                <w:color w:val="auto"/>
                <w:lang w:eastAsia="en-US"/>
              </w:rPr>
              <w:t>17</w:t>
            </w:r>
          </w:p>
        </w:tc>
        <w:tc>
          <w:tcPr>
            <w:tcW w:w="1858" w:type="dxa"/>
            <w:tcBorders>
              <w:top w:val="nil"/>
              <w:left w:val="nil"/>
              <w:bottom w:val="nil"/>
              <w:right w:val="nil"/>
            </w:tcBorders>
            <w:shd w:val="clear" w:color="auto" w:fill="auto"/>
            <w:vAlign w:val="center"/>
            <w:hideMark/>
          </w:tcPr>
          <w:p w14:paraId="64B5CEAD"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14</w:t>
            </w:r>
          </w:p>
        </w:tc>
      </w:tr>
      <w:tr w:rsidR="003C4F2E" w14:paraId="3F3FCF38"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8FCCC06" w14:textId="77777777" w:rsidR="003C4F2E" w:rsidRDefault="003C4F2E">
            <w:pPr>
              <w:pStyle w:val="08-Tabelageral"/>
              <w:jc w:val="left"/>
              <w:rPr>
                <w:rFonts w:cs="Arial"/>
                <w:snapToGrid w:val="0"/>
                <w:color w:val="000000"/>
                <w:vertAlign w:val="superscript"/>
                <w:lang w:eastAsia="en-US"/>
              </w:rPr>
            </w:pPr>
            <w:r w:rsidRPr="001643ED">
              <w:t xml:space="preserve">TOTAL </w:t>
            </w:r>
          </w:p>
        </w:tc>
        <w:tc>
          <w:tcPr>
            <w:tcW w:w="1859" w:type="dxa"/>
            <w:tcBorders>
              <w:top w:val="nil"/>
              <w:left w:val="nil"/>
              <w:bottom w:val="nil"/>
              <w:right w:val="nil"/>
            </w:tcBorders>
            <w:shd w:val="clear" w:color="auto" w:fill="auto"/>
            <w:vAlign w:val="center"/>
          </w:tcPr>
          <w:p w14:paraId="552BC431"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sidRPr="000524AA">
              <w:rPr>
                <w:b/>
                <w:color w:val="auto"/>
                <w:lang w:eastAsia="en-US"/>
              </w:rPr>
              <w:t>26</w:t>
            </w:r>
            <w:r>
              <w:rPr>
                <w:b/>
                <w:color w:val="auto"/>
                <w:lang w:eastAsia="en-US"/>
              </w:rPr>
              <w:t>8</w:t>
            </w:r>
          </w:p>
        </w:tc>
        <w:tc>
          <w:tcPr>
            <w:tcW w:w="1859" w:type="dxa"/>
            <w:tcBorders>
              <w:top w:val="nil"/>
              <w:left w:val="nil"/>
              <w:bottom w:val="nil"/>
              <w:right w:val="nil"/>
            </w:tcBorders>
            <w:shd w:val="clear" w:color="auto" w:fill="auto"/>
            <w:vAlign w:val="center"/>
            <w:hideMark/>
          </w:tcPr>
          <w:p w14:paraId="0B12669E"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sidRPr="00732C30">
              <w:rPr>
                <w:b/>
                <w:color w:val="auto"/>
                <w:lang w:eastAsia="en-US"/>
              </w:rPr>
              <w:t>2</w:t>
            </w:r>
            <w:r>
              <w:rPr>
                <w:b/>
                <w:color w:val="auto"/>
                <w:lang w:eastAsia="en-US"/>
              </w:rPr>
              <w:t>30</w:t>
            </w:r>
          </w:p>
        </w:tc>
        <w:tc>
          <w:tcPr>
            <w:tcW w:w="1858" w:type="dxa"/>
            <w:tcBorders>
              <w:top w:val="nil"/>
              <w:left w:val="nil"/>
              <w:bottom w:val="nil"/>
              <w:right w:val="nil"/>
            </w:tcBorders>
            <w:shd w:val="clear" w:color="auto" w:fill="auto"/>
            <w:vAlign w:val="center"/>
            <w:hideMark/>
          </w:tcPr>
          <w:p w14:paraId="5BF77491" w14:textId="77777777" w:rsidR="003C4F2E" w:rsidRPr="00436660"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Pr>
                <w:b/>
                <w:color w:val="auto"/>
                <w:lang w:eastAsia="en-US"/>
              </w:rPr>
              <w:t>193</w:t>
            </w:r>
          </w:p>
        </w:tc>
      </w:tr>
      <w:tr w:rsidR="003C4F2E" w14:paraId="559BE7DC"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DFD6A71" w14:textId="77777777" w:rsidR="003C4F2E" w:rsidRDefault="003C4F2E">
            <w:pPr>
              <w:pStyle w:val="08-Tabelageral"/>
              <w:jc w:val="left"/>
              <w:rPr>
                <w:rFonts w:cs="Arial"/>
                <w:snapToGrid w:val="0"/>
                <w:color w:val="000000"/>
                <w:lang w:eastAsia="en-US"/>
              </w:rPr>
            </w:pPr>
            <w:r w:rsidRPr="001643ED">
              <w:t>Gender</w:t>
            </w:r>
            <w:r>
              <w:t>³</w:t>
            </w:r>
          </w:p>
        </w:tc>
        <w:tc>
          <w:tcPr>
            <w:tcW w:w="1859" w:type="dxa"/>
            <w:tcBorders>
              <w:top w:val="nil"/>
              <w:left w:val="nil"/>
              <w:bottom w:val="nil"/>
              <w:right w:val="nil"/>
            </w:tcBorders>
            <w:shd w:val="clear" w:color="auto" w:fill="auto"/>
            <w:vAlign w:val="center"/>
          </w:tcPr>
          <w:p w14:paraId="4DE93563"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06B1E39F"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7175F74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b/>
                <w:lang w:eastAsia="en-US"/>
              </w:rPr>
            </w:pPr>
          </w:p>
        </w:tc>
      </w:tr>
      <w:tr w:rsidR="003C4F2E" w14:paraId="20B55514" w14:textId="77777777">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591ABC03"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Female</w:t>
            </w:r>
            <w:proofErr w:type="spellEnd"/>
          </w:p>
        </w:tc>
        <w:tc>
          <w:tcPr>
            <w:tcW w:w="1859" w:type="dxa"/>
            <w:tcBorders>
              <w:top w:val="nil"/>
              <w:left w:val="nil"/>
              <w:bottom w:val="nil"/>
              <w:right w:val="nil"/>
            </w:tcBorders>
            <w:shd w:val="clear" w:color="auto" w:fill="auto"/>
            <w:vAlign w:val="center"/>
          </w:tcPr>
          <w:p w14:paraId="71AB97CD"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3</w:t>
            </w:r>
            <w:r>
              <w:rPr>
                <w:color w:val="auto"/>
                <w:lang w:eastAsia="en-US"/>
              </w:rPr>
              <w:t>5</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5EEB9612"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color w:val="auto"/>
                <w:lang w:eastAsia="en-US"/>
              </w:rPr>
              <w:t>3</w:t>
            </w:r>
            <w:r>
              <w:rPr>
                <w:color w:val="auto"/>
                <w:lang w:eastAsia="en-US"/>
              </w:rPr>
              <w:t>5</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0EE92176"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r>
      <w:tr w:rsidR="003C4F2E" w14:paraId="3E600B4B"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678DB65B"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Male</w:t>
            </w:r>
          </w:p>
        </w:tc>
        <w:tc>
          <w:tcPr>
            <w:tcW w:w="1859" w:type="dxa"/>
            <w:tcBorders>
              <w:top w:val="nil"/>
              <w:left w:val="nil"/>
              <w:bottom w:val="nil"/>
              <w:right w:val="nil"/>
            </w:tcBorders>
            <w:shd w:val="clear" w:color="auto" w:fill="auto"/>
            <w:vAlign w:val="center"/>
          </w:tcPr>
          <w:p w14:paraId="4299B5F2"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6</w:t>
            </w:r>
            <w:r>
              <w:rPr>
                <w:color w:val="auto"/>
                <w:lang w:eastAsia="en-US"/>
              </w:rPr>
              <w:t>5</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1DE5EC8B"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sidRPr="00732C30">
              <w:rPr>
                <w:color w:val="auto"/>
                <w:lang w:eastAsia="en-US"/>
              </w:rPr>
              <w:t>6</w:t>
            </w:r>
            <w:r>
              <w:rPr>
                <w:color w:val="auto"/>
                <w:lang w:eastAsia="en-US"/>
              </w:rPr>
              <w:t>5</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18B04BFE"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66%</w:t>
            </w:r>
          </w:p>
        </w:tc>
      </w:tr>
      <w:tr w:rsidR="003C4F2E" w14:paraId="7A4D4C16"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59E02AF" w14:textId="77777777" w:rsidR="003C4F2E" w:rsidRDefault="003C4F2E">
            <w:pPr>
              <w:pStyle w:val="08-Tabelageral"/>
              <w:jc w:val="left"/>
              <w:rPr>
                <w:rFonts w:cs="Arial"/>
                <w:snapToGrid w:val="0"/>
                <w:color w:val="000000"/>
                <w:lang w:eastAsia="en-US"/>
              </w:rPr>
            </w:pPr>
            <w:proofErr w:type="spellStart"/>
            <w:r w:rsidRPr="001643ED">
              <w:t>Education</w:t>
            </w:r>
            <w:proofErr w:type="spellEnd"/>
            <w:r w:rsidRPr="001643ED">
              <w:t xml:space="preserve"> level</w:t>
            </w:r>
            <w:r>
              <w:t>³</w:t>
            </w:r>
          </w:p>
        </w:tc>
        <w:tc>
          <w:tcPr>
            <w:tcW w:w="1859" w:type="dxa"/>
            <w:tcBorders>
              <w:top w:val="nil"/>
              <w:left w:val="nil"/>
              <w:bottom w:val="nil"/>
              <w:right w:val="nil"/>
            </w:tcBorders>
            <w:shd w:val="clear" w:color="auto" w:fill="auto"/>
            <w:vAlign w:val="center"/>
          </w:tcPr>
          <w:p w14:paraId="19D99D29"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4C6F0077"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5971B583"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3C4F2E" w14:paraId="723D16C9"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026CDE9C"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PhD</w:t>
            </w:r>
          </w:p>
        </w:tc>
        <w:tc>
          <w:tcPr>
            <w:tcW w:w="1859" w:type="dxa"/>
            <w:tcBorders>
              <w:top w:val="nil"/>
              <w:left w:val="nil"/>
              <w:bottom w:val="nil"/>
              <w:right w:val="nil"/>
            </w:tcBorders>
            <w:shd w:val="clear" w:color="auto" w:fill="auto"/>
            <w:vAlign w:val="center"/>
          </w:tcPr>
          <w:p w14:paraId="25A4A877"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bCs/>
                <w:color w:val="auto"/>
                <w:lang w:eastAsia="en-US"/>
              </w:rPr>
              <w:t>2%</w:t>
            </w:r>
          </w:p>
        </w:tc>
        <w:tc>
          <w:tcPr>
            <w:tcW w:w="1859" w:type="dxa"/>
            <w:tcBorders>
              <w:top w:val="nil"/>
              <w:left w:val="nil"/>
              <w:bottom w:val="nil"/>
              <w:right w:val="nil"/>
            </w:tcBorders>
            <w:shd w:val="clear" w:color="auto" w:fill="auto"/>
            <w:vAlign w:val="center"/>
            <w:hideMark/>
          </w:tcPr>
          <w:p w14:paraId="38DFB400"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sidRPr="00732C30">
              <w:rPr>
                <w:bCs/>
                <w:color w:val="auto"/>
                <w:lang w:eastAsia="en-US"/>
              </w:rPr>
              <w:t>1%</w:t>
            </w:r>
          </w:p>
        </w:tc>
        <w:tc>
          <w:tcPr>
            <w:tcW w:w="1858" w:type="dxa"/>
            <w:tcBorders>
              <w:top w:val="nil"/>
              <w:left w:val="nil"/>
              <w:bottom w:val="nil"/>
              <w:right w:val="nil"/>
            </w:tcBorders>
            <w:shd w:val="clear" w:color="auto" w:fill="auto"/>
            <w:vAlign w:val="center"/>
            <w:hideMark/>
          </w:tcPr>
          <w:p w14:paraId="79093B83"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AE2463">
              <w:rPr>
                <w:bCs/>
                <w:color w:val="000000"/>
                <w:lang w:eastAsia="en-US"/>
              </w:rPr>
              <w:t>3%</w:t>
            </w:r>
          </w:p>
        </w:tc>
      </w:tr>
      <w:tr w:rsidR="003C4F2E" w14:paraId="1715A507"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2CA00326" w14:textId="77777777" w:rsidR="003C4F2E" w:rsidRPr="000C2D71" w:rsidRDefault="003C4F2E">
            <w:pPr>
              <w:pStyle w:val="08-Tabelageral"/>
              <w:ind w:left="113"/>
              <w:jc w:val="left"/>
              <w:rPr>
                <w:b w:val="0"/>
                <w:bCs w:val="0"/>
                <w:color w:val="000000"/>
                <w:lang w:eastAsia="en-US"/>
              </w:rPr>
            </w:pPr>
            <w:r w:rsidRPr="000C2D71">
              <w:rPr>
                <w:b w:val="0"/>
                <w:bCs w:val="0"/>
              </w:rPr>
              <w:t>Master</w:t>
            </w:r>
          </w:p>
        </w:tc>
        <w:tc>
          <w:tcPr>
            <w:tcW w:w="1859" w:type="dxa"/>
            <w:tcBorders>
              <w:top w:val="nil"/>
              <w:left w:val="nil"/>
              <w:bottom w:val="nil"/>
              <w:right w:val="nil"/>
            </w:tcBorders>
            <w:shd w:val="clear" w:color="auto" w:fill="auto"/>
            <w:vAlign w:val="center"/>
          </w:tcPr>
          <w:p w14:paraId="11A59276"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bCs/>
                <w:color w:val="auto"/>
                <w:lang w:eastAsia="en-US"/>
              </w:rPr>
              <w:t>16%</w:t>
            </w:r>
          </w:p>
        </w:tc>
        <w:tc>
          <w:tcPr>
            <w:tcW w:w="1859" w:type="dxa"/>
            <w:tcBorders>
              <w:top w:val="nil"/>
              <w:left w:val="nil"/>
              <w:bottom w:val="nil"/>
              <w:right w:val="nil"/>
            </w:tcBorders>
            <w:shd w:val="clear" w:color="auto" w:fill="auto"/>
            <w:vAlign w:val="center"/>
          </w:tcPr>
          <w:p w14:paraId="17F0818D"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bCs/>
                <w:color w:val="auto"/>
                <w:lang w:eastAsia="en-US"/>
              </w:rPr>
              <w:t>1</w:t>
            </w:r>
            <w:r>
              <w:rPr>
                <w:bCs/>
                <w:color w:val="auto"/>
                <w:lang w:eastAsia="en-US"/>
              </w:rPr>
              <w:t>6</w:t>
            </w:r>
            <w:r w:rsidRPr="00732C30">
              <w:rPr>
                <w:bCs/>
                <w:color w:val="auto"/>
                <w:lang w:eastAsia="en-US"/>
              </w:rPr>
              <w:t>%</w:t>
            </w:r>
          </w:p>
        </w:tc>
        <w:tc>
          <w:tcPr>
            <w:tcW w:w="1858" w:type="dxa"/>
            <w:tcBorders>
              <w:top w:val="nil"/>
              <w:left w:val="nil"/>
              <w:bottom w:val="nil"/>
              <w:right w:val="nil"/>
            </w:tcBorders>
            <w:shd w:val="clear" w:color="auto" w:fill="auto"/>
            <w:vAlign w:val="center"/>
          </w:tcPr>
          <w:p w14:paraId="00A6B90C"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w:t>
            </w:r>
            <w:r>
              <w:rPr>
                <w:bCs/>
                <w:color w:val="000000"/>
                <w:lang w:eastAsia="en-US"/>
              </w:rPr>
              <w:t>4</w:t>
            </w:r>
            <w:r w:rsidRPr="00AE2463">
              <w:rPr>
                <w:bCs/>
                <w:color w:val="000000"/>
                <w:lang w:eastAsia="en-US"/>
              </w:rPr>
              <w:t>%</w:t>
            </w:r>
          </w:p>
        </w:tc>
      </w:tr>
      <w:tr w:rsidR="003C4F2E" w14:paraId="7AAE78FC"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tcPr>
          <w:p w14:paraId="3468C2B4" w14:textId="77777777" w:rsidR="003C4F2E" w:rsidRPr="000C2D71" w:rsidRDefault="003C4F2E">
            <w:pPr>
              <w:pStyle w:val="08-Tabelageral"/>
              <w:ind w:left="113"/>
              <w:jc w:val="left"/>
              <w:rPr>
                <w:b w:val="0"/>
                <w:bCs w:val="0"/>
                <w:color w:val="000000"/>
                <w:lang w:eastAsia="en-US"/>
              </w:rPr>
            </w:pPr>
            <w:r w:rsidRPr="000C2D71">
              <w:rPr>
                <w:b w:val="0"/>
                <w:bCs w:val="0"/>
              </w:rPr>
              <w:t xml:space="preserve">Certificate </w:t>
            </w:r>
            <w:proofErr w:type="spellStart"/>
            <w:r w:rsidRPr="000C2D71">
              <w:rPr>
                <w:b w:val="0"/>
                <w:bCs w:val="0"/>
              </w:rPr>
              <w:t>programs</w:t>
            </w:r>
            <w:proofErr w:type="spellEnd"/>
          </w:p>
        </w:tc>
        <w:tc>
          <w:tcPr>
            <w:tcW w:w="1859" w:type="dxa"/>
            <w:tcBorders>
              <w:top w:val="nil"/>
              <w:left w:val="nil"/>
              <w:bottom w:val="nil"/>
              <w:right w:val="nil"/>
            </w:tcBorders>
            <w:shd w:val="clear" w:color="auto" w:fill="auto"/>
            <w:vAlign w:val="center"/>
          </w:tcPr>
          <w:p w14:paraId="32024B78"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6</w:t>
            </w:r>
            <w:r>
              <w:rPr>
                <w:color w:val="auto"/>
                <w:lang w:eastAsia="en-US"/>
              </w:rPr>
              <w:t>2</w:t>
            </w:r>
            <w:r w:rsidRPr="000524AA">
              <w:rPr>
                <w:color w:val="auto"/>
                <w:lang w:eastAsia="en-US"/>
              </w:rPr>
              <w:t>%</w:t>
            </w:r>
          </w:p>
        </w:tc>
        <w:tc>
          <w:tcPr>
            <w:tcW w:w="1859" w:type="dxa"/>
            <w:tcBorders>
              <w:top w:val="nil"/>
              <w:left w:val="nil"/>
              <w:bottom w:val="nil"/>
              <w:right w:val="nil"/>
            </w:tcBorders>
            <w:shd w:val="clear" w:color="auto" w:fill="auto"/>
            <w:vAlign w:val="center"/>
          </w:tcPr>
          <w:p w14:paraId="1D16152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732C30">
              <w:rPr>
                <w:color w:val="auto"/>
                <w:lang w:eastAsia="en-US"/>
              </w:rPr>
              <w:t>66%</w:t>
            </w:r>
          </w:p>
        </w:tc>
        <w:tc>
          <w:tcPr>
            <w:tcW w:w="1858" w:type="dxa"/>
            <w:tcBorders>
              <w:top w:val="nil"/>
              <w:left w:val="nil"/>
              <w:bottom w:val="nil"/>
              <w:right w:val="nil"/>
            </w:tcBorders>
            <w:shd w:val="clear" w:color="auto" w:fill="auto"/>
            <w:vAlign w:val="center"/>
          </w:tcPr>
          <w:p w14:paraId="733606C4"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66%</w:t>
            </w:r>
          </w:p>
        </w:tc>
      </w:tr>
      <w:tr w:rsidR="003C4F2E" w14:paraId="21E0998A" w14:textId="77777777">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126453CF" w14:textId="77777777" w:rsidR="003C4F2E" w:rsidRPr="000C2D71" w:rsidRDefault="003C4F2E">
            <w:pPr>
              <w:pStyle w:val="08-Tabelageral"/>
              <w:ind w:left="113"/>
              <w:jc w:val="left"/>
              <w:rPr>
                <w:rFonts w:cs="Arial"/>
                <w:b w:val="0"/>
                <w:bCs w:val="0"/>
                <w:snapToGrid w:val="0"/>
                <w:color w:val="000000"/>
                <w:lang w:eastAsia="en-US"/>
              </w:rPr>
            </w:pPr>
            <w:proofErr w:type="spellStart"/>
            <w:r w:rsidRPr="000C2D71">
              <w:rPr>
                <w:b w:val="0"/>
                <w:bCs w:val="0"/>
              </w:rPr>
              <w:t>Undergratuate</w:t>
            </w:r>
            <w:proofErr w:type="spellEnd"/>
          </w:p>
        </w:tc>
        <w:tc>
          <w:tcPr>
            <w:tcW w:w="1859" w:type="dxa"/>
            <w:tcBorders>
              <w:top w:val="nil"/>
              <w:left w:val="nil"/>
              <w:bottom w:val="nil"/>
              <w:right w:val="nil"/>
            </w:tcBorders>
            <w:shd w:val="clear" w:color="auto" w:fill="auto"/>
            <w:vAlign w:val="center"/>
          </w:tcPr>
          <w:p w14:paraId="2DEFF435"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sidRPr="000524AA">
              <w:rPr>
                <w:color w:val="auto"/>
                <w:lang w:eastAsia="en-US"/>
              </w:rPr>
              <w:t>1</w:t>
            </w:r>
            <w:r>
              <w:rPr>
                <w:color w:val="auto"/>
                <w:lang w:eastAsia="en-US"/>
              </w:rPr>
              <w:t>1</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69785E15"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732C30">
              <w:rPr>
                <w:color w:val="auto"/>
                <w:lang w:eastAsia="en-US"/>
              </w:rPr>
              <w:t>11%</w:t>
            </w:r>
          </w:p>
        </w:tc>
        <w:tc>
          <w:tcPr>
            <w:tcW w:w="1858" w:type="dxa"/>
            <w:tcBorders>
              <w:top w:val="nil"/>
              <w:left w:val="nil"/>
              <w:bottom w:val="nil"/>
              <w:right w:val="nil"/>
            </w:tcBorders>
            <w:shd w:val="clear" w:color="auto" w:fill="auto"/>
            <w:vAlign w:val="center"/>
            <w:hideMark/>
          </w:tcPr>
          <w:p w14:paraId="49BE3AB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w:t>
            </w:r>
          </w:p>
        </w:tc>
      </w:tr>
      <w:tr w:rsidR="003C4F2E" w14:paraId="00363CB4" w14:textId="77777777">
        <w:trPr>
          <w:cnfStyle w:val="000000010000" w:firstRow="0" w:lastRow="0" w:firstColumn="0" w:lastColumn="0" w:oddVBand="0" w:evenVBand="0" w:oddHBand="0" w:evenHBand="1"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406F090B" w14:textId="77777777" w:rsidR="003C4F2E" w:rsidRPr="000C2D71" w:rsidRDefault="003C4F2E">
            <w:pPr>
              <w:pStyle w:val="08-Tabelageral"/>
              <w:ind w:left="113"/>
              <w:jc w:val="left"/>
              <w:rPr>
                <w:rFonts w:cs="Arial"/>
                <w:b w:val="0"/>
                <w:bCs w:val="0"/>
                <w:snapToGrid w:val="0"/>
                <w:color w:val="000000"/>
                <w:vertAlign w:val="superscript"/>
                <w:lang w:eastAsia="en-US"/>
              </w:rPr>
            </w:pPr>
            <w:r w:rsidRPr="000C2D71">
              <w:rPr>
                <w:b w:val="0"/>
                <w:bCs w:val="0"/>
              </w:rPr>
              <w:t xml:space="preserve">High </w:t>
            </w:r>
            <w:proofErr w:type="spellStart"/>
            <w:r w:rsidRPr="000C2D71">
              <w:rPr>
                <w:b w:val="0"/>
                <w:bCs w:val="0"/>
              </w:rPr>
              <w:t>school</w:t>
            </w:r>
            <w:proofErr w:type="spellEnd"/>
          </w:p>
        </w:tc>
        <w:tc>
          <w:tcPr>
            <w:tcW w:w="1859" w:type="dxa"/>
            <w:tcBorders>
              <w:top w:val="nil"/>
              <w:left w:val="nil"/>
              <w:bottom w:val="nil"/>
              <w:right w:val="nil"/>
            </w:tcBorders>
            <w:shd w:val="clear" w:color="auto" w:fill="auto"/>
            <w:vAlign w:val="center"/>
          </w:tcPr>
          <w:p w14:paraId="7EBAB087"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Pr>
                <w:color w:val="auto"/>
                <w:lang w:eastAsia="en-US"/>
              </w:rPr>
              <w:t>9</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5B131A7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000000"/>
                <w:lang w:eastAsia="en-US"/>
              </w:rPr>
            </w:pPr>
            <w:r>
              <w:rPr>
                <w:color w:val="auto"/>
                <w:lang w:eastAsia="en-US"/>
              </w:rPr>
              <w:t>6</w:t>
            </w:r>
            <w:r w:rsidRPr="00732C30">
              <w:rPr>
                <w:color w:val="auto"/>
                <w:lang w:eastAsia="en-US"/>
              </w:rPr>
              <w:t>%</w:t>
            </w:r>
          </w:p>
        </w:tc>
        <w:tc>
          <w:tcPr>
            <w:tcW w:w="1858" w:type="dxa"/>
            <w:tcBorders>
              <w:top w:val="nil"/>
              <w:left w:val="nil"/>
              <w:bottom w:val="nil"/>
              <w:right w:val="nil"/>
            </w:tcBorders>
            <w:shd w:val="clear" w:color="auto" w:fill="auto"/>
            <w:vAlign w:val="center"/>
            <w:hideMark/>
          </w:tcPr>
          <w:p w14:paraId="06EAFE9B"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lang w:eastAsia="en-US"/>
              </w:rPr>
              <w:t>2%</w:t>
            </w:r>
          </w:p>
        </w:tc>
      </w:tr>
      <w:tr w:rsidR="003C4F2E" w14:paraId="758806F5" w14:textId="7777777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BC3884D" w14:textId="77777777" w:rsidR="003C4F2E" w:rsidRDefault="003C4F2E">
            <w:pPr>
              <w:pStyle w:val="08-Tabelageral"/>
              <w:jc w:val="left"/>
              <w:rPr>
                <w:rFonts w:cs="Arial"/>
                <w:snapToGrid w:val="0"/>
                <w:color w:val="000000"/>
                <w:lang w:eastAsia="en-US"/>
              </w:rPr>
            </w:pPr>
            <w:r w:rsidRPr="001643ED">
              <w:t>Age</w:t>
            </w:r>
            <w:r>
              <w:t>³</w:t>
            </w:r>
          </w:p>
        </w:tc>
        <w:tc>
          <w:tcPr>
            <w:tcW w:w="1859" w:type="dxa"/>
            <w:tcBorders>
              <w:top w:val="nil"/>
              <w:left w:val="nil"/>
              <w:bottom w:val="nil"/>
              <w:right w:val="nil"/>
            </w:tcBorders>
            <w:shd w:val="clear" w:color="auto" w:fill="auto"/>
            <w:vAlign w:val="center"/>
          </w:tcPr>
          <w:p w14:paraId="5750D3AE"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p>
        </w:tc>
        <w:tc>
          <w:tcPr>
            <w:tcW w:w="1859" w:type="dxa"/>
            <w:tcBorders>
              <w:top w:val="nil"/>
              <w:left w:val="nil"/>
              <w:bottom w:val="nil"/>
              <w:right w:val="nil"/>
            </w:tcBorders>
            <w:shd w:val="clear" w:color="auto" w:fill="auto"/>
            <w:vAlign w:val="center"/>
          </w:tcPr>
          <w:p w14:paraId="52D59D0A"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shd w:val="clear" w:color="auto" w:fill="auto"/>
            <w:vAlign w:val="center"/>
          </w:tcPr>
          <w:p w14:paraId="67F678E0"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3C4F2E" w14:paraId="4744CE23" w14:textId="77777777">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7E7FE02F" w14:textId="77777777" w:rsidR="003C4F2E" w:rsidRPr="000C2D71" w:rsidRDefault="003C4F2E">
            <w:pPr>
              <w:pStyle w:val="08-Tabelageral"/>
              <w:ind w:left="113"/>
              <w:jc w:val="left"/>
              <w:rPr>
                <w:rFonts w:cs="Arial"/>
                <w:b w:val="0"/>
                <w:bCs w:val="0"/>
                <w:snapToGrid w:val="0"/>
                <w:color w:val="000000"/>
                <w:vertAlign w:val="superscript"/>
                <w:lang w:eastAsia="en-US"/>
              </w:rPr>
            </w:pPr>
            <w:proofErr w:type="spellStart"/>
            <w:r w:rsidRPr="000C2D71">
              <w:rPr>
                <w:b w:val="0"/>
                <w:bCs w:val="0"/>
              </w:rPr>
              <w:t>Under</w:t>
            </w:r>
            <w:proofErr w:type="spellEnd"/>
            <w:r w:rsidRPr="000C2D71">
              <w:rPr>
                <w:b w:val="0"/>
                <w:bCs w:val="0"/>
              </w:rPr>
              <w:t xml:space="preserve"> 30’s</w:t>
            </w:r>
          </w:p>
        </w:tc>
        <w:tc>
          <w:tcPr>
            <w:tcW w:w="1859" w:type="dxa"/>
            <w:tcBorders>
              <w:top w:val="nil"/>
              <w:left w:val="nil"/>
              <w:bottom w:val="nil"/>
              <w:right w:val="nil"/>
            </w:tcBorders>
            <w:shd w:val="clear" w:color="auto" w:fill="auto"/>
            <w:vAlign w:val="center"/>
          </w:tcPr>
          <w:p w14:paraId="0AC85C98"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w:t>
            </w:r>
            <w:r>
              <w:rPr>
                <w:color w:val="auto"/>
                <w:lang w:eastAsia="en-US"/>
              </w:rPr>
              <w:t>1</w:t>
            </w:r>
            <w:r w:rsidRPr="000524AA">
              <w:rPr>
                <w:color w:val="auto"/>
                <w:lang w:eastAsia="en-US"/>
              </w:rPr>
              <w:t>%</w:t>
            </w:r>
          </w:p>
        </w:tc>
        <w:tc>
          <w:tcPr>
            <w:tcW w:w="1859" w:type="dxa"/>
            <w:tcBorders>
              <w:top w:val="nil"/>
              <w:left w:val="nil"/>
              <w:bottom w:val="nil"/>
              <w:right w:val="nil"/>
            </w:tcBorders>
            <w:shd w:val="clear" w:color="auto" w:fill="auto"/>
            <w:vAlign w:val="center"/>
            <w:hideMark/>
          </w:tcPr>
          <w:p w14:paraId="4394EDE3"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sidRPr="00732C30">
              <w:rPr>
                <w:color w:val="auto"/>
                <w:lang w:eastAsia="en-US"/>
              </w:rPr>
              <w:t>8%</w:t>
            </w:r>
          </w:p>
        </w:tc>
        <w:tc>
          <w:tcPr>
            <w:tcW w:w="1858" w:type="dxa"/>
            <w:tcBorders>
              <w:top w:val="nil"/>
              <w:left w:val="nil"/>
              <w:bottom w:val="nil"/>
              <w:right w:val="nil"/>
            </w:tcBorders>
            <w:shd w:val="clear" w:color="auto" w:fill="auto"/>
            <w:vAlign w:val="center"/>
            <w:hideMark/>
          </w:tcPr>
          <w:p w14:paraId="4376FFEC"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7%</w:t>
            </w:r>
          </w:p>
        </w:tc>
      </w:tr>
      <w:tr w:rsidR="003C4F2E" w14:paraId="5938E0B3" w14:textId="77777777" w:rsidTr="00A150A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shd w:val="clear" w:color="auto" w:fill="auto"/>
            <w:hideMark/>
          </w:tcPr>
          <w:p w14:paraId="35A4E08B"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 xml:space="preserve">30’s </w:t>
            </w:r>
            <w:proofErr w:type="spellStart"/>
            <w:r w:rsidRPr="000C2D71">
              <w:rPr>
                <w:b w:val="0"/>
                <w:bCs w:val="0"/>
              </w:rPr>
              <w:t>to</w:t>
            </w:r>
            <w:proofErr w:type="spellEnd"/>
            <w:r w:rsidRPr="000C2D71">
              <w:rPr>
                <w:b w:val="0"/>
                <w:bCs w:val="0"/>
              </w:rPr>
              <w:t xml:space="preserve"> 50</w:t>
            </w:r>
          </w:p>
        </w:tc>
        <w:tc>
          <w:tcPr>
            <w:tcW w:w="1859" w:type="dxa"/>
            <w:tcBorders>
              <w:top w:val="nil"/>
              <w:left w:val="nil"/>
              <w:bottom w:val="nil"/>
              <w:right w:val="nil"/>
            </w:tcBorders>
            <w:shd w:val="clear" w:color="auto" w:fill="auto"/>
            <w:vAlign w:val="center"/>
          </w:tcPr>
          <w:p w14:paraId="11470772" w14:textId="77777777" w:rsidR="003C4F2E" w:rsidRPr="00DC06BA"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FF0000"/>
                <w:lang w:eastAsia="en-US"/>
              </w:rPr>
            </w:pPr>
            <w:r w:rsidRPr="000524AA">
              <w:rPr>
                <w:bCs/>
                <w:color w:val="auto"/>
                <w:lang w:eastAsia="en-US"/>
              </w:rPr>
              <w:t>7</w:t>
            </w:r>
            <w:r>
              <w:rPr>
                <w:bCs/>
                <w:color w:val="auto"/>
                <w:lang w:eastAsia="en-US"/>
              </w:rPr>
              <w:t>7</w:t>
            </w:r>
            <w:r w:rsidRPr="000524AA">
              <w:rPr>
                <w:bCs/>
                <w:color w:val="auto"/>
                <w:lang w:eastAsia="en-US"/>
              </w:rPr>
              <w:t>%</w:t>
            </w:r>
          </w:p>
        </w:tc>
        <w:tc>
          <w:tcPr>
            <w:tcW w:w="1859" w:type="dxa"/>
            <w:tcBorders>
              <w:top w:val="nil"/>
              <w:left w:val="nil"/>
              <w:bottom w:val="nil"/>
              <w:right w:val="nil"/>
            </w:tcBorders>
            <w:shd w:val="clear" w:color="auto" w:fill="auto"/>
            <w:vAlign w:val="center"/>
            <w:hideMark/>
          </w:tcPr>
          <w:p w14:paraId="6CF556CF"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r w:rsidRPr="00732C30">
              <w:rPr>
                <w:bCs/>
                <w:color w:val="auto"/>
                <w:lang w:eastAsia="en-US"/>
              </w:rPr>
              <w:t>8</w:t>
            </w:r>
            <w:r>
              <w:rPr>
                <w:bCs/>
                <w:color w:val="auto"/>
                <w:lang w:eastAsia="en-US"/>
              </w:rPr>
              <w:t>0</w:t>
            </w:r>
            <w:r w:rsidRPr="00732C30">
              <w:rPr>
                <w:bCs/>
                <w:color w:val="auto"/>
                <w:lang w:eastAsia="en-US"/>
              </w:rPr>
              <w:t>%</w:t>
            </w:r>
          </w:p>
        </w:tc>
        <w:tc>
          <w:tcPr>
            <w:tcW w:w="1858" w:type="dxa"/>
            <w:tcBorders>
              <w:top w:val="nil"/>
              <w:left w:val="nil"/>
              <w:bottom w:val="nil"/>
              <w:right w:val="nil"/>
            </w:tcBorders>
            <w:shd w:val="clear" w:color="auto" w:fill="auto"/>
            <w:vAlign w:val="center"/>
            <w:hideMark/>
          </w:tcPr>
          <w:p w14:paraId="1B103E75" w14:textId="77777777" w:rsidR="003C4F2E" w:rsidRDefault="003C4F2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81%</w:t>
            </w:r>
          </w:p>
        </w:tc>
      </w:tr>
      <w:tr w:rsidR="003C4F2E" w14:paraId="1B036FE9" w14:textId="77777777" w:rsidTr="00A150AB">
        <w:trPr>
          <w:cnfStyle w:val="000000010000" w:firstRow="0" w:lastRow="0" w:firstColumn="0" w:lastColumn="0" w:oddVBand="0" w:evenVBand="0" w:oddHBand="0" w:evenHBand="1"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2F5496" w:themeColor="accent1" w:themeShade="BF"/>
              <w:right w:val="nil"/>
            </w:tcBorders>
            <w:shd w:val="clear" w:color="auto" w:fill="auto"/>
            <w:hideMark/>
          </w:tcPr>
          <w:p w14:paraId="761116D4" w14:textId="77777777" w:rsidR="003C4F2E" w:rsidRPr="000C2D71" w:rsidRDefault="003C4F2E">
            <w:pPr>
              <w:pStyle w:val="08-Tabelageral"/>
              <w:ind w:left="113"/>
              <w:jc w:val="left"/>
              <w:rPr>
                <w:rFonts w:cs="Arial"/>
                <w:b w:val="0"/>
                <w:bCs w:val="0"/>
                <w:snapToGrid w:val="0"/>
                <w:color w:val="000000"/>
                <w:lang w:eastAsia="en-US"/>
              </w:rPr>
            </w:pPr>
            <w:r w:rsidRPr="000C2D71">
              <w:rPr>
                <w:b w:val="0"/>
                <w:bCs w:val="0"/>
              </w:rPr>
              <w:t>Above 50</w:t>
            </w:r>
          </w:p>
        </w:tc>
        <w:tc>
          <w:tcPr>
            <w:tcW w:w="1859" w:type="dxa"/>
            <w:tcBorders>
              <w:top w:val="nil"/>
              <w:left w:val="nil"/>
              <w:bottom w:val="single" w:sz="2" w:space="0" w:color="2F5496" w:themeColor="accent1" w:themeShade="BF"/>
              <w:right w:val="nil"/>
            </w:tcBorders>
            <w:shd w:val="clear" w:color="auto" w:fill="auto"/>
            <w:vAlign w:val="center"/>
          </w:tcPr>
          <w:p w14:paraId="08A5C120" w14:textId="77777777" w:rsidR="003C4F2E" w:rsidRPr="00DC06BA"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color w:val="FF0000"/>
                <w:lang w:eastAsia="en-US"/>
              </w:rPr>
            </w:pPr>
            <w:r w:rsidRPr="000524AA">
              <w:rPr>
                <w:color w:val="auto"/>
                <w:lang w:eastAsia="en-US"/>
              </w:rPr>
              <w:t>12%</w:t>
            </w:r>
          </w:p>
        </w:tc>
        <w:tc>
          <w:tcPr>
            <w:tcW w:w="1859" w:type="dxa"/>
            <w:tcBorders>
              <w:top w:val="nil"/>
              <w:left w:val="nil"/>
              <w:bottom w:val="single" w:sz="2" w:space="0" w:color="2F5496" w:themeColor="accent1" w:themeShade="BF"/>
              <w:right w:val="nil"/>
            </w:tcBorders>
            <w:shd w:val="clear" w:color="auto" w:fill="auto"/>
            <w:vAlign w:val="center"/>
            <w:hideMark/>
          </w:tcPr>
          <w:p w14:paraId="59EE90B6"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12</w:t>
            </w:r>
            <w:r w:rsidRPr="00732C30">
              <w:rPr>
                <w:color w:val="auto"/>
                <w:lang w:eastAsia="en-US"/>
              </w:rPr>
              <w:t>%</w:t>
            </w:r>
          </w:p>
        </w:tc>
        <w:tc>
          <w:tcPr>
            <w:tcW w:w="1858" w:type="dxa"/>
            <w:tcBorders>
              <w:top w:val="nil"/>
              <w:left w:val="nil"/>
              <w:bottom w:val="single" w:sz="2" w:space="0" w:color="2F5496" w:themeColor="accent1" w:themeShade="BF"/>
              <w:right w:val="nil"/>
            </w:tcBorders>
            <w:shd w:val="clear" w:color="auto" w:fill="auto"/>
            <w:vAlign w:val="center"/>
            <w:hideMark/>
          </w:tcPr>
          <w:p w14:paraId="303276C7" w14:textId="77777777" w:rsidR="003C4F2E" w:rsidRDefault="003C4F2E">
            <w:pPr>
              <w:pStyle w:val="08-Tabelageral"/>
              <w:jc w:val="center"/>
              <w:cnfStyle w:val="000000010000" w:firstRow="0" w:lastRow="0" w:firstColumn="0" w:lastColumn="0" w:oddVBand="0" w:evenVBand="0" w:oddHBand="0" w:evenHBand="1" w:firstRowFirstColumn="0" w:firstRowLastColumn="0" w:lastRowFirstColumn="0" w:lastRowLastColumn="0"/>
              <w:rPr>
                <w:lang w:eastAsia="en-US"/>
              </w:rPr>
            </w:pPr>
            <w:r>
              <w:rPr>
                <w:color w:val="auto"/>
                <w:lang w:eastAsia="en-US"/>
              </w:rPr>
              <w:t>12%</w:t>
            </w:r>
          </w:p>
        </w:tc>
      </w:tr>
    </w:tbl>
    <w:p w14:paraId="6DE8F949" w14:textId="77777777" w:rsidR="003C4F2E" w:rsidRPr="00AB3113" w:rsidRDefault="003C4F2E" w:rsidP="003C4F2E">
      <w:pPr>
        <w:pStyle w:val="07-Legenda"/>
        <w:numPr>
          <w:ilvl w:val="0"/>
          <w:numId w:val="58"/>
        </w:numPr>
        <w:ind w:left="0" w:firstLine="0"/>
        <w:rPr>
          <w:color w:val="000000"/>
          <w:lang w:val="en-US"/>
        </w:rPr>
      </w:pPr>
      <w:r w:rsidRPr="00AB3113">
        <w:rPr>
          <w:color w:val="000000"/>
          <w:lang w:val="en-US"/>
        </w:rPr>
        <w:t>Executive officers and technical s</w:t>
      </w:r>
      <w:r>
        <w:rPr>
          <w:color w:val="000000"/>
          <w:lang w:val="en-US"/>
        </w:rPr>
        <w:t>taff</w:t>
      </w:r>
    </w:p>
    <w:p w14:paraId="1DB055D7" w14:textId="77777777" w:rsidR="003C4F2E" w:rsidRPr="00C71782" w:rsidRDefault="003C4F2E" w:rsidP="003C4F2E">
      <w:pPr>
        <w:pStyle w:val="07-Legenda"/>
        <w:numPr>
          <w:ilvl w:val="0"/>
          <w:numId w:val="58"/>
        </w:numPr>
        <w:ind w:left="0" w:firstLine="0"/>
        <w:rPr>
          <w:color w:val="000000"/>
          <w:lang w:val="en-US"/>
        </w:rPr>
      </w:pPr>
      <w:r w:rsidRPr="00C71782">
        <w:rPr>
          <w:color w:val="000000"/>
          <w:lang w:val="en-US"/>
        </w:rPr>
        <w:t>Included board of directors, f</w:t>
      </w:r>
      <w:r>
        <w:rPr>
          <w:color w:val="000000"/>
          <w:lang w:val="en-US"/>
        </w:rPr>
        <w:t xml:space="preserve">iscal council and members of audit, related party transactions and </w:t>
      </w:r>
      <w:proofErr w:type="spellStart"/>
      <w:r>
        <w:rPr>
          <w:color w:val="000000"/>
          <w:lang w:val="en-US"/>
        </w:rPr>
        <w:t>elegibility</w:t>
      </w:r>
      <w:proofErr w:type="spellEnd"/>
      <w:r>
        <w:rPr>
          <w:color w:val="000000"/>
          <w:lang w:val="en-US"/>
        </w:rPr>
        <w:t xml:space="preserve"> committees.</w:t>
      </w:r>
    </w:p>
    <w:p w14:paraId="10D9D760" w14:textId="77777777" w:rsidR="003C4F2E" w:rsidRPr="00607E25" w:rsidRDefault="003C4F2E" w:rsidP="003C4F2E">
      <w:pPr>
        <w:pStyle w:val="07-Legenda"/>
        <w:numPr>
          <w:ilvl w:val="0"/>
          <w:numId w:val="58"/>
        </w:numPr>
        <w:ind w:left="0" w:firstLine="0"/>
        <w:rPr>
          <w:color w:val="000000"/>
          <w:lang w:val="en-US"/>
        </w:rPr>
      </w:pPr>
      <w:r w:rsidRPr="00607E25">
        <w:rPr>
          <w:color w:val="000000"/>
          <w:lang w:val="en-US"/>
        </w:rPr>
        <w:t>The percentage was calculated on the total number of staff.</w:t>
      </w:r>
    </w:p>
    <w:p w14:paraId="10282F2E" w14:textId="77777777" w:rsidR="003C4F2E" w:rsidRPr="00607E25" w:rsidRDefault="003C4F2E" w:rsidP="003C4F2E">
      <w:pPr>
        <w:pStyle w:val="01-Textonormal"/>
        <w:rPr>
          <w:u w:val="single"/>
          <w:lang w:val="en-US"/>
        </w:rPr>
      </w:pPr>
    </w:p>
    <w:p w14:paraId="70A6BF1D" w14:textId="77777777" w:rsidR="003C4F2E" w:rsidRPr="00A150AB" w:rsidRDefault="003C4F2E" w:rsidP="003C4F2E">
      <w:pPr>
        <w:pStyle w:val="01-Textonormal"/>
        <w:rPr>
          <w:rFonts w:cs="Arial"/>
          <w:b/>
          <w:u w:val="single"/>
          <w:lang w:val="en-US"/>
        </w:rPr>
      </w:pPr>
      <w:r w:rsidRPr="00A150AB">
        <w:rPr>
          <w:rFonts w:cs="Arial"/>
          <w:u w:val="single"/>
          <w:lang w:val="en-US"/>
        </w:rPr>
        <w:t>Recruitment and Selection</w:t>
      </w:r>
    </w:p>
    <w:p w14:paraId="47FEBFB5" w14:textId="77777777" w:rsidR="003C4F2E" w:rsidRPr="00A150AB" w:rsidRDefault="003C4F2E" w:rsidP="003C4F2E">
      <w:pPr>
        <w:tabs>
          <w:tab w:val="left" w:pos="1175"/>
        </w:tabs>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During 2023, </w:t>
      </w:r>
      <w:r w:rsidRPr="00A150AB">
        <w:rPr>
          <w:rFonts w:ascii="Arial" w:hAnsi="Arial" w:cs="Arial"/>
          <w:sz w:val="18"/>
          <w:szCs w:val="18"/>
          <w:lang w:val="en-US"/>
        </w:rPr>
        <w:t>44</w:t>
      </w:r>
      <w:r w:rsidRPr="00A150AB">
        <w:rPr>
          <w:rFonts w:ascii="Arial" w:hAnsi="Arial" w:cs="Arial"/>
          <w:color w:val="000000"/>
          <w:sz w:val="18"/>
          <w:szCs w:val="18"/>
          <w:lang w:val="en-US"/>
        </w:rPr>
        <w:t xml:space="preserve"> employees assigned by Banco do Brasil joined the Company. Internally, there were </w:t>
      </w:r>
      <w:r w:rsidRPr="00A150AB">
        <w:rPr>
          <w:rFonts w:ascii="Arial" w:hAnsi="Arial" w:cs="Arial"/>
          <w:sz w:val="18"/>
          <w:szCs w:val="18"/>
          <w:lang w:val="en-US"/>
        </w:rPr>
        <w:t xml:space="preserve">12 </w:t>
      </w:r>
      <w:r w:rsidRPr="00A150AB">
        <w:rPr>
          <w:rFonts w:ascii="Arial" w:hAnsi="Arial" w:cs="Arial"/>
          <w:color w:val="000000"/>
          <w:sz w:val="18"/>
          <w:szCs w:val="18"/>
          <w:lang w:val="en-US"/>
        </w:rPr>
        <w:t>employee promotions. All these activities occurred in accordance with the prerogatives established in the Internal Attraction and Selection Regulations, by means of simplified or full recruitment and selection.</w:t>
      </w:r>
    </w:p>
    <w:p w14:paraId="130D6C7B" w14:textId="77777777" w:rsidR="003C4F2E" w:rsidRPr="00A150AB" w:rsidRDefault="003C4F2E" w:rsidP="003C4F2E">
      <w:pPr>
        <w:spacing w:before="120" w:after="120"/>
        <w:jc w:val="both"/>
        <w:rPr>
          <w:rFonts w:ascii="Arial" w:hAnsi="Arial" w:cs="Arial"/>
          <w:iCs/>
          <w:color w:val="000000"/>
          <w:sz w:val="18"/>
          <w:szCs w:val="18"/>
          <w:lang w:val="en-US"/>
        </w:rPr>
      </w:pPr>
    </w:p>
    <w:p w14:paraId="0507697A" w14:textId="77777777" w:rsidR="003C4F2E" w:rsidRPr="00A150AB" w:rsidRDefault="003C4F2E" w:rsidP="003C4F2E">
      <w:pPr>
        <w:pStyle w:val="01-Textonormal"/>
        <w:rPr>
          <w:rFonts w:cs="Arial"/>
          <w:u w:val="single"/>
          <w:lang w:val="en-US"/>
        </w:rPr>
      </w:pPr>
      <w:r w:rsidRPr="00A150AB">
        <w:rPr>
          <w:rFonts w:cs="Arial"/>
          <w:u w:val="single"/>
          <w:lang w:val="en-US"/>
        </w:rPr>
        <w:t>Organizational Climate</w:t>
      </w:r>
    </w:p>
    <w:p w14:paraId="0866290B"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 xml:space="preserve">BB </w:t>
      </w:r>
      <w:proofErr w:type="spellStart"/>
      <w:r w:rsidRPr="00A150AB">
        <w:rPr>
          <w:rFonts w:ascii="Arial" w:hAnsi="Arial" w:cs="Arial"/>
          <w:color w:val="000000"/>
          <w:sz w:val="18"/>
          <w:szCs w:val="18"/>
          <w:lang w:val="en-US"/>
        </w:rPr>
        <w:t>Seguridade</w:t>
      </w:r>
      <w:proofErr w:type="spellEnd"/>
      <w:r w:rsidRPr="00A150AB">
        <w:rPr>
          <w:rFonts w:ascii="Arial" w:hAnsi="Arial" w:cs="Arial"/>
          <w:color w:val="000000"/>
          <w:sz w:val="18"/>
          <w:szCs w:val="18"/>
          <w:lang w:val="en-US"/>
        </w:rPr>
        <w:t xml:space="preserve"> carries out climate and satisfaction survey</w:t>
      </w:r>
      <w:r w:rsidRPr="00A150AB">
        <w:rPr>
          <w:rFonts w:ascii="Arial" w:hAnsi="Arial" w:cs="Arial"/>
          <w:strike/>
          <w:color w:val="000000"/>
          <w:sz w:val="18"/>
          <w:szCs w:val="18"/>
          <w:lang w:val="en-US"/>
        </w:rPr>
        <w:t>s</w:t>
      </w:r>
      <w:r w:rsidRPr="00A150AB">
        <w:rPr>
          <w:rFonts w:ascii="Arial" w:hAnsi="Arial" w:cs="Arial"/>
          <w:color w:val="000000"/>
          <w:sz w:val="18"/>
          <w:szCs w:val="18"/>
          <w:lang w:val="en-US"/>
        </w:rPr>
        <w:t xml:space="preserve"> once a year, to diagnose the points to be improved and address them through actions related to people management practices, through the Great Place to Work (GPTW) company that uses the Trust Index methodology.</w:t>
      </w:r>
    </w:p>
    <w:p w14:paraId="5241358E" w14:textId="77777777" w:rsidR="003C4F2E" w:rsidRPr="00A150AB" w:rsidRDefault="003C4F2E" w:rsidP="003C4F2E">
      <w:pPr>
        <w:spacing w:before="120" w:after="120"/>
        <w:jc w:val="both"/>
        <w:rPr>
          <w:rFonts w:ascii="Arial" w:hAnsi="Arial" w:cs="Arial"/>
          <w:color w:val="000000"/>
          <w:sz w:val="18"/>
          <w:szCs w:val="18"/>
          <w:lang w:val="en-US"/>
        </w:rPr>
      </w:pPr>
      <w:r w:rsidRPr="00A150AB">
        <w:rPr>
          <w:rFonts w:ascii="Arial" w:hAnsi="Arial" w:cs="Arial"/>
          <w:color w:val="000000"/>
          <w:sz w:val="18"/>
          <w:szCs w:val="18"/>
          <w:lang w:val="en-US"/>
        </w:rPr>
        <w:t>In 2023, the Pulse Survey was applied quarterly, consisting of the e-NPS (</w:t>
      </w:r>
      <w:r w:rsidRPr="00A150AB">
        <w:rPr>
          <w:rFonts w:ascii="Arial" w:hAnsi="Arial" w:cs="Arial"/>
          <w:i/>
          <w:color w:val="000000"/>
          <w:sz w:val="18"/>
          <w:szCs w:val="18"/>
          <w:lang w:val="en-US"/>
        </w:rPr>
        <w:t>Employee Net Promoter Score</w:t>
      </w:r>
      <w:r w:rsidRPr="00A150AB">
        <w:rPr>
          <w:rFonts w:ascii="Arial" w:hAnsi="Arial" w:cs="Arial"/>
          <w:color w:val="000000"/>
          <w:sz w:val="18"/>
          <w:szCs w:val="18"/>
          <w:lang w:val="en-US"/>
        </w:rPr>
        <w:t>) question and, in addition, a question related to the organizational climate and another related to employee engagement. These actions aim to identify, in the short term, the possible factors of employee satisfaction and/or dissatisfaction and address them.</w:t>
      </w:r>
    </w:p>
    <w:p w14:paraId="2AB06905" w14:textId="77777777" w:rsidR="003C4F2E" w:rsidRPr="00A150AB" w:rsidRDefault="003C4F2E" w:rsidP="003C4F2E">
      <w:pPr>
        <w:pStyle w:val="01-Textonormal"/>
        <w:rPr>
          <w:rFonts w:eastAsiaTheme="minorHAnsi" w:cs="Arial"/>
          <w:color w:val="000000"/>
          <w:spacing w:val="0"/>
          <w:lang w:val="en-US" w:eastAsia="en-US"/>
        </w:rPr>
      </w:pPr>
      <w:r w:rsidRPr="00A150AB">
        <w:rPr>
          <w:rFonts w:cs="Arial"/>
          <w:color w:val="000000"/>
          <w:lang w:val="en-US"/>
        </w:rPr>
        <w:t>Based on the survey of employees’ perception through these instruments, the Company has been carrying out actions to raise associate engagement and the organizational climate, such as periodic meetings with directors, area managers, and technical staff for alignment.</w:t>
      </w:r>
    </w:p>
    <w:p w14:paraId="4CB9B5E3" w14:textId="77777777" w:rsidR="003C4F2E" w:rsidRPr="00BC754A" w:rsidRDefault="003C4F2E" w:rsidP="003C4F2E">
      <w:pPr>
        <w:pStyle w:val="01-Textonormal"/>
        <w:rPr>
          <w:lang w:val="en-US"/>
        </w:rPr>
      </w:pPr>
    </w:p>
    <w:p w14:paraId="0B83B3D6" w14:textId="77777777" w:rsidR="003C4F2E" w:rsidRPr="00BC754A" w:rsidRDefault="003C4F2E" w:rsidP="007846AB">
      <w:pPr>
        <w:pStyle w:val="03-SubttulodeNota"/>
        <w:pageBreakBefore/>
        <w:spacing w:line="276" w:lineRule="auto"/>
        <w:rPr>
          <w:color w:val="1F3864" w:themeColor="accent1" w:themeShade="80"/>
          <w:lang w:val="en-US"/>
        </w:rPr>
      </w:pPr>
      <w:bookmarkStart w:id="12" w:name="_Hlk153974768"/>
      <w:r>
        <w:rPr>
          <w:color w:val="1F3864" w:themeColor="accent1" w:themeShade="80"/>
          <w:lang w:val="en-US"/>
        </w:rPr>
        <w:t xml:space="preserve">Social and Environmental Responsibility </w:t>
      </w:r>
    </w:p>
    <w:p w14:paraId="5696E192" w14:textId="77777777" w:rsidR="003C4F2E" w:rsidRPr="00A150AB" w:rsidRDefault="003C4F2E" w:rsidP="003C4F2E">
      <w:pPr>
        <w:spacing w:before="120" w:after="120"/>
        <w:jc w:val="both"/>
        <w:rPr>
          <w:rFonts w:ascii="Arial" w:eastAsia="Times New Roman" w:hAnsi="Arial" w:cs="Arial"/>
          <w:spacing w:val="-2"/>
          <w:sz w:val="18"/>
          <w:szCs w:val="18"/>
          <w:lang w:val="en-US" w:eastAsia="pt-BR"/>
        </w:rPr>
      </w:pPr>
      <w:r w:rsidRPr="00A150AB">
        <w:rPr>
          <w:rFonts w:ascii="Arial" w:eastAsia="Times New Roman" w:hAnsi="Arial" w:cs="Arial"/>
          <w:spacing w:val="-2"/>
          <w:sz w:val="18"/>
          <w:szCs w:val="18"/>
          <w:lang w:val="en-US" w:eastAsia="pt-BR"/>
        </w:rPr>
        <w:t xml:space="preserve">Below are the main sustainability practices adopted by the companies of the BB </w:t>
      </w:r>
      <w:proofErr w:type="spellStart"/>
      <w:r w:rsidRPr="00A150AB">
        <w:rPr>
          <w:rFonts w:ascii="Arial" w:eastAsia="Times New Roman" w:hAnsi="Arial" w:cs="Arial"/>
          <w:spacing w:val="-2"/>
          <w:sz w:val="18"/>
          <w:szCs w:val="18"/>
          <w:lang w:val="en-US" w:eastAsia="pt-BR"/>
        </w:rPr>
        <w:t>Seguridade</w:t>
      </w:r>
      <w:proofErr w:type="spellEnd"/>
      <w:r w:rsidRPr="00A150AB">
        <w:rPr>
          <w:rFonts w:ascii="Arial" w:eastAsia="Times New Roman" w:hAnsi="Arial" w:cs="Arial"/>
          <w:spacing w:val="-2"/>
          <w:sz w:val="18"/>
          <w:szCs w:val="18"/>
          <w:lang w:val="en-US" w:eastAsia="pt-BR"/>
        </w:rPr>
        <w:t xml:space="preserve"> Group in 2023.</w:t>
      </w:r>
    </w:p>
    <w:p w14:paraId="75588D28" w14:textId="77777777" w:rsidR="003C4F2E" w:rsidRPr="00A150AB" w:rsidRDefault="003C4F2E" w:rsidP="003C4F2E">
      <w:pPr>
        <w:spacing w:before="120" w:after="120"/>
        <w:jc w:val="both"/>
        <w:rPr>
          <w:rFonts w:ascii="Arial" w:eastAsia="Times New Roman" w:hAnsi="Arial" w:cs="Arial"/>
          <w:spacing w:val="-2"/>
          <w:sz w:val="18"/>
          <w:szCs w:val="18"/>
          <w:lang w:val="en-US" w:eastAsia="pt-BR"/>
        </w:rPr>
      </w:pPr>
    </w:p>
    <w:p w14:paraId="612C1FAE" w14:textId="77777777" w:rsidR="003C4F2E" w:rsidRPr="00A150AB" w:rsidRDefault="003C4F2E" w:rsidP="003C4F2E">
      <w:pPr>
        <w:pStyle w:val="01-Textonormal"/>
        <w:rPr>
          <w:rFonts w:cs="Arial"/>
          <w:u w:val="single"/>
        </w:rPr>
      </w:pPr>
      <w:r w:rsidRPr="00A150AB">
        <w:rPr>
          <w:rFonts w:cs="Arial"/>
          <w:u w:val="single"/>
          <w:lang w:val="en-US"/>
        </w:rPr>
        <w:t xml:space="preserve">BB </w:t>
      </w:r>
      <w:proofErr w:type="spellStart"/>
      <w:r w:rsidRPr="00A150AB">
        <w:rPr>
          <w:rFonts w:cs="Arial"/>
          <w:u w:val="single"/>
          <w:lang w:val="en-US"/>
        </w:rPr>
        <w:t>Corretora</w:t>
      </w:r>
      <w:proofErr w:type="spellEnd"/>
    </w:p>
    <w:p w14:paraId="74C842A1" w14:textId="77777777" w:rsidR="003C4F2E" w:rsidRPr="00A150AB" w:rsidRDefault="003C4F2E" w:rsidP="003C4F2E">
      <w:pPr>
        <w:pStyle w:val="05-Textonormal"/>
        <w:numPr>
          <w:ilvl w:val="0"/>
          <w:numId w:val="54"/>
        </w:numPr>
        <w:rPr>
          <w:rFonts w:cs="Arial"/>
          <w:bCs/>
          <w:lang w:val="en-US"/>
        </w:rPr>
      </w:pPr>
      <w:r w:rsidRPr="00A150AB">
        <w:rPr>
          <w:rFonts w:cs="Arial"/>
          <w:b/>
          <w:lang w:val="en-US"/>
        </w:rPr>
        <w:t>Investments with tax benefits</w:t>
      </w:r>
      <w:r w:rsidRPr="00A150AB">
        <w:rPr>
          <w:rFonts w:cs="Arial"/>
          <w:bCs/>
          <w:lang w:val="en-US"/>
        </w:rPr>
        <w:t>: In 2023, 12 social projects were supported by means of the Childhood and Adolescence Fund and the Elderly Fund, reaching more than R$ 13 million in contributions.</w:t>
      </w:r>
    </w:p>
    <w:p w14:paraId="41B11452" w14:textId="77777777" w:rsidR="003C4F2E" w:rsidRPr="00A150AB" w:rsidRDefault="003C4F2E" w:rsidP="003C4F2E">
      <w:pPr>
        <w:spacing w:before="120" w:after="120"/>
        <w:jc w:val="both"/>
        <w:rPr>
          <w:rFonts w:ascii="Arial" w:eastAsia="Times New Roman" w:hAnsi="Arial" w:cs="Arial"/>
          <w:color w:val="FF0000"/>
          <w:spacing w:val="-2"/>
          <w:sz w:val="18"/>
          <w:szCs w:val="18"/>
          <w:lang w:val="en-US" w:eastAsia="pt-BR"/>
        </w:rPr>
      </w:pPr>
    </w:p>
    <w:p w14:paraId="4165751E" w14:textId="77777777" w:rsidR="003C4F2E" w:rsidRPr="00A150AB" w:rsidRDefault="003C4F2E" w:rsidP="003C4F2E">
      <w:pPr>
        <w:pStyle w:val="01-Textonormal"/>
        <w:rPr>
          <w:rFonts w:cs="Arial"/>
          <w:u w:val="single"/>
        </w:rPr>
      </w:pPr>
      <w:proofErr w:type="spellStart"/>
      <w:r w:rsidRPr="00A150AB">
        <w:rPr>
          <w:rFonts w:cs="Arial"/>
          <w:u w:val="single"/>
          <w:lang w:val="en-US"/>
        </w:rPr>
        <w:t>Brasilseg</w:t>
      </w:r>
      <w:proofErr w:type="spellEnd"/>
    </w:p>
    <w:p w14:paraId="6C4AC5E1" w14:textId="77777777" w:rsidR="003C4F2E" w:rsidRPr="00A150AB" w:rsidRDefault="003C4F2E" w:rsidP="003C4F2E">
      <w:pPr>
        <w:pStyle w:val="05-Textonormal"/>
        <w:numPr>
          <w:ilvl w:val="0"/>
          <w:numId w:val="54"/>
        </w:numPr>
        <w:rPr>
          <w:rFonts w:cs="Arial"/>
          <w:b/>
          <w:lang w:val="en-US"/>
        </w:rPr>
      </w:pPr>
      <w:r w:rsidRPr="00A150AB">
        <w:rPr>
          <w:rFonts w:cs="Arial"/>
          <w:b/>
          <w:lang w:val="en-US"/>
        </w:rPr>
        <w:t xml:space="preserve">ISO 14001:2015: </w:t>
      </w:r>
      <w:proofErr w:type="spellStart"/>
      <w:r w:rsidRPr="00A150AB">
        <w:rPr>
          <w:rFonts w:cs="Arial"/>
          <w:bCs/>
          <w:lang w:val="en-US"/>
        </w:rPr>
        <w:t>Brasilseg</w:t>
      </w:r>
      <w:proofErr w:type="spellEnd"/>
      <w:r w:rsidRPr="00A150AB">
        <w:rPr>
          <w:rFonts w:cs="Arial"/>
          <w:bCs/>
          <w:lang w:val="en-US"/>
        </w:rPr>
        <w:t xml:space="preserve"> is ISO 14001:2015 certified, which attests to the international standard of the company's Environmental Management System (SGA). This system is based on the analysis of significant environmental aspects and impacts, direct and indirect, associated with the processes at the company's head office. Caring for the environment is a daily practice at the company, which determines goals and challenges in its sustainable management, with an impact on the entire value chain.</w:t>
      </w:r>
    </w:p>
    <w:p w14:paraId="0B963B9B" w14:textId="77777777" w:rsidR="003C4F2E" w:rsidRPr="00A150AB" w:rsidRDefault="003C4F2E" w:rsidP="003C4F2E">
      <w:pPr>
        <w:pStyle w:val="05-Textonormal"/>
        <w:numPr>
          <w:ilvl w:val="0"/>
          <w:numId w:val="54"/>
        </w:numPr>
        <w:rPr>
          <w:rFonts w:cs="Arial"/>
          <w:bCs/>
          <w:lang w:val="en-US"/>
        </w:rPr>
      </w:pPr>
      <w:r w:rsidRPr="00A150AB">
        <w:rPr>
          <w:rFonts w:cs="Arial"/>
          <w:b/>
          <w:bCs/>
          <w:lang w:val="en-US"/>
        </w:rPr>
        <w:t>U.N. Global Compact Brazil:</w:t>
      </w:r>
      <w:r w:rsidRPr="00A150AB">
        <w:rPr>
          <w:rFonts w:cs="Arial"/>
          <w:lang w:val="en-US"/>
        </w:rPr>
        <w:t xml:space="preserve"> </w:t>
      </w:r>
      <w:proofErr w:type="spellStart"/>
      <w:r w:rsidRPr="00A150AB">
        <w:rPr>
          <w:rFonts w:cs="Arial"/>
          <w:lang w:val="en-US"/>
        </w:rPr>
        <w:t>Brasilseg</w:t>
      </w:r>
      <w:proofErr w:type="spellEnd"/>
      <w:r w:rsidRPr="00A150AB">
        <w:rPr>
          <w:rFonts w:cs="Arial"/>
          <w:lang w:val="en-US"/>
        </w:rPr>
        <w:t xml:space="preserve"> is a signatory of the Global Compact, aiming at contributing to building a more inclusive and equitable market. Its operation is aligned with the SDGs - Sustainable Development Goals, through a set of commitments, </w:t>
      </w:r>
      <w:proofErr w:type="gramStart"/>
      <w:r w:rsidRPr="00A150AB">
        <w:rPr>
          <w:rFonts w:cs="Arial"/>
          <w:lang w:val="en-US"/>
        </w:rPr>
        <w:t>programs</w:t>
      </w:r>
      <w:proofErr w:type="gramEnd"/>
      <w:r w:rsidRPr="00A150AB">
        <w:rPr>
          <w:rFonts w:cs="Arial"/>
          <w:lang w:val="en-US"/>
        </w:rPr>
        <w:t xml:space="preserve"> and goals in areas such as diversity, inclusion, customer relations and compliance. Additionally, it promotes employee engagement with the cause through educational actions within the company itself. </w:t>
      </w:r>
    </w:p>
    <w:p w14:paraId="1D796E52" w14:textId="77777777" w:rsidR="003C4F2E" w:rsidRPr="00A150AB" w:rsidRDefault="003C4F2E" w:rsidP="003C4F2E">
      <w:pPr>
        <w:pStyle w:val="05-Textonormal"/>
        <w:numPr>
          <w:ilvl w:val="0"/>
          <w:numId w:val="54"/>
        </w:numPr>
        <w:rPr>
          <w:rFonts w:cs="Arial"/>
          <w:bCs/>
          <w:lang w:val="en-US"/>
        </w:rPr>
      </w:pPr>
      <w:r w:rsidRPr="00A150AB">
        <w:rPr>
          <w:rFonts w:cs="Arial"/>
          <w:b/>
          <w:bCs/>
          <w:lang w:val="en-US"/>
        </w:rPr>
        <w:t xml:space="preserve">Brazilian GHG Protocol Program: </w:t>
      </w:r>
      <w:r w:rsidRPr="00A150AB">
        <w:rPr>
          <w:rFonts w:cs="Arial"/>
          <w:lang w:val="en-US"/>
        </w:rPr>
        <w:t xml:space="preserve">The company measures greenhouse gas emissions at its administrative head office and in Franca, through the </w:t>
      </w:r>
      <w:r w:rsidRPr="00A150AB">
        <w:rPr>
          <w:rFonts w:cs="Arial"/>
          <w:bCs/>
          <w:i/>
          <w:iCs/>
          <w:lang w:val="en-US"/>
        </w:rPr>
        <w:t>GHG Protocol</w:t>
      </w:r>
      <w:r w:rsidRPr="00A150AB">
        <w:rPr>
          <w:rFonts w:cs="Arial"/>
          <w:lang w:val="en-US"/>
        </w:rPr>
        <w:t xml:space="preserve"> Carbon Management Tool, to offset emissions. The process covers all employees and, in the calculation of emissions, </w:t>
      </w:r>
      <w:proofErr w:type="gramStart"/>
      <w:r w:rsidRPr="00A150AB">
        <w:rPr>
          <w:rFonts w:cs="Arial"/>
          <w:lang w:val="en-US"/>
        </w:rPr>
        <w:t>takes into account</w:t>
      </w:r>
      <w:proofErr w:type="gramEnd"/>
      <w:r w:rsidRPr="00A150AB">
        <w:rPr>
          <w:rFonts w:cs="Arial"/>
          <w:lang w:val="en-US"/>
        </w:rPr>
        <w:t xml:space="preserve"> energy consumption, waste generated, the commute of employees to the company and travel on business trips. </w:t>
      </w:r>
    </w:p>
    <w:p w14:paraId="5689FE6E" w14:textId="77777777" w:rsidR="003C4F2E" w:rsidRPr="00A150AB" w:rsidRDefault="003C4F2E" w:rsidP="003C4F2E">
      <w:pPr>
        <w:pStyle w:val="05-Textonormal"/>
        <w:numPr>
          <w:ilvl w:val="0"/>
          <w:numId w:val="54"/>
        </w:numPr>
        <w:rPr>
          <w:rFonts w:cs="Arial"/>
          <w:bCs/>
          <w:lang w:val="en-US"/>
        </w:rPr>
      </w:pPr>
      <w:r w:rsidRPr="00A150AB">
        <w:rPr>
          <w:rFonts w:cs="Arial"/>
          <w:b/>
          <w:lang w:val="en-US"/>
        </w:rPr>
        <w:t xml:space="preserve">Principles for Sustainable Insurance (PSI): </w:t>
      </w:r>
      <w:r w:rsidRPr="00A150AB">
        <w:rPr>
          <w:rFonts w:cs="Arial"/>
          <w:bCs/>
          <w:lang w:val="en-US"/>
        </w:rPr>
        <w:t xml:space="preserve">The company is a signatory to the PSI and has been developing actions, </w:t>
      </w:r>
      <w:proofErr w:type="gramStart"/>
      <w:r w:rsidRPr="00A150AB">
        <w:rPr>
          <w:rFonts w:cs="Arial"/>
          <w:bCs/>
          <w:lang w:val="en-US"/>
        </w:rPr>
        <w:t>projects</w:t>
      </w:r>
      <w:proofErr w:type="gramEnd"/>
      <w:r w:rsidRPr="00A150AB">
        <w:rPr>
          <w:rFonts w:cs="Arial"/>
          <w:bCs/>
          <w:lang w:val="en-US"/>
        </w:rPr>
        <w:t xml:space="preserve"> and investments to comply with them.</w:t>
      </w:r>
    </w:p>
    <w:p w14:paraId="06F2961C" w14:textId="77777777" w:rsidR="003C4F2E" w:rsidRPr="00A150AB" w:rsidRDefault="003C4F2E" w:rsidP="003C4F2E">
      <w:pPr>
        <w:pStyle w:val="05-Textonormal"/>
        <w:numPr>
          <w:ilvl w:val="0"/>
          <w:numId w:val="54"/>
        </w:numPr>
        <w:rPr>
          <w:rFonts w:cs="Arial"/>
          <w:bCs/>
          <w:lang w:val="en-US"/>
        </w:rPr>
      </w:pPr>
      <w:r w:rsidRPr="00A150AB">
        <w:rPr>
          <w:rFonts w:cs="Arial"/>
          <w:b/>
          <w:lang w:val="en-US"/>
        </w:rPr>
        <w:t>Women on Board – WOB</w:t>
      </w:r>
      <w:r w:rsidRPr="00A150AB">
        <w:rPr>
          <w:rFonts w:cs="Arial"/>
          <w:bCs/>
          <w:lang w:val="en-US"/>
        </w:rPr>
        <w:t>: Certification that recognizes good practices in corporate environments with the presence of women on boards of directors or advisory boards, to demonstrate the benefits of this diversity to the business world and society.</w:t>
      </w:r>
    </w:p>
    <w:p w14:paraId="237562FA" w14:textId="77777777" w:rsidR="003C4F2E" w:rsidRPr="00A150AB" w:rsidRDefault="003C4F2E" w:rsidP="003C4F2E">
      <w:pPr>
        <w:pStyle w:val="05-Textonormal"/>
        <w:numPr>
          <w:ilvl w:val="0"/>
          <w:numId w:val="54"/>
        </w:numPr>
        <w:rPr>
          <w:rFonts w:cs="Arial"/>
          <w:bCs/>
          <w:lang w:val="en-US"/>
        </w:rPr>
      </w:pPr>
      <w:r w:rsidRPr="00A150AB">
        <w:rPr>
          <w:rFonts w:cs="Arial"/>
          <w:b/>
          <w:lang w:val="en-US"/>
        </w:rPr>
        <w:t>Investments with tax benefits</w:t>
      </w:r>
      <w:r w:rsidRPr="00A150AB">
        <w:rPr>
          <w:rFonts w:cs="Arial"/>
          <w:bCs/>
          <w:lang w:val="en-US"/>
        </w:rPr>
        <w:t xml:space="preserve">: In 2023, 51 socio-cultural projects were sponsored through the Culture Incentive Law, the Sports Incentive Law, the Childhood and Adolescence Fund and the Elderly Fund, </w:t>
      </w:r>
      <w:proofErr w:type="spellStart"/>
      <w:r w:rsidRPr="00A150AB">
        <w:rPr>
          <w:rFonts w:cs="Arial"/>
          <w:bCs/>
          <w:lang w:val="en-US"/>
        </w:rPr>
        <w:t>Pronon</w:t>
      </w:r>
      <w:proofErr w:type="spellEnd"/>
      <w:r w:rsidRPr="00A150AB">
        <w:rPr>
          <w:rFonts w:cs="Arial"/>
          <w:bCs/>
          <w:lang w:val="en-US"/>
        </w:rPr>
        <w:t xml:space="preserve"> and </w:t>
      </w:r>
      <w:proofErr w:type="spellStart"/>
      <w:r w:rsidRPr="00A150AB">
        <w:rPr>
          <w:rFonts w:cs="Arial"/>
          <w:bCs/>
          <w:lang w:val="en-US"/>
        </w:rPr>
        <w:t>Pronas</w:t>
      </w:r>
      <w:proofErr w:type="spellEnd"/>
      <w:r w:rsidRPr="00A150AB">
        <w:rPr>
          <w:rFonts w:cs="Arial"/>
          <w:bCs/>
          <w:lang w:val="en-US"/>
        </w:rPr>
        <w:t>, benefiting more than 300,000 people.</w:t>
      </w:r>
    </w:p>
    <w:p w14:paraId="6962CA23" w14:textId="77777777" w:rsidR="003C4F2E" w:rsidRPr="00A150AB" w:rsidRDefault="003C4F2E" w:rsidP="003C4F2E">
      <w:pPr>
        <w:pStyle w:val="01-Textonormal"/>
        <w:rPr>
          <w:rFonts w:cs="Arial"/>
          <w:lang w:val="en-US"/>
        </w:rPr>
      </w:pPr>
      <w:r w:rsidRPr="00A150AB">
        <w:rPr>
          <w:rFonts w:cs="Arial"/>
          <w:bCs/>
          <w:lang w:val="en-US"/>
        </w:rPr>
        <w:t xml:space="preserve">Information related to the topic is available at </w:t>
      </w:r>
      <w:hyperlink r:id="rId16" w:history="1">
        <w:r w:rsidRPr="00A150AB">
          <w:rPr>
            <w:rStyle w:val="Hyperlink"/>
            <w:rFonts w:cs="Arial"/>
            <w:lang w:val="en-US"/>
          </w:rPr>
          <w:t>https://www.bbseguros.com.br/seguros/sustentabilidade.</w:t>
        </w:r>
      </w:hyperlink>
    </w:p>
    <w:p w14:paraId="0DF19F32" w14:textId="77777777" w:rsidR="003C4F2E" w:rsidRPr="00A150AB" w:rsidRDefault="003C4F2E" w:rsidP="003C4F2E">
      <w:pPr>
        <w:spacing w:line="256" w:lineRule="auto"/>
        <w:rPr>
          <w:rFonts w:ascii="Arial" w:eastAsia="Times New Roman" w:hAnsi="Arial" w:cs="Arial"/>
          <w:bCs/>
          <w:color w:val="FF0000"/>
          <w:spacing w:val="-2"/>
          <w:sz w:val="18"/>
          <w:szCs w:val="18"/>
          <w:highlight w:val="yellow"/>
          <w:lang w:val="en-US" w:eastAsia="pt-BR"/>
        </w:rPr>
      </w:pPr>
    </w:p>
    <w:p w14:paraId="09750C05" w14:textId="77777777" w:rsidR="003C4F2E" w:rsidRPr="00A150AB" w:rsidRDefault="003C4F2E" w:rsidP="003C4F2E">
      <w:pPr>
        <w:pStyle w:val="01-Textonormal"/>
        <w:rPr>
          <w:rFonts w:cs="Arial"/>
          <w:u w:val="single"/>
        </w:rPr>
      </w:pPr>
      <w:proofErr w:type="spellStart"/>
      <w:r w:rsidRPr="00A150AB">
        <w:rPr>
          <w:rFonts w:cs="Arial"/>
          <w:u w:val="single"/>
          <w:lang w:val="en-US"/>
        </w:rPr>
        <w:t>Brasilprev</w:t>
      </w:r>
      <w:proofErr w:type="spellEnd"/>
    </w:p>
    <w:p w14:paraId="6A5AE0E6" w14:textId="77777777" w:rsidR="003C4F2E" w:rsidRPr="00A150AB" w:rsidRDefault="003C4F2E" w:rsidP="003C4F2E">
      <w:pPr>
        <w:pStyle w:val="05-Textonormal"/>
        <w:numPr>
          <w:ilvl w:val="0"/>
          <w:numId w:val="54"/>
        </w:numPr>
        <w:ind w:left="714" w:hanging="357"/>
        <w:rPr>
          <w:rFonts w:cs="Arial"/>
          <w:lang w:val="en-US"/>
        </w:rPr>
      </w:pPr>
      <w:r w:rsidRPr="00A150AB">
        <w:rPr>
          <w:rFonts w:cs="Arial"/>
          <w:b/>
          <w:lang w:val="en-US"/>
        </w:rPr>
        <w:t>Principles for Responsible Investment (PRI):</w:t>
      </w:r>
      <w:r w:rsidRPr="00A150AB">
        <w:rPr>
          <w:rFonts w:cs="Arial"/>
          <w:lang w:val="en-US"/>
        </w:rPr>
        <w:t xml:space="preserve"> </w:t>
      </w:r>
      <w:proofErr w:type="spellStart"/>
      <w:r w:rsidRPr="00A150AB">
        <w:rPr>
          <w:rFonts w:cs="Arial"/>
          <w:lang w:val="en-US"/>
        </w:rPr>
        <w:t>Brasilprev</w:t>
      </w:r>
      <w:proofErr w:type="spellEnd"/>
      <w:r w:rsidRPr="00A150AB">
        <w:rPr>
          <w:rFonts w:cs="Arial"/>
          <w:lang w:val="en-US"/>
        </w:rPr>
        <w:t xml:space="preserve"> has been part of the PRI since 2017. The PRI is recognized for setting global standards related to responsible investment, encouraging investors to incorporate ESG aspects into their investment processes.</w:t>
      </w:r>
    </w:p>
    <w:p w14:paraId="3B72C387" w14:textId="77777777" w:rsidR="003C4F2E" w:rsidRPr="00A150AB" w:rsidRDefault="003C4F2E" w:rsidP="003C4F2E">
      <w:pPr>
        <w:numPr>
          <w:ilvl w:val="0"/>
          <w:numId w:val="54"/>
        </w:numPr>
        <w:spacing w:before="120" w:after="120" w:line="276" w:lineRule="auto"/>
        <w:jc w:val="both"/>
        <w:rPr>
          <w:rFonts w:ascii="Arial" w:eastAsia="Times New Roman" w:hAnsi="Arial" w:cs="Arial"/>
          <w:spacing w:val="-2"/>
          <w:sz w:val="18"/>
          <w:szCs w:val="18"/>
          <w:lang w:val="en-US" w:eastAsia="pt-BR"/>
        </w:rPr>
      </w:pPr>
      <w:r w:rsidRPr="00A150AB">
        <w:rPr>
          <w:rFonts w:ascii="Arial" w:eastAsia="Times New Roman" w:hAnsi="Arial" w:cs="Arial"/>
          <w:b/>
          <w:bCs/>
          <w:spacing w:val="-2"/>
          <w:sz w:val="18"/>
          <w:szCs w:val="18"/>
          <w:lang w:val="en-US" w:eastAsia="pt-BR"/>
        </w:rPr>
        <w:t>Green Bond Statement:</w:t>
      </w:r>
      <w:r w:rsidRPr="00A150AB">
        <w:rPr>
          <w:rFonts w:ascii="Arial" w:eastAsia="Times New Roman" w:hAnsi="Arial" w:cs="Arial"/>
          <w:spacing w:val="-2"/>
          <w:sz w:val="18"/>
          <w:szCs w:val="18"/>
          <w:lang w:val="en-US" w:eastAsia="pt-BR"/>
        </w:rPr>
        <w:t xml:space="preserve">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has been a signatory since 2017, together with other investors, representing approximately R$1.8 trillion in assets under management. In the statement, the signatories make a commitment to dialogue with entities, government or not, </w:t>
      </w:r>
      <w:proofErr w:type="gramStart"/>
      <w:r w:rsidRPr="00A150AB">
        <w:rPr>
          <w:rFonts w:ascii="Arial" w:eastAsia="Times New Roman" w:hAnsi="Arial" w:cs="Arial"/>
          <w:spacing w:val="-2"/>
          <w:sz w:val="18"/>
          <w:szCs w:val="18"/>
          <w:lang w:val="en-US" w:eastAsia="pt-BR"/>
        </w:rPr>
        <w:t>in order to</w:t>
      </w:r>
      <w:proofErr w:type="gramEnd"/>
      <w:r w:rsidRPr="00A150AB">
        <w:rPr>
          <w:rFonts w:ascii="Arial" w:eastAsia="Times New Roman" w:hAnsi="Arial" w:cs="Arial"/>
          <w:spacing w:val="-2"/>
          <w:sz w:val="18"/>
          <w:szCs w:val="18"/>
          <w:lang w:val="en-US" w:eastAsia="pt-BR"/>
        </w:rPr>
        <w:t xml:space="preserve"> stimulate the development of a robust Brazilian green bond market that truly contributes to addressing climate change. (Source: </w:t>
      </w:r>
      <w:hyperlink r:id="rId17" w:history="1">
        <w:r w:rsidRPr="00A150AB">
          <w:rPr>
            <w:rStyle w:val="Hyperlink"/>
            <w:rFonts w:ascii="Arial" w:eastAsia="Times New Roman" w:hAnsi="Arial" w:cs="Arial"/>
            <w:spacing w:val="-2"/>
            <w:sz w:val="18"/>
            <w:szCs w:val="18"/>
            <w:lang w:val="en-US" w:eastAsia="pt-BR"/>
          </w:rPr>
          <w:t>https://www.climatebonds.net/market/country/brasil/declaracao-de-investidores</w:t>
        </w:r>
      </w:hyperlink>
      <w:r w:rsidRPr="00A150AB">
        <w:rPr>
          <w:rFonts w:ascii="Arial" w:eastAsia="Times New Roman" w:hAnsi="Arial" w:cs="Arial"/>
          <w:spacing w:val="-2"/>
          <w:sz w:val="18"/>
          <w:szCs w:val="18"/>
          <w:lang w:val="en-US" w:eastAsia="pt-BR"/>
        </w:rPr>
        <w:t>)</w:t>
      </w:r>
    </w:p>
    <w:p w14:paraId="3CC3E211" w14:textId="77777777" w:rsidR="003C4F2E" w:rsidRPr="00A150AB" w:rsidRDefault="003C4F2E" w:rsidP="003C4F2E">
      <w:pPr>
        <w:numPr>
          <w:ilvl w:val="0"/>
          <w:numId w:val="54"/>
        </w:numPr>
        <w:spacing w:before="120" w:after="120" w:line="276" w:lineRule="auto"/>
        <w:jc w:val="both"/>
        <w:rPr>
          <w:rFonts w:ascii="Arial" w:eastAsia="Times New Roman" w:hAnsi="Arial" w:cs="Arial"/>
          <w:spacing w:val="-2"/>
          <w:sz w:val="18"/>
          <w:szCs w:val="18"/>
          <w:lang w:val="en-US" w:eastAsia="pt-BR"/>
        </w:rPr>
      </w:pPr>
      <w:r w:rsidRPr="00A150AB">
        <w:rPr>
          <w:rFonts w:ascii="Arial" w:eastAsia="Times New Roman" w:hAnsi="Arial" w:cs="Arial"/>
          <w:b/>
          <w:bCs/>
          <w:spacing w:val="-2"/>
          <w:sz w:val="18"/>
          <w:szCs w:val="18"/>
          <w:lang w:val="en-US" w:eastAsia="pt-BR"/>
        </w:rPr>
        <w:t>Carbon Disclosure Project</w:t>
      </w:r>
      <w:r w:rsidRPr="00A150AB">
        <w:rPr>
          <w:rFonts w:ascii="Arial" w:eastAsia="Times New Roman" w:hAnsi="Arial" w:cs="Arial"/>
          <w:spacing w:val="-2"/>
          <w:sz w:val="18"/>
          <w:szCs w:val="18"/>
          <w:lang w:val="en-US" w:eastAsia="pt-BR"/>
        </w:rPr>
        <w:t xml:space="preserve"> </w:t>
      </w:r>
      <w:r w:rsidRPr="00A150AB">
        <w:rPr>
          <w:rFonts w:ascii="Arial" w:eastAsia="Times New Roman" w:hAnsi="Arial" w:cs="Arial"/>
          <w:b/>
          <w:bCs/>
          <w:spacing w:val="-2"/>
          <w:sz w:val="18"/>
          <w:szCs w:val="18"/>
          <w:lang w:val="en-US" w:eastAsia="pt-BR"/>
        </w:rPr>
        <w:t>(CDP):</w:t>
      </w:r>
      <w:r w:rsidRPr="00A150AB">
        <w:rPr>
          <w:rFonts w:ascii="Arial" w:eastAsia="Times New Roman" w:hAnsi="Arial" w:cs="Arial"/>
          <w:spacing w:val="-2"/>
          <w:sz w:val="18"/>
          <w:szCs w:val="18"/>
          <w:lang w:val="en-US" w:eastAsia="pt-BR"/>
        </w:rPr>
        <w:t xml:space="preserve">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participates in the CDP as a signatory investor, having access to its global database with information about the commitment of companies, whether potential or already invested, in relation to carbon emissions and sustainability actions.</w:t>
      </w:r>
    </w:p>
    <w:p w14:paraId="41C47FB7" w14:textId="77777777" w:rsidR="003C4F2E" w:rsidRPr="00A150AB" w:rsidRDefault="003C4F2E" w:rsidP="003C4F2E">
      <w:pPr>
        <w:pStyle w:val="PargrafodaLista"/>
        <w:numPr>
          <w:ilvl w:val="0"/>
          <w:numId w:val="54"/>
        </w:numPr>
        <w:spacing w:before="120" w:after="120" w:line="276" w:lineRule="auto"/>
        <w:jc w:val="both"/>
        <w:rPr>
          <w:rFonts w:ascii="Arial" w:eastAsia="Times New Roman" w:hAnsi="Arial" w:cs="Arial"/>
          <w:bCs/>
          <w:spacing w:val="-2"/>
          <w:sz w:val="18"/>
          <w:szCs w:val="18"/>
          <w:lang w:val="en-US" w:eastAsia="pt-BR"/>
        </w:rPr>
      </w:pPr>
      <w:r w:rsidRPr="00A150AB">
        <w:rPr>
          <w:rFonts w:ascii="Arial" w:eastAsia="Times New Roman" w:hAnsi="Arial" w:cs="Arial"/>
          <w:b/>
          <w:bCs/>
          <w:spacing w:val="-2"/>
          <w:sz w:val="18"/>
          <w:szCs w:val="18"/>
          <w:lang w:val="en-US" w:eastAsia="pt-BR"/>
        </w:rPr>
        <w:t xml:space="preserve">Sustainable Development Goals – SDGs: </w:t>
      </w:r>
      <w:proofErr w:type="spellStart"/>
      <w:r w:rsidRPr="00A150AB">
        <w:rPr>
          <w:rFonts w:ascii="Arial" w:eastAsia="Times New Roman" w:hAnsi="Arial" w:cs="Arial"/>
          <w:bCs/>
          <w:spacing w:val="-2"/>
          <w:sz w:val="18"/>
          <w:szCs w:val="18"/>
          <w:lang w:val="en-US" w:eastAsia="pt-BR"/>
        </w:rPr>
        <w:t>Brasilprev</w:t>
      </w:r>
      <w:proofErr w:type="spellEnd"/>
      <w:r w:rsidRPr="00A150AB">
        <w:rPr>
          <w:rFonts w:ascii="Arial" w:eastAsia="Times New Roman" w:hAnsi="Arial" w:cs="Arial"/>
          <w:bCs/>
          <w:spacing w:val="-2"/>
          <w:sz w:val="18"/>
          <w:szCs w:val="18"/>
          <w:lang w:val="en-US" w:eastAsia="pt-BR"/>
        </w:rPr>
        <w:t xml:space="preserve"> acts in line with the SDGs through a set of commitments and targets in areas such as ESG investment management; customer relations and satisfaction; diversity and inclusion; integrity, </w:t>
      </w:r>
      <w:proofErr w:type="gramStart"/>
      <w:r w:rsidRPr="00A150AB">
        <w:rPr>
          <w:rFonts w:ascii="Arial" w:eastAsia="Times New Roman" w:hAnsi="Arial" w:cs="Arial"/>
          <w:bCs/>
          <w:spacing w:val="-2"/>
          <w:sz w:val="18"/>
          <w:szCs w:val="18"/>
          <w:lang w:val="en-US" w:eastAsia="pt-BR"/>
        </w:rPr>
        <w:t>ethics</w:t>
      </w:r>
      <w:proofErr w:type="gramEnd"/>
      <w:r w:rsidRPr="00A150AB">
        <w:rPr>
          <w:rFonts w:ascii="Arial" w:eastAsia="Times New Roman" w:hAnsi="Arial" w:cs="Arial"/>
          <w:bCs/>
          <w:spacing w:val="-2"/>
          <w:sz w:val="18"/>
          <w:szCs w:val="18"/>
          <w:lang w:val="en-US" w:eastAsia="pt-BR"/>
        </w:rPr>
        <w:t xml:space="preserve"> and transparency; environmental management and social responsibility.</w:t>
      </w:r>
    </w:p>
    <w:p w14:paraId="2A646BA5" w14:textId="77777777" w:rsidR="003C4F2E" w:rsidRPr="00A150AB" w:rsidRDefault="003C4F2E" w:rsidP="003C4F2E">
      <w:pPr>
        <w:numPr>
          <w:ilvl w:val="0"/>
          <w:numId w:val="54"/>
        </w:numPr>
        <w:spacing w:before="120" w:after="120" w:line="276" w:lineRule="auto"/>
        <w:ind w:left="714" w:hanging="357"/>
        <w:jc w:val="both"/>
        <w:rPr>
          <w:rFonts w:ascii="Arial" w:eastAsia="Times New Roman" w:hAnsi="Arial" w:cs="Arial"/>
          <w:spacing w:val="-2"/>
          <w:sz w:val="18"/>
          <w:szCs w:val="18"/>
          <w:lang w:val="en-US" w:eastAsia="pt-BR"/>
        </w:rPr>
      </w:pPr>
      <w:r w:rsidRPr="00A150AB">
        <w:rPr>
          <w:rFonts w:ascii="Arial" w:eastAsia="Times New Roman" w:hAnsi="Arial" w:cs="Arial"/>
          <w:b/>
          <w:spacing w:val="-2"/>
          <w:sz w:val="18"/>
          <w:szCs w:val="18"/>
          <w:lang w:val="en-US" w:eastAsia="pt-BR"/>
        </w:rPr>
        <w:t xml:space="preserve">Commitments to Sustainability: </w:t>
      </w:r>
      <w:r w:rsidRPr="00A150AB">
        <w:rPr>
          <w:rFonts w:ascii="Arial" w:eastAsia="Times New Roman" w:hAnsi="Arial" w:cs="Arial"/>
          <w:bCs/>
          <w:spacing w:val="-2"/>
          <w:sz w:val="18"/>
          <w:szCs w:val="18"/>
          <w:lang w:val="en-US" w:eastAsia="pt-BR"/>
        </w:rPr>
        <w:t xml:space="preserve">In 2023, the company made Commitments to Sustainability, aligned with the SDGs, and guided by the challenge of creating an ecosystem of solutions that is a benchmark for the market. The Commitments to Sustainability establish indicators and targets that must be met by </w:t>
      </w:r>
      <w:proofErr w:type="spellStart"/>
      <w:r w:rsidRPr="00A150AB">
        <w:rPr>
          <w:rFonts w:ascii="Arial" w:eastAsia="Times New Roman" w:hAnsi="Arial" w:cs="Arial"/>
          <w:bCs/>
          <w:spacing w:val="-2"/>
          <w:sz w:val="18"/>
          <w:szCs w:val="18"/>
          <w:lang w:val="en-US" w:eastAsia="pt-BR"/>
        </w:rPr>
        <w:t>Brasilprev</w:t>
      </w:r>
      <w:proofErr w:type="spellEnd"/>
      <w:r w:rsidRPr="00A150AB">
        <w:rPr>
          <w:rFonts w:ascii="Arial" w:eastAsia="Times New Roman" w:hAnsi="Arial" w:cs="Arial"/>
          <w:bCs/>
          <w:spacing w:val="-2"/>
          <w:sz w:val="18"/>
          <w:szCs w:val="18"/>
          <w:lang w:val="en-US" w:eastAsia="pt-BR"/>
        </w:rPr>
        <w:t xml:space="preserve"> by 2026, within the five pillars of sustainable development, and which is available at the following link: </w:t>
      </w:r>
      <w:hyperlink r:id="rId18" w:history="1">
        <w:r w:rsidRPr="00A150AB">
          <w:rPr>
            <w:rStyle w:val="Hyperlink"/>
            <w:rFonts w:ascii="Arial" w:hAnsi="Arial" w:cs="Arial"/>
            <w:sz w:val="18"/>
            <w:szCs w:val="18"/>
            <w:lang w:val="en-US"/>
          </w:rPr>
          <w:t>https://bp-arquivos-fundos.brasilprev.com.br/gerais/sustentabilidade-um-investimento-no-futuro-2023.pdf</w:t>
        </w:r>
      </w:hyperlink>
    </w:p>
    <w:p w14:paraId="69825C73" w14:textId="77777777" w:rsidR="003C4F2E" w:rsidRPr="00A150AB" w:rsidRDefault="003C4F2E" w:rsidP="003C4F2E">
      <w:pPr>
        <w:pStyle w:val="PargrafodaLista"/>
        <w:numPr>
          <w:ilvl w:val="0"/>
          <w:numId w:val="54"/>
        </w:numPr>
        <w:spacing w:before="120" w:after="120" w:line="276" w:lineRule="auto"/>
        <w:jc w:val="both"/>
        <w:rPr>
          <w:rFonts w:ascii="Arial" w:eastAsia="Times New Roman" w:hAnsi="Arial" w:cs="Arial"/>
          <w:bCs/>
          <w:spacing w:val="-2"/>
          <w:sz w:val="18"/>
          <w:szCs w:val="18"/>
          <w:lang w:val="en-US" w:eastAsia="pt-BR"/>
        </w:rPr>
      </w:pPr>
      <w:r w:rsidRPr="00A150AB">
        <w:rPr>
          <w:rFonts w:ascii="Arial" w:eastAsia="Times New Roman" w:hAnsi="Arial" w:cs="Arial"/>
          <w:b/>
          <w:bCs/>
          <w:spacing w:val="-2"/>
          <w:sz w:val="18"/>
          <w:szCs w:val="18"/>
          <w:lang w:val="en-US" w:eastAsia="pt-BR"/>
        </w:rPr>
        <w:t xml:space="preserve">“Vida </w:t>
      </w:r>
      <w:proofErr w:type="spellStart"/>
      <w:r w:rsidRPr="00A150AB">
        <w:rPr>
          <w:rFonts w:ascii="Arial" w:eastAsia="Times New Roman" w:hAnsi="Arial" w:cs="Arial"/>
          <w:b/>
          <w:bCs/>
          <w:spacing w:val="-2"/>
          <w:sz w:val="18"/>
          <w:szCs w:val="18"/>
          <w:lang w:val="en-US" w:eastAsia="pt-BR"/>
        </w:rPr>
        <w:t>na</w:t>
      </w:r>
      <w:proofErr w:type="spellEnd"/>
      <w:r w:rsidRPr="00A150AB">
        <w:rPr>
          <w:rFonts w:ascii="Arial" w:eastAsia="Times New Roman" w:hAnsi="Arial" w:cs="Arial"/>
          <w:b/>
          <w:bCs/>
          <w:spacing w:val="-2"/>
          <w:sz w:val="18"/>
          <w:szCs w:val="18"/>
          <w:lang w:val="en-US" w:eastAsia="pt-BR"/>
        </w:rPr>
        <w:t xml:space="preserve"> Ponta do </w:t>
      </w:r>
      <w:proofErr w:type="spellStart"/>
      <w:r w:rsidRPr="00A150AB">
        <w:rPr>
          <w:rFonts w:ascii="Arial" w:eastAsia="Times New Roman" w:hAnsi="Arial" w:cs="Arial"/>
          <w:b/>
          <w:bCs/>
          <w:spacing w:val="-2"/>
          <w:sz w:val="18"/>
          <w:szCs w:val="18"/>
          <w:lang w:val="en-US" w:eastAsia="pt-BR"/>
        </w:rPr>
        <w:t>Lápis</w:t>
      </w:r>
      <w:proofErr w:type="spellEnd"/>
      <w:r w:rsidRPr="00A150AB">
        <w:rPr>
          <w:rFonts w:ascii="Arial" w:eastAsia="Times New Roman" w:hAnsi="Arial" w:cs="Arial"/>
          <w:b/>
          <w:bCs/>
          <w:spacing w:val="-2"/>
          <w:sz w:val="18"/>
          <w:szCs w:val="18"/>
          <w:lang w:val="en-US" w:eastAsia="pt-BR"/>
        </w:rPr>
        <w:t xml:space="preserve">” Project: </w:t>
      </w:r>
      <w:r w:rsidRPr="00A150AB">
        <w:rPr>
          <w:rFonts w:ascii="Arial" w:eastAsia="Times New Roman" w:hAnsi="Arial" w:cs="Arial"/>
          <w:spacing w:val="-2"/>
          <w:sz w:val="18"/>
          <w:szCs w:val="18"/>
          <w:lang w:val="en-US" w:eastAsia="pt-BR"/>
        </w:rPr>
        <w:t xml:space="preserve">A financial education initiative carried out by </w:t>
      </w:r>
      <w:proofErr w:type="spellStart"/>
      <w:r w:rsidRPr="00A150AB">
        <w:rPr>
          <w:rFonts w:ascii="Arial" w:eastAsia="Times New Roman" w:hAnsi="Arial" w:cs="Arial"/>
          <w:spacing w:val="-2"/>
          <w:sz w:val="18"/>
          <w:szCs w:val="18"/>
          <w:lang w:val="en-US" w:eastAsia="pt-BR"/>
        </w:rPr>
        <w:t>Brasilprev</w:t>
      </w:r>
      <w:proofErr w:type="spellEnd"/>
      <w:r w:rsidRPr="00A150AB">
        <w:rPr>
          <w:rFonts w:ascii="Arial" w:eastAsia="Times New Roman" w:hAnsi="Arial" w:cs="Arial"/>
          <w:spacing w:val="-2"/>
          <w:sz w:val="18"/>
          <w:szCs w:val="18"/>
          <w:lang w:val="en-US" w:eastAsia="pt-BR"/>
        </w:rPr>
        <w:t xml:space="preserve"> in partnership with Trevisan Escola de Negócios and subsidized by the Principal Foundation, which aims to bring financial education concepts to vulnerable groups through lectures, tutorials, and online content. </w:t>
      </w:r>
    </w:p>
    <w:p w14:paraId="49219ADE" w14:textId="77777777" w:rsidR="003C4F2E" w:rsidRPr="00A150AB" w:rsidRDefault="003C4F2E" w:rsidP="003C4F2E">
      <w:pPr>
        <w:numPr>
          <w:ilvl w:val="0"/>
          <w:numId w:val="54"/>
        </w:numPr>
        <w:spacing w:before="120" w:after="120" w:line="276" w:lineRule="auto"/>
        <w:ind w:left="714" w:hanging="357"/>
        <w:jc w:val="both"/>
        <w:rPr>
          <w:rFonts w:ascii="Arial" w:eastAsia="Times New Roman" w:hAnsi="Arial" w:cs="Arial"/>
          <w:spacing w:val="-2"/>
          <w:sz w:val="18"/>
          <w:szCs w:val="18"/>
          <w:lang w:val="en-US" w:eastAsia="pt-BR"/>
        </w:rPr>
      </w:pPr>
      <w:r w:rsidRPr="00A150AB">
        <w:rPr>
          <w:rFonts w:ascii="Arial" w:hAnsi="Arial" w:cs="Arial"/>
          <w:b/>
          <w:sz w:val="18"/>
          <w:szCs w:val="18"/>
          <w:lang w:val="en-US"/>
        </w:rPr>
        <w:t>Investments with tax benefits</w:t>
      </w:r>
      <w:r w:rsidRPr="00A150AB">
        <w:rPr>
          <w:rFonts w:ascii="Arial" w:eastAsia="Times New Roman" w:hAnsi="Arial" w:cs="Arial"/>
          <w:b/>
          <w:spacing w:val="-2"/>
          <w:sz w:val="18"/>
          <w:szCs w:val="18"/>
          <w:lang w:val="en-US" w:eastAsia="pt-BR"/>
        </w:rPr>
        <w:t xml:space="preserve">: </w:t>
      </w:r>
      <w:r w:rsidRPr="00A150AB">
        <w:rPr>
          <w:rFonts w:ascii="Arial" w:eastAsia="Times New Roman" w:hAnsi="Arial" w:cs="Arial"/>
          <w:spacing w:val="-2"/>
          <w:sz w:val="18"/>
          <w:szCs w:val="18"/>
          <w:lang w:val="en-US" w:eastAsia="pt-BR"/>
        </w:rPr>
        <w:t xml:space="preserve">In 2023, 5 social projects were supported through Tax Incentive Laws (Elderly and </w:t>
      </w:r>
      <w:proofErr w:type="spellStart"/>
      <w:r w:rsidRPr="00A150AB">
        <w:rPr>
          <w:rFonts w:ascii="Arial" w:eastAsia="Times New Roman" w:hAnsi="Arial" w:cs="Arial"/>
          <w:spacing w:val="-2"/>
          <w:sz w:val="18"/>
          <w:szCs w:val="18"/>
          <w:lang w:val="en-US" w:eastAsia="pt-BR"/>
        </w:rPr>
        <w:t>Fumcad</w:t>
      </w:r>
      <w:proofErr w:type="spellEnd"/>
      <w:r w:rsidRPr="00A150AB">
        <w:rPr>
          <w:rFonts w:ascii="Arial" w:eastAsia="Times New Roman" w:hAnsi="Arial" w:cs="Arial"/>
          <w:spacing w:val="-2"/>
          <w:sz w:val="18"/>
          <w:szCs w:val="18"/>
          <w:lang w:val="en-US" w:eastAsia="pt-BR"/>
        </w:rPr>
        <w:t>), totaling R$3.6 million.</w:t>
      </w:r>
    </w:p>
    <w:p w14:paraId="293F107D" w14:textId="77777777" w:rsidR="003C4F2E" w:rsidRPr="00A150AB" w:rsidRDefault="003C4F2E" w:rsidP="003C4F2E">
      <w:pPr>
        <w:spacing w:before="120" w:after="120" w:line="276" w:lineRule="auto"/>
        <w:ind w:left="714"/>
        <w:jc w:val="both"/>
        <w:rPr>
          <w:rFonts w:ascii="Arial" w:eastAsia="Times New Roman" w:hAnsi="Arial" w:cs="Arial"/>
          <w:spacing w:val="-2"/>
          <w:sz w:val="18"/>
          <w:szCs w:val="18"/>
          <w:lang w:val="en-US" w:eastAsia="pt-BR"/>
        </w:rPr>
      </w:pPr>
    </w:p>
    <w:p w14:paraId="73685D14" w14:textId="77777777" w:rsidR="003C4F2E" w:rsidRPr="00A150AB" w:rsidRDefault="003C4F2E" w:rsidP="003C4F2E">
      <w:pPr>
        <w:pStyle w:val="01-Textonormal"/>
        <w:rPr>
          <w:rFonts w:cs="Arial"/>
          <w:lang w:val="en-US"/>
        </w:rPr>
      </w:pPr>
      <w:r w:rsidRPr="00A150AB">
        <w:rPr>
          <w:rFonts w:cs="Arial"/>
          <w:lang w:val="en-US"/>
        </w:rPr>
        <w:t>Information related to the topic is available on the company's website (</w:t>
      </w:r>
      <w:hyperlink r:id="rId19" w:history="1">
        <w:r w:rsidRPr="00A150AB">
          <w:rPr>
            <w:rStyle w:val="Hyperlink"/>
            <w:rFonts w:cs="Arial"/>
            <w:lang w:val="en-US"/>
          </w:rPr>
          <w:t>https://www1.brasilprev.com.br/sustentabilidade)</w:t>
        </w:r>
      </w:hyperlink>
      <w:r w:rsidRPr="00A150AB">
        <w:rPr>
          <w:rFonts w:cs="Arial"/>
          <w:lang w:val="en-US"/>
        </w:rPr>
        <w:t>.</w:t>
      </w:r>
    </w:p>
    <w:p w14:paraId="05C7C806" w14:textId="77777777" w:rsidR="003C4F2E" w:rsidRPr="00A150AB" w:rsidRDefault="003C4F2E" w:rsidP="003C4F2E">
      <w:pPr>
        <w:pStyle w:val="05-Textonormal"/>
        <w:spacing w:after="0" w:line="240" w:lineRule="auto"/>
        <w:rPr>
          <w:rFonts w:cs="Arial"/>
          <w:color w:val="FF0000"/>
          <w:highlight w:val="yellow"/>
          <w:lang w:val="en-US"/>
        </w:rPr>
      </w:pPr>
    </w:p>
    <w:p w14:paraId="5C51361D" w14:textId="77777777" w:rsidR="003C4F2E" w:rsidRPr="00A150AB" w:rsidRDefault="003C4F2E" w:rsidP="003C4F2E">
      <w:pPr>
        <w:pStyle w:val="01-Textonormal"/>
        <w:rPr>
          <w:rFonts w:cs="Arial"/>
          <w:u w:val="single"/>
        </w:rPr>
      </w:pPr>
      <w:r w:rsidRPr="00A150AB">
        <w:rPr>
          <w:rFonts w:cs="Arial"/>
          <w:u w:val="single"/>
          <w:lang w:val="en-US"/>
        </w:rPr>
        <w:t>Brasilcap</w:t>
      </w:r>
    </w:p>
    <w:p w14:paraId="3295EF9F" w14:textId="77777777" w:rsidR="003C4F2E" w:rsidRPr="00A150AB" w:rsidRDefault="003C4F2E" w:rsidP="003C4F2E">
      <w:pPr>
        <w:pStyle w:val="05-Textonormal"/>
        <w:numPr>
          <w:ilvl w:val="0"/>
          <w:numId w:val="53"/>
        </w:numPr>
        <w:spacing w:after="0" w:line="240" w:lineRule="auto"/>
        <w:ind w:left="709"/>
        <w:rPr>
          <w:rFonts w:cs="Arial"/>
          <w:bCs/>
          <w:lang w:val="en-US"/>
        </w:rPr>
      </w:pPr>
      <w:r w:rsidRPr="00A150AB">
        <w:rPr>
          <w:rFonts w:cs="Arial"/>
          <w:b/>
          <w:lang w:val="en-US"/>
        </w:rPr>
        <w:t xml:space="preserve">Principles for Sustainable Insurance (PSI): </w:t>
      </w:r>
      <w:r w:rsidRPr="00A150AB">
        <w:rPr>
          <w:rFonts w:cs="Arial"/>
          <w:bCs/>
          <w:lang w:val="en-US"/>
        </w:rPr>
        <w:t xml:space="preserve">Brasilcap was the first premium bonds company to become a signatory to the Principles for Sustainable Insurance (PSI), a commitment to which it has been a part since 2015. This adhesion reinforces the Company's commitment to being an important voice in seeking for a more conscious and fair society, in addition to contributing to the continuous evolution of ESG issues, mitigating risks and providing transparency in the rendering of accounts to all stakeholders. </w:t>
      </w:r>
    </w:p>
    <w:p w14:paraId="3D166E9E"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Ethos Business Pact for Integrity and Against Corruption: </w:t>
      </w:r>
      <w:r w:rsidRPr="00A150AB">
        <w:rPr>
          <w:rFonts w:cs="Arial"/>
          <w:lang w:val="en-US"/>
        </w:rPr>
        <w:t>Brasilcap already has widespread ethics, integrity, and anti-corruption practices via its Internal Control programs. And since 2022, the company has made a public commitment by adhering to the Compact, the main requirement for joining the Pro-Ethics Seal.</w:t>
      </w:r>
    </w:p>
    <w:p w14:paraId="209E84A8"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Ethos Indicators for Responsible and Sustainable Business: </w:t>
      </w:r>
      <w:r w:rsidRPr="00A150AB">
        <w:rPr>
          <w:rFonts w:cs="Arial"/>
          <w:lang w:val="en-US"/>
        </w:rPr>
        <w:t xml:space="preserve">Following the Ethos methodology, in 2023, Brasilcap defined and carried out action plans in various areas, </w:t>
      </w:r>
      <w:proofErr w:type="gramStart"/>
      <w:r w:rsidRPr="00A150AB">
        <w:rPr>
          <w:rFonts w:cs="Arial"/>
          <w:lang w:val="en-US"/>
        </w:rPr>
        <w:t>in order to</w:t>
      </w:r>
      <w:proofErr w:type="gramEnd"/>
      <w:r w:rsidRPr="00A150AB">
        <w:rPr>
          <w:rFonts w:cs="Arial"/>
          <w:lang w:val="en-US"/>
        </w:rPr>
        <w:t xml:space="preserve"> enhance its maturity in sustainability and aim for greater integration of ESG aspects in the Company, achieving the highest score in its history, 7.3. </w:t>
      </w:r>
    </w:p>
    <w:p w14:paraId="7C53F206" w14:textId="77777777" w:rsidR="003C4F2E" w:rsidRPr="00A150AB" w:rsidRDefault="003C4F2E" w:rsidP="003C4F2E">
      <w:pPr>
        <w:pStyle w:val="05-Textonormal"/>
        <w:numPr>
          <w:ilvl w:val="0"/>
          <w:numId w:val="53"/>
        </w:numPr>
        <w:rPr>
          <w:rFonts w:cs="Arial"/>
          <w:lang w:val="en-US"/>
        </w:rPr>
      </w:pPr>
      <w:r w:rsidRPr="00A150AB">
        <w:rPr>
          <w:rFonts w:cs="Arial"/>
          <w:b/>
          <w:bCs/>
          <w:lang w:val="en-US"/>
        </w:rPr>
        <w:t>UN Global Compact in Brazil:</w:t>
      </w:r>
      <w:r w:rsidRPr="00A150AB">
        <w:rPr>
          <w:rFonts w:cs="Arial"/>
          <w:lang w:val="en-US"/>
        </w:rPr>
        <w:t xml:space="preserve"> Brasilcap is an official member of the Compact with the commitment to actively participate in initiatives related to the Sustainable Development Goals, paying attention to the best market practices and trends in the sustainability agendas, reinforcing the inclusion of ESG aspects in its strategies and the implementation of the ten principles of the Global Compact on Human Rights, Decent Work, Environment and Anti-Corruption in its activities.</w:t>
      </w:r>
    </w:p>
    <w:p w14:paraId="3B78DDF2" w14:textId="77777777" w:rsidR="003C4F2E" w:rsidRPr="00A150AB" w:rsidRDefault="003C4F2E" w:rsidP="003C4F2E">
      <w:pPr>
        <w:pStyle w:val="05-Textonormal"/>
        <w:numPr>
          <w:ilvl w:val="0"/>
          <w:numId w:val="53"/>
        </w:numPr>
        <w:rPr>
          <w:rFonts w:cs="Arial"/>
          <w:lang w:val="en-US"/>
        </w:rPr>
      </w:pPr>
      <w:r w:rsidRPr="00A150AB">
        <w:rPr>
          <w:rFonts w:cs="Arial"/>
          <w:b/>
          <w:bCs/>
          <w:lang w:val="en-US"/>
        </w:rPr>
        <w:t>“Green Building LEED® C&amp;”</w:t>
      </w:r>
      <w:r w:rsidRPr="00A150AB">
        <w:rPr>
          <w:rFonts w:cs="Arial"/>
          <w:lang w:val="en-US"/>
        </w:rPr>
        <w:t xml:space="preserve"> </w:t>
      </w:r>
      <w:r w:rsidRPr="00A150AB">
        <w:rPr>
          <w:rFonts w:cs="Arial"/>
          <w:b/>
          <w:bCs/>
          <w:lang w:val="en-US"/>
        </w:rPr>
        <w:t xml:space="preserve">Certificate: </w:t>
      </w:r>
      <w:r w:rsidRPr="00A150AB">
        <w:rPr>
          <w:rFonts w:cs="Arial"/>
          <w:lang w:val="en-US"/>
        </w:rPr>
        <w:t xml:space="preserve">The company's head office is a reference in </w:t>
      </w:r>
      <w:r w:rsidRPr="00A150AB">
        <w:rPr>
          <w:rFonts w:cs="Arial"/>
          <w:i/>
          <w:iCs/>
          <w:lang w:val="en-US"/>
        </w:rPr>
        <w:t>Green Building</w:t>
      </w:r>
      <w:r w:rsidRPr="00A150AB">
        <w:rPr>
          <w:rFonts w:cs="Arial"/>
          <w:lang w:val="en-US"/>
        </w:rPr>
        <w:t>.</w:t>
      </w:r>
    </w:p>
    <w:p w14:paraId="26E759DE" w14:textId="77777777" w:rsidR="003C4F2E" w:rsidRPr="00A150AB" w:rsidRDefault="003C4F2E" w:rsidP="003C4F2E">
      <w:pPr>
        <w:numPr>
          <w:ilvl w:val="0"/>
          <w:numId w:val="53"/>
        </w:numPr>
        <w:spacing w:after="160" w:line="259" w:lineRule="auto"/>
        <w:jc w:val="both"/>
        <w:rPr>
          <w:rFonts w:ascii="Arial" w:hAnsi="Arial" w:cs="Arial"/>
          <w:sz w:val="18"/>
          <w:szCs w:val="18"/>
          <w:lang w:val="en-US"/>
        </w:rPr>
      </w:pPr>
      <w:r w:rsidRPr="00A150AB">
        <w:rPr>
          <w:rFonts w:ascii="Arial" w:hAnsi="Arial" w:cs="Arial"/>
          <w:b/>
          <w:bCs/>
          <w:sz w:val="18"/>
          <w:szCs w:val="18"/>
          <w:lang w:val="en-US"/>
        </w:rPr>
        <w:t xml:space="preserve">IX Brasilcap Solidarity Award: </w:t>
      </w:r>
      <w:r w:rsidRPr="00A150AB">
        <w:rPr>
          <w:rFonts w:ascii="Arial" w:hAnsi="Arial" w:cs="Arial"/>
          <w:sz w:val="18"/>
          <w:szCs w:val="18"/>
          <w:lang w:val="en-US"/>
        </w:rPr>
        <w:t xml:space="preserve">The IX Brasilcap Solidarity Award aimed to promote, through </w:t>
      </w:r>
      <w:proofErr w:type="spellStart"/>
      <w:r w:rsidRPr="00A150AB">
        <w:rPr>
          <w:rFonts w:ascii="Arial" w:hAnsi="Arial" w:cs="Arial"/>
          <w:sz w:val="18"/>
          <w:szCs w:val="18"/>
          <w:lang w:val="en-US"/>
        </w:rPr>
        <w:t>Ourocap's</w:t>
      </w:r>
      <w:proofErr w:type="spellEnd"/>
      <w:r w:rsidRPr="00A150AB">
        <w:rPr>
          <w:rFonts w:ascii="Arial" w:hAnsi="Arial" w:cs="Arial"/>
          <w:sz w:val="18"/>
          <w:szCs w:val="18"/>
          <w:lang w:val="en-US"/>
        </w:rPr>
        <w:t xml:space="preserve"> sales performance, solidarity translated into actions that produce value for society. The award recognized employees from Banco do </w:t>
      </w:r>
      <w:proofErr w:type="spellStart"/>
      <w:r w:rsidRPr="00A150AB">
        <w:rPr>
          <w:rFonts w:ascii="Arial" w:hAnsi="Arial" w:cs="Arial"/>
          <w:sz w:val="18"/>
          <w:szCs w:val="18"/>
          <w:lang w:val="en-US"/>
        </w:rPr>
        <w:t>Brasil's</w:t>
      </w:r>
      <w:proofErr w:type="spellEnd"/>
      <w:r w:rsidRPr="00A150AB">
        <w:rPr>
          <w:rFonts w:ascii="Arial" w:hAnsi="Arial" w:cs="Arial"/>
          <w:sz w:val="18"/>
          <w:szCs w:val="18"/>
          <w:lang w:val="en-US"/>
        </w:rPr>
        <w:t xml:space="preserve"> sales force and benefited institutions with financial support and food donations, according to the needs of each. </w:t>
      </w:r>
    </w:p>
    <w:p w14:paraId="146F6208" w14:textId="77777777" w:rsidR="003C4F2E" w:rsidRPr="00A150AB" w:rsidRDefault="003C4F2E" w:rsidP="003C4F2E">
      <w:pPr>
        <w:pStyle w:val="05-Textonormal"/>
        <w:numPr>
          <w:ilvl w:val="0"/>
          <w:numId w:val="53"/>
        </w:numPr>
        <w:rPr>
          <w:rFonts w:cs="Arial"/>
          <w:lang w:val="en-US"/>
        </w:rPr>
      </w:pPr>
      <w:r w:rsidRPr="00A150AB">
        <w:rPr>
          <w:rFonts w:cs="Arial"/>
          <w:b/>
          <w:bCs/>
          <w:lang w:val="en-US"/>
        </w:rPr>
        <w:t xml:space="preserve">Financial Education – </w:t>
      </w:r>
      <w:proofErr w:type="spellStart"/>
      <w:r w:rsidRPr="00A150AB">
        <w:rPr>
          <w:rFonts w:cs="Arial"/>
          <w:b/>
          <w:bCs/>
          <w:lang w:val="en-US"/>
        </w:rPr>
        <w:t>Educap</w:t>
      </w:r>
      <w:proofErr w:type="spellEnd"/>
      <w:r w:rsidRPr="00A150AB">
        <w:rPr>
          <w:rFonts w:cs="Arial"/>
          <w:b/>
          <w:bCs/>
          <w:lang w:val="en-US"/>
        </w:rPr>
        <w:t xml:space="preserve"> Program:</w:t>
      </w:r>
      <w:r w:rsidRPr="00A150AB">
        <w:rPr>
          <w:rFonts w:cs="Arial"/>
          <w:lang w:val="en-US"/>
        </w:rPr>
        <w:t xml:space="preserve"> Brasilcap is at the forefront of financial discipline actions through </w:t>
      </w:r>
      <w:proofErr w:type="spellStart"/>
      <w:r w:rsidRPr="00A150AB">
        <w:rPr>
          <w:rFonts w:cs="Arial"/>
          <w:lang w:val="en-US"/>
        </w:rPr>
        <w:t>Educap</w:t>
      </w:r>
      <w:proofErr w:type="spellEnd"/>
      <w:r w:rsidRPr="00A150AB">
        <w:rPr>
          <w:rFonts w:cs="Arial"/>
          <w:lang w:val="en-US"/>
        </w:rPr>
        <w:t xml:space="preserve">, </w:t>
      </w:r>
      <w:proofErr w:type="spellStart"/>
      <w:r w:rsidRPr="00A150AB">
        <w:rPr>
          <w:rFonts w:cs="Arial"/>
          <w:lang w:val="en-US"/>
        </w:rPr>
        <w:t>Brasilcap's</w:t>
      </w:r>
      <w:proofErr w:type="spellEnd"/>
      <w:r w:rsidRPr="00A150AB">
        <w:rPr>
          <w:rFonts w:cs="Arial"/>
          <w:lang w:val="en-US"/>
        </w:rPr>
        <w:t xml:space="preserve"> Financial Education Program, and has held two lectures focusing on financial education for vulnerable audiences, at the </w:t>
      </w:r>
      <w:proofErr w:type="spellStart"/>
      <w:r w:rsidRPr="00A150AB">
        <w:rPr>
          <w:rFonts w:cs="Arial"/>
          <w:lang w:val="en-US"/>
        </w:rPr>
        <w:t>Cedili</w:t>
      </w:r>
      <w:proofErr w:type="spellEnd"/>
      <w:r w:rsidRPr="00A150AB">
        <w:rPr>
          <w:rFonts w:cs="Arial"/>
          <w:lang w:val="en-US"/>
        </w:rPr>
        <w:t xml:space="preserve"> social project in Pernambuco and at Expo </w:t>
      </w:r>
      <w:proofErr w:type="spellStart"/>
      <w:r w:rsidRPr="00A150AB">
        <w:rPr>
          <w:rFonts w:cs="Arial"/>
          <w:lang w:val="en-US"/>
        </w:rPr>
        <w:t>Catadores</w:t>
      </w:r>
      <w:proofErr w:type="spellEnd"/>
      <w:r w:rsidRPr="00A150AB">
        <w:rPr>
          <w:rFonts w:cs="Arial"/>
          <w:lang w:val="en-US"/>
        </w:rPr>
        <w:t xml:space="preserve"> in Brasilia.</w:t>
      </w:r>
    </w:p>
    <w:p w14:paraId="10109238" w14:textId="77777777" w:rsidR="003C4F2E" w:rsidRPr="00A150AB" w:rsidRDefault="003C4F2E" w:rsidP="003C4F2E">
      <w:pPr>
        <w:pStyle w:val="05-Textonormal"/>
        <w:numPr>
          <w:ilvl w:val="0"/>
          <w:numId w:val="53"/>
        </w:numPr>
        <w:rPr>
          <w:rStyle w:val="ui-provider"/>
          <w:rFonts w:cs="Arial"/>
          <w:bCs/>
          <w:lang w:val="en-US"/>
        </w:rPr>
      </w:pPr>
      <w:r w:rsidRPr="00A150AB">
        <w:rPr>
          <w:rFonts w:cs="Arial"/>
          <w:b/>
          <w:lang w:val="en-US"/>
        </w:rPr>
        <w:t>Investments with tax benefits:</w:t>
      </w:r>
      <w:r w:rsidRPr="00A150AB">
        <w:rPr>
          <w:rFonts w:cs="Arial"/>
          <w:lang w:val="en-US"/>
        </w:rPr>
        <w:t xml:space="preserve"> using a metric developed especially to meet criteria relevant to the company, 24 projects were selected, spread across 7 states and 18 municipalities, supported through the Sports Law, the Children and Adolescents Fund and the Elderly Law, which benefited around 2 thousand children and young people and 56 thousand elderly people directly, totaling R$2.4 million.  </w:t>
      </w:r>
    </w:p>
    <w:p w14:paraId="66C6227E" w14:textId="77777777" w:rsidR="003C4F2E" w:rsidRPr="00A150AB" w:rsidRDefault="003C4F2E" w:rsidP="003C4F2E">
      <w:pPr>
        <w:pStyle w:val="05-Textonormal"/>
        <w:ind w:left="720"/>
        <w:rPr>
          <w:rFonts w:cs="Arial"/>
          <w:lang w:val="en-US"/>
        </w:rPr>
      </w:pPr>
    </w:p>
    <w:p w14:paraId="5A2625CC" w14:textId="77777777" w:rsidR="003C4F2E" w:rsidRPr="00A150AB" w:rsidRDefault="003C4F2E" w:rsidP="003C4F2E">
      <w:pPr>
        <w:pStyle w:val="05-Textonormal"/>
        <w:spacing w:after="0" w:line="240" w:lineRule="auto"/>
        <w:rPr>
          <w:rFonts w:cs="Arial"/>
          <w:lang w:val="en-US"/>
        </w:rPr>
      </w:pPr>
      <w:r w:rsidRPr="00A150AB">
        <w:rPr>
          <w:rFonts w:cs="Arial"/>
          <w:lang w:val="en-US"/>
        </w:rPr>
        <w:t>More information on the subject is available on the company's website (</w:t>
      </w:r>
      <w:hyperlink r:id="rId20" w:history="1">
        <w:r w:rsidRPr="00A150AB">
          <w:rPr>
            <w:rStyle w:val="Hyperlink"/>
            <w:rFonts w:cs="Arial"/>
            <w:lang w:val="en-US"/>
          </w:rPr>
          <w:t>https://www.brasilcap.com.br/brasilcap/brasilcap/responsabilidade-socioambiental/responsabilidade-socioambiental.html</w:t>
        </w:r>
      </w:hyperlink>
      <w:r w:rsidRPr="00A150AB">
        <w:rPr>
          <w:rFonts w:cs="Arial"/>
          <w:lang w:val="en-US"/>
        </w:rPr>
        <w:t>).</w:t>
      </w:r>
    </w:p>
    <w:p w14:paraId="0484DDC7" w14:textId="77777777" w:rsidR="003C4F2E" w:rsidRPr="00BC754A" w:rsidRDefault="003C4F2E" w:rsidP="003C4F2E">
      <w:pPr>
        <w:pStyle w:val="05-Textonormal"/>
        <w:ind w:left="720"/>
        <w:rPr>
          <w:lang w:val="en-US"/>
        </w:rPr>
      </w:pPr>
    </w:p>
    <w:p w14:paraId="783CC686"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 xml:space="preserve">MAIN RECOGNITIONS </w:t>
      </w:r>
    </w:p>
    <w:p w14:paraId="4E98FB77" w14:textId="77777777" w:rsidR="003C4F2E" w:rsidRPr="00A150AB" w:rsidRDefault="003C4F2E" w:rsidP="003C4F2E">
      <w:pPr>
        <w:pStyle w:val="PargrafodaLista"/>
        <w:spacing w:before="120" w:after="120"/>
        <w:ind w:left="0"/>
        <w:jc w:val="both"/>
        <w:rPr>
          <w:rFonts w:ascii="Arial" w:hAnsi="Arial" w:cs="Arial"/>
          <w:sz w:val="18"/>
          <w:szCs w:val="18"/>
          <w:lang w:val="en-US"/>
        </w:rPr>
      </w:pPr>
      <w:r w:rsidRPr="00A150AB">
        <w:rPr>
          <w:rFonts w:ascii="Arial" w:hAnsi="Arial" w:cs="Arial"/>
          <w:sz w:val="18"/>
          <w:szCs w:val="18"/>
          <w:lang w:val="en-US"/>
        </w:rPr>
        <w:t xml:space="preserve">Below are the main awards and recognitions received in 2023 by the </w:t>
      </w:r>
      <w:proofErr w:type="gramStart"/>
      <w:r w:rsidRPr="00A150AB">
        <w:rPr>
          <w:rFonts w:ascii="Arial" w:hAnsi="Arial" w:cs="Arial"/>
          <w:sz w:val="18"/>
          <w:szCs w:val="18"/>
          <w:lang w:val="en-US"/>
        </w:rPr>
        <w:t>companies</w:t>
      </w:r>
      <w:proofErr w:type="gramEnd"/>
      <w:r w:rsidRPr="00A150AB">
        <w:rPr>
          <w:rFonts w:ascii="Arial" w:hAnsi="Arial" w:cs="Arial"/>
          <w:sz w:val="18"/>
          <w:szCs w:val="18"/>
          <w:lang w:val="en-US"/>
        </w:rPr>
        <w:t xml:space="preserve"> part of the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Group:</w:t>
      </w:r>
    </w:p>
    <w:p w14:paraId="5DF3D693" w14:textId="77777777" w:rsidR="003C4F2E" w:rsidRPr="00A150AB" w:rsidRDefault="003C4F2E" w:rsidP="003C4F2E">
      <w:pPr>
        <w:pStyle w:val="PargrafodaLista"/>
        <w:spacing w:before="120" w:after="120"/>
        <w:ind w:left="0"/>
        <w:jc w:val="both"/>
        <w:rPr>
          <w:rFonts w:ascii="Arial" w:hAnsi="Arial" w:cs="Arial"/>
          <w:sz w:val="18"/>
          <w:szCs w:val="18"/>
          <w:lang w:val="en-US"/>
        </w:rPr>
      </w:pPr>
    </w:p>
    <w:p w14:paraId="6E7BB724" w14:textId="77777777" w:rsidR="003C4F2E" w:rsidRPr="00A150AB" w:rsidRDefault="003C4F2E" w:rsidP="003C4F2E">
      <w:pPr>
        <w:pStyle w:val="01-Textonormal"/>
        <w:rPr>
          <w:rFonts w:cs="Arial"/>
          <w:u w:val="single"/>
        </w:rPr>
      </w:pPr>
      <w:r w:rsidRPr="00A150AB">
        <w:rPr>
          <w:rFonts w:cs="Arial"/>
          <w:u w:val="single"/>
          <w:lang w:val="en-US"/>
        </w:rPr>
        <w:t xml:space="preserve">BB </w:t>
      </w:r>
      <w:proofErr w:type="spellStart"/>
      <w:r w:rsidRPr="00A150AB">
        <w:rPr>
          <w:rFonts w:cs="Arial"/>
          <w:u w:val="single"/>
          <w:lang w:val="en-US"/>
        </w:rPr>
        <w:t>Seguridade</w:t>
      </w:r>
      <w:proofErr w:type="spellEnd"/>
      <w:r w:rsidRPr="00A150AB">
        <w:rPr>
          <w:rFonts w:cs="Arial"/>
          <w:u w:val="single"/>
          <w:lang w:val="en-US"/>
        </w:rPr>
        <w:t xml:space="preserve"> and BB </w:t>
      </w:r>
      <w:proofErr w:type="spellStart"/>
      <w:r w:rsidRPr="00A150AB">
        <w:rPr>
          <w:rFonts w:cs="Arial"/>
          <w:u w:val="single"/>
          <w:lang w:val="en-US"/>
        </w:rPr>
        <w:t>Corretora</w:t>
      </w:r>
      <w:proofErr w:type="spellEnd"/>
    </w:p>
    <w:p w14:paraId="1B2DD5F1" w14:textId="77777777" w:rsidR="003C4F2E" w:rsidRPr="00A150AB" w:rsidRDefault="003C4F2E" w:rsidP="003C4F2E">
      <w:pPr>
        <w:pStyle w:val="PargrafodaLista"/>
        <w:spacing w:before="120" w:after="120"/>
        <w:ind w:left="360"/>
        <w:jc w:val="both"/>
        <w:rPr>
          <w:rFonts w:ascii="Arial" w:eastAsia="Times New Roman" w:hAnsi="Arial" w:cs="Arial"/>
          <w:b/>
          <w:sz w:val="18"/>
          <w:szCs w:val="18"/>
          <w:highlight w:val="yellow"/>
          <w:lang w:eastAsia="pt-BR"/>
        </w:rPr>
      </w:pPr>
    </w:p>
    <w:p w14:paraId="48754DC0" w14:textId="77777777" w:rsidR="003C4F2E" w:rsidRPr="00A150AB" w:rsidRDefault="003C4F2E" w:rsidP="003C4F2E">
      <w:pPr>
        <w:pStyle w:val="PargrafodaLista"/>
        <w:numPr>
          <w:ilvl w:val="0"/>
          <w:numId w:val="56"/>
        </w:numPr>
        <w:spacing w:after="0" w:line="276" w:lineRule="auto"/>
        <w:ind w:left="714" w:hanging="357"/>
        <w:jc w:val="both"/>
        <w:rPr>
          <w:rFonts w:ascii="Arial" w:hAnsi="Arial" w:cs="Arial"/>
          <w:b/>
          <w:bCs/>
          <w:sz w:val="18"/>
          <w:szCs w:val="18"/>
          <w:lang w:val="en-US"/>
        </w:rPr>
      </w:pPr>
      <w:r w:rsidRPr="00A150AB">
        <w:rPr>
          <w:rFonts w:ascii="Arial" w:hAnsi="Arial" w:cs="Arial"/>
          <w:b/>
          <w:bCs/>
          <w:sz w:val="18"/>
          <w:szCs w:val="18"/>
          <w:lang w:val="en-US"/>
        </w:rPr>
        <w:t xml:space="preserve">23rd Broadcast </w:t>
      </w: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Award 2023:</w:t>
      </w:r>
      <w:r w:rsidRPr="00A150AB">
        <w:rPr>
          <w:rFonts w:ascii="Arial" w:hAnsi="Arial" w:cs="Arial"/>
          <w:sz w:val="18"/>
          <w:szCs w:val="18"/>
          <w:lang w:val="en-US"/>
        </w:rPr>
        <w:t xml:space="preserv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was elected the company with the best results for its shareholders in 2022. This award recognizes the 10 publicly traded companies with the best results for investors. The assessment was carried out on 240 Brazilian companies, using 7 financial indicators (return on equity; liquidity; dividends; price/earnings ratio; share price/book value; share fluctuation and volatility). </w:t>
      </w:r>
    </w:p>
    <w:p w14:paraId="5734985D" w14:textId="77777777" w:rsidR="003C4F2E" w:rsidRPr="00A150AB" w:rsidRDefault="003C4F2E" w:rsidP="003C4F2E">
      <w:pPr>
        <w:spacing w:after="0"/>
        <w:jc w:val="both"/>
        <w:rPr>
          <w:rFonts w:ascii="Arial" w:hAnsi="Arial" w:cs="Arial"/>
          <w:b/>
          <w:bCs/>
          <w:sz w:val="18"/>
          <w:szCs w:val="18"/>
          <w:lang w:val="en-US"/>
        </w:rPr>
      </w:pPr>
    </w:p>
    <w:p w14:paraId="17C60AEB"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Mais 2023:</w:t>
      </w:r>
      <w:r w:rsidRPr="00A150AB">
        <w:rPr>
          <w:rFonts w:ascii="Arial" w:hAnsi="Arial" w:cs="Arial"/>
          <w:sz w:val="18"/>
          <w:szCs w:val="18"/>
          <w:lang w:val="en-US"/>
        </w:rPr>
        <w:t xml:space="preserve"> BB </w:t>
      </w:r>
      <w:proofErr w:type="spellStart"/>
      <w:r w:rsidRPr="00A150AB">
        <w:rPr>
          <w:rFonts w:ascii="Arial" w:hAnsi="Arial" w:cs="Arial"/>
          <w:sz w:val="18"/>
          <w:szCs w:val="18"/>
          <w:lang w:val="en-US"/>
        </w:rPr>
        <w:t>Seguridade</w:t>
      </w:r>
      <w:proofErr w:type="spellEnd"/>
      <w:r w:rsidRPr="00A150AB">
        <w:rPr>
          <w:rFonts w:ascii="Arial" w:hAnsi="Arial" w:cs="Arial"/>
          <w:sz w:val="18"/>
          <w:szCs w:val="18"/>
          <w:lang w:val="en-US"/>
        </w:rPr>
        <w:t xml:space="preserve"> won the "</w:t>
      </w:r>
      <w:proofErr w:type="spellStart"/>
      <w:r w:rsidRPr="00A150AB">
        <w:rPr>
          <w:rFonts w:ascii="Arial" w:hAnsi="Arial" w:cs="Arial"/>
          <w:sz w:val="18"/>
          <w:szCs w:val="18"/>
          <w:lang w:val="en-US"/>
        </w:rPr>
        <w:t>Empresas</w:t>
      </w:r>
      <w:proofErr w:type="spellEnd"/>
      <w:r w:rsidRPr="00A150AB">
        <w:rPr>
          <w:rFonts w:ascii="Arial" w:hAnsi="Arial" w:cs="Arial"/>
          <w:sz w:val="18"/>
          <w:szCs w:val="18"/>
          <w:lang w:val="en-US"/>
        </w:rPr>
        <w:t xml:space="preserve"> Mais do Estadão" award, in the Very </w:t>
      </w:r>
      <w:proofErr w:type="gramStart"/>
      <w:r w:rsidRPr="00A150AB">
        <w:rPr>
          <w:rFonts w:ascii="Arial" w:hAnsi="Arial" w:cs="Arial"/>
          <w:sz w:val="18"/>
          <w:szCs w:val="18"/>
          <w:lang w:val="en-US"/>
        </w:rPr>
        <w:t>High Income</w:t>
      </w:r>
      <w:proofErr w:type="gramEnd"/>
      <w:r w:rsidRPr="00A150AB">
        <w:rPr>
          <w:rFonts w:ascii="Arial" w:hAnsi="Arial" w:cs="Arial"/>
          <w:sz w:val="18"/>
          <w:szCs w:val="18"/>
          <w:lang w:val="en-US"/>
        </w:rPr>
        <w:t xml:space="preserve"> Companies by Group segment, while BB </w:t>
      </w:r>
      <w:proofErr w:type="spellStart"/>
      <w:r w:rsidRPr="00A150AB">
        <w:rPr>
          <w:rFonts w:ascii="Arial" w:hAnsi="Arial" w:cs="Arial"/>
          <w:sz w:val="18"/>
          <w:szCs w:val="18"/>
          <w:lang w:val="en-US"/>
        </w:rPr>
        <w:t>Corretora</w:t>
      </w:r>
      <w:proofErr w:type="spellEnd"/>
      <w:r w:rsidRPr="00A150AB">
        <w:rPr>
          <w:rFonts w:ascii="Arial" w:hAnsi="Arial" w:cs="Arial"/>
          <w:sz w:val="18"/>
          <w:szCs w:val="18"/>
          <w:lang w:val="en-US"/>
        </w:rPr>
        <w:t xml:space="preserve"> won in the Financial Services — Insurance Broker segment. The award is based on the size and economic and financial performance of companies in each sector. </w:t>
      </w:r>
    </w:p>
    <w:p w14:paraId="239D98C3" w14:textId="77777777" w:rsidR="003C4F2E" w:rsidRPr="00A150AB" w:rsidRDefault="003C4F2E" w:rsidP="003C4F2E">
      <w:pPr>
        <w:pStyle w:val="PargrafodaLista"/>
        <w:spacing w:before="120" w:after="120"/>
        <w:ind w:left="0"/>
        <w:jc w:val="both"/>
        <w:rPr>
          <w:rFonts w:ascii="Arial" w:hAnsi="Arial" w:cs="Arial"/>
          <w:sz w:val="18"/>
          <w:szCs w:val="18"/>
          <w:lang w:val="en-US"/>
        </w:rPr>
      </w:pPr>
    </w:p>
    <w:p w14:paraId="6FFA3DF0" w14:textId="77777777" w:rsidR="003C4F2E" w:rsidRPr="00A150AB" w:rsidRDefault="003C4F2E" w:rsidP="003C4F2E">
      <w:pPr>
        <w:pStyle w:val="01-Textonormal"/>
        <w:rPr>
          <w:rFonts w:cs="Arial"/>
          <w:u w:val="single"/>
        </w:rPr>
      </w:pPr>
      <w:proofErr w:type="spellStart"/>
      <w:r w:rsidRPr="00A150AB">
        <w:rPr>
          <w:rFonts w:cs="Arial"/>
          <w:u w:val="single"/>
          <w:lang w:val="en-US"/>
        </w:rPr>
        <w:t>Brasilseg</w:t>
      </w:r>
      <w:proofErr w:type="spellEnd"/>
    </w:p>
    <w:p w14:paraId="6E271CDE" w14:textId="77777777" w:rsidR="003C4F2E" w:rsidRPr="00A150AB" w:rsidRDefault="003C4F2E" w:rsidP="003C4F2E">
      <w:pPr>
        <w:pStyle w:val="PargrafodaLista"/>
        <w:numPr>
          <w:ilvl w:val="0"/>
          <w:numId w:val="56"/>
        </w:numPr>
        <w:spacing w:after="0" w:line="276" w:lineRule="auto"/>
        <w:ind w:left="714" w:hanging="357"/>
        <w:jc w:val="both"/>
        <w:rPr>
          <w:rFonts w:ascii="Arial" w:hAnsi="Arial" w:cs="Arial"/>
          <w:b/>
          <w:bCs/>
          <w:sz w:val="18"/>
          <w:szCs w:val="18"/>
          <w:lang w:val="en-US"/>
        </w:rPr>
      </w:pPr>
      <w:r w:rsidRPr="00A150AB">
        <w:rPr>
          <w:rFonts w:ascii="Arial" w:hAnsi="Arial" w:cs="Arial"/>
          <w:b/>
          <w:bCs/>
          <w:sz w:val="18"/>
          <w:szCs w:val="18"/>
          <w:lang w:val="en-US"/>
        </w:rPr>
        <w:t xml:space="preserve">100 Open Startups Ranking: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recognized among the 100 companies that most innovate with startups and TOP 2 in Insurance. This ranking was the result of the extensive work the company has been doing in recent years with its open innovation initiatives.</w:t>
      </w:r>
    </w:p>
    <w:p w14:paraId="6D8B5413" w14:textId="77777777" w:rsidR="003C4F2E" w:rsidRPr="00A150AB" w:rsidRDefault="003C4F2E" w:rsidP="003C4F2E">
      <w:pPr>
        <w:pStyle w:val="PargrafodaLista"/>
        <w:spacing w:after="0"/>
        <w:ind w:left="714"/>
        <w:jc w:val="both"/>
        <w:rPr>
          <w:rFonts w:ascii="Arial" w:hAnsi="Arial" w:cs="Arial"/>
          <w:sz w:val="18"/>
          <w:szCs w:val="18"/>
          <w:lang w:val="en-US"/>
        </w:rPr>
      </w:pPr>
    </w:p>
    <w:p w14:paraId="15255E9B" w14:textId="77777777" w:rsidR="003C4F2E" w:rsidRPr="00A150AB" w:rsidRDefault="003C4F2E" w:rsidP="003C4F2E">
      <w:pPr>
        <w:pStyle w:val="PargrafodaLista"/>
        <w:numPr>
          <w:ilvl w:val="0"/>
          <w:numId w:val="61"/>
        </w:numPr>
        <w:spacing w:after="0" w:line="276" w:lineRule="auto"/>
        <w:ind w:left="714" w:hanging="357"/>
        <w:jc w:val="both"/>
        <w:rPr>
          <w:rFonts w:ascii="Arial" w:hAnsi="Arial" w:cs="Arial"/>
          <w:sz w:val="18"/>
          <w:szCs w:val="18"/>
          <w:lang w:val="en-US"/>
        </w:rPr>
      </w:pPr>
      <w:r w:rsidRPr="00A150AB">
        <w:rPr>
          <w:rFonts w:ascii="Arial" w:hAnsi="Arial" w:cs="Arial"/>
          <w:b/>
          <w:bCs/>
          <w:sz w:val="18"/>
          <w:szCs w:val="18"/>
          <w:lang w:val="en-US"/>
        </w:rPr>
        <w:t xml:space="preserve">ABT 2023 Award: </w:t>
      </w:r>
      <w:r w:rsidRPr="00A150AB">
        <w:rPr>
          <w:rFonts w:ascii="Arial" w:hAnsi="Arial" w:cs="Arial"/>
          <w:sz w:val="18"/>
          <w:szCs w:val="18"/>
          <w:lang w:val="en-US"/>
        </w:rPr>
        <w:t xml:space="preserve">For the first time,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won ABT's "Company of Excellence in Customer Relations" award. Of all the participants,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obtained the highest score: 6 award-winning cases in the categories "Quality Management", "People Management", "Diversity and Inclusion", "Social and Environmental Responsibility", "Commercial Operations", and "Technological Innovation – Technology Companies" in partnership with Solve4me.</w:t>
      </w:r>
    </w:p>
    <w:p w14:paraId="55AB23F8" w14:textId="77777777" w:rsidR="003C4F2E" w:rsidRPr="00A150AB" w:rsidRDefault="003C4F2E" w:rsidP="003C4F2E">
      <w:pPr>
        <w:spacing w:after="0"/>
        <w:jc w:val="both"/>
        <w:rPr>
          <w:rFonts w:ascii="Arial" w:hAnsi="Arial" w:cs="Arial"/>
          <w:sz w:val="18"/>
          <w:szCs w:val="18"/>
          <w:lang w:val="en-US"/>
        </w:rPr>
      </w:pPr>
    </w:p>
    <w:p w14:paraId="218FBBC2" w14:textId="77777777" w:rsidR="003C4F2E" w:rsidRPr="00A150AB" w:rsidRDefault="003C4F2E" w:rsidP="003C4F2E">
      <w:pPr>
        <w:pStyle w:val="PargrafodaLista"/>
        <w:numPr>
          <w:ilvl w:val="0"/>
          <w:numId w:val="61"/>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GPTW Best Companies to Work For – Financial Institutions: </w:t>
      </w:r>
      <w:r w:rsidRPr="00A150AB">
        <w:rPr>
          <w:rFonts w:ascii="Arial" w:hAnsi="Arial" w:cs="Arial"/>
          <w:sz w:val="18"/>
          <w:szCs w:val="18"/>
          <w:lang w:val="en-US"/>
        </w:rPr>
        <w:t xml:space="preserve">For the first time,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awarded as one of the best financial institutions to work for in the Insurance category, according to the Great Place to Work (GPTW) ranking. The award, promoted in partnership between Grupo Hel and </w:t>
      </w:r>
      <w:proofErr w:type="spellStart"/>
      <w:r w:rsidRPr="00A150AB">
        <w:rPr>
          <w:rFonts w:ascii="Arial" w:hAnsi="Arial" w:cs="Arial"/>
          <w:sz w:val="18"/>
          <w:szCs w:val="18"/>
          <w:lang w:val="en-US"/>
        </w:rPr>
        <w:t>IstoÉ</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Dinheiro</w:t>
      </w:r>
      <w:proofErr w:type="spellEnd"/>
      <w:r w:rsidRPr="00A150AB">
        <w:rPr>
          <w:rFonts w:ascii="Arial" w:hAnsi="Arial" w:cs="Arial"/>
          <w:sz w:val="18"/>
          <w:szCs w:val="18"/>
          <w:lang w:val="en-US"/>
        </w:rPr>
        <w:t>, is in its 5th edition and has highlighted 50 companies, out of 145 registered, with good management practices. Issues such as organizational climate, incentives for education, compensation, opportunities for growth, transparency in management, promotion of diversity, among other employee well-being factors, were assessed.</w:t>
      </w:r>
    </w:p>
    <w:p w14:paraId="2222D313" w14:textId="77777777" w:rsidR="003C4F2E" w:rsidRPr="00A150AB" w:rsidRDefault="003C4F2E" w:rsidP="003C4F2E">
      <w:pPr>
        <w:pStyle w:val="PargrafodaLista"/>
        <w:jc w:val="both"/>
        <w:rPr>
          <w:rFonts w:ascii="Arial" w:hAnsi="Arial" w:cs="Arial"/>
          <w:sz w:val="18"/>
          <w:szCs w:val="18"/>
          <w:lang w:val="en-US"/>
        </w:rPr>
      </w:pPr>
    </w:p>
    <w:p w14:paraId="2D085253" w14:textId="77777777" w:rsidR="003C4F2E" w:rsidRPr="00A150AB" w:rsidRDefault="003C4F2E" w:rsidP="003C4F2E">
      <w:pPr>
        <w:pStyle w:val="PargrafodaLista"/>
        <w:numPr>
          <w:ilvl w:val="0"/>
          <w:numId w:val="61"/>
        </w:numPr>
        <w:spacing w:after="0" w:line="276" w:lineRule="auto"/>
        <w:ind w:left="714" w:hanging="357"/>
        <w:jc w:val="both"/>
        <w:rPr>
          <w:rFonts w:ascii="Arial" w:hAnsi="Arial" w:cs="Arial"/>
          <w:sz w:val="18"/>
          <w:szCs w:val="18"/>
          <w:lang w:val="en-US"/>
        </w:rPr>
      </w:pPr>
      <w:r w:rsidRPr="00A150AB">
        <w:rPr>
          <w:rFonts w:ascii="Arial" w:hAnsi="Arial" w:cs="Arial"/>
          <w:b/>
          <w:bCs/>
          <w:sz w:val="18"/>
          <w:szCs w:val="18"/>
          <w:lang w:val="en-US"/>
        </w:rPr>
        <w:t xml:space="preserve">Valor </w:t>
      </w:r>
      <w:proofErr w:type="spellStart"/>
      <w:r w:rsidRPr="00A150AB">
        <w:rPr>
          <w:rFonts w:ascii="Arial" w:hAnsi="Arial" w:cs="Arial"/>
          <w:b/>
          <w:bCs/>
          <w:sz w:val="18"/>
          <w:szCs w:val="18"/>
          <w:lang w:val="en-US"/>
        </w:rPr>
        <w:t>Inovação</w:t>
      </w:r>
      <w:proofErr w:type="spellEnd"/>
      <w:r w:rsidRPr="00A150AB">
        <w:rPr>
          <w:rFonts w:ascii="Arial" w:hAnsi="Arial" w:cs="Arial"/>
          <w:b/>
          <w:bCs/>
          <w:sz w:val="18"/>
          <w:szCs w:val="18"/>
          <w:lang w:val="en-US"/>
        </w:rPr>
        <w:t xml:space="preserve"> Brasil 2023 Award: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recognized as one of the most innovative companies in the country. Held by Strategy&amp;, which is part of the PwC group, and in partnership with Valor </w:t>
      </w:r>
      <w:proofErr w:type="spellStart"/>
      <w:r w:rsidRPr="00A150AB">
        <w:rPr>
          <w:rFonts w:ascii="Arial" w:hAnsi="Arial" w:cs="Arial"/>
          <w:sz w:val="18"/>
          <w:szCs w:val="18"/>
          <w:lang w:val="en-US"/>
        </w:rPr>
        <w:t>Econômico</w:t>
      </w:r>
      <w:proofErr w:type="spellEnd"/>
      <w:r w:rsidRPr="00A150AB">
        <w:rPr>
          <w:rFonts w:ascii="Arial" w:hAnsi="Arial" w:cs="Arial"/>
          <w:sz w:val="18"/>
          <w:szCs w:val="18"/>
          <w:lang w:val="en-US"/>
        </w:rPr>
        <w:t xml:space="preserve">, the award is one of the most important in Brazil </w:t>
      </w:r>
      <w:proofErr w:type="gramStart"/>
      <w:r w:rsidRPr="00A150AB">
        <w:rPr>
          <w:rFonts w:ascii="Arial" w:hAnsi="Arial" w:cs="Arial"/>
          <w:sz w:val="18"/>
          <w:szCs w:val="18"/>
          <w:lang w:val="en-US"/>
        </w:rPr>
        <w:t>in the area of</w:t>
      </w:r>
      <w:proofErr w:type="gramEnd"/>
      <w:r w:rsidRPr="00A150AB">
        <w:rPr>
          <w:rFonts w:ascii="Arial" w:hAnsi="Arial" w:cs="Arial"/>
          <w:sz w:val="18"/>
          <w:szCs w:val="18"/>
          <w:lang w:val="en-US"/>
        </w:rPr>
        <w:t xml:space="preserve"> innovation.</w:t>
      </w:r>
    </w:p>
    <w:p w14:paraId="334B0C80" w14:textId="77777777" w:rsidR="003C4F2E" w:rsidRPr="00A150AB" w:rsidRDefault="003C4F2E" w:rsidP="003C4F2E">
      <w:pPr>
        <w:spacing w:after="0"/>
        <w:ind w:left="357"/>
        <w:jc w:val="both"/>
        <w:rPr>
          <w:rFonts w:ascii="Arial" w:hAnsi="Arial" w:cs="Arial"/>
          <w:sz w:val="18"/>
          <w:szCs w:val="18"/>
          <w:lang w:val="en-US"/>
        </w:rPr>
      </w:pPr>
    </w:p>
    <w:p w14:paraId="612B55E0" w14:textId="77777777" w:rsidR="003C4F2E" w:rsidRPr="00A150AB" w:rsidRDefault="003C4F2E" w:rsidP="003C4F2E">
      <w:pPr>
        <w:pStyle w:val="PargrafodaLista"/>
        <w:numPr>
          <w:ilvl w:val="0"/>
          <w:numId w:val="61"/>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Top Employers 2023: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received the Top Employers Brasil 2023 certification, which recognizes the best people management practices. In 2023, </w:t>
      </w:r>
      <w:proofErr w:type="spellStart"/>
      <w:r w:rsidRPr="00A150AB">
        <w:rPr>
          <w:rFonts w:ascii="Arial" w:hAnsi="Arial" w:cs="Arial"/>
          <w:sz w:val="18"/>
          <w:szCs w:val="18"/>
          <w:lang w:val="en-US"/>
        </w:rPr>
        <w:t>Brasilseg</w:t>
      </w:r>
      <w:proofErr w:type="spellEnd"/>
      <w:r w:rsidRPr="00A150AB">
        <w:rPr>
          <w:rFonts w:ascii="Arial" w:hAnsi="Arial" w:cs="Arial"/>
          <w:sz w:val="18"/>
          <w:szCs w:val="18"/>
          <w:lang w:val="en-US"/>
        </w:rPr>
        <w:t xml:space="preserve"> was the only Brazilian insurer to be certified, with 111 insurers recognized worldwide and only 9 in Latin America.</w:t>
      </w:r>
    </w:p>
    <w:p w14:paraId="568A683C" w14:textId="77777777" w:rsidR="003C4F2E" w:rsidRPr="00A150AB" w:rsidRDefault="003C4F2E" w:rsidP="003C4F2E">
      <w:pPr>
        <w:pStyle w:val="PargrafodaLista"/>
        <w:rPr>
          <w:rFonts w:ascii="Arial" w:hAnsi="Arial" w:cs="Arial"/>
          <w:color w:val="FF0000"/>
          <w:sz w:val="18"/>
          <w:szCs w:val="18"/>
          <w:lang w:val="en-US"/>
        </w:rPr>
      </w:pPr>
    </w:p>
    <w:p w14:paraId="16CDBB4A" w14:textId="77777777" w:rsidR="003C4F2E" w:rsidRPr="00A150AB" w:rsidRDefault="003C4F2E" w:rsidP="003C4F2E">
      <w:pPr>
        <w:pStyle w:val="01-Textonormal"/>
        <w:rPr>
          <w:rFonts w:cs="Arial"/>
          <w:u w:val="single"/>
        </w:rPr>
      </w:pPr>
      <w:proofErr w:type="spellStart"/>
      <w:r w:rsidRPr="00A150AB">
        <w:rPr>
          <w:rFonts w:cs="Arial"/>
          <w:u w:val="single"/>
          <w:lang w:val="en-US"/>
        </w:rPr>
        <w:t>Brasilprev</w:t>
      </w:r>
      <w:proofErr w:type="spellEnd"/>
    </w:p>
    <w:p w14:paraId="6D96B22A" w14:textId="77777777" w:rsidR="003C4F2E" w:rsidRPr="00A150AB" w:rsidRDefault="003C4F2E" w:rsidP="003C4F2E">
      <w:pPr>
        <w:spacing w:after="0"/>
        <w:jc w:val="both"/>
        <w:rPr>
          <w:rFonts w:ascii="Arial" w:eastAsia="Times New Roman" w:hAnsi="Arial" w:cs="Arial"/>
          <w:b/>
          <w:color w:val="FF0000"/>
          <w:spacing w:val="-2"/>
          <w:sz w:val="18"/>
          <w:szCs w:val="18"/>
          <w:lang w:eastAsia="pt-BR"/>
        </w:rPr>
      </w:pPr>
    </w:p>
    <w:p w14:paraId="493DDC82"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proofErr w:type="spellStart"/>
      <w:r w:rsidRPr="00A150AB">
        <w:rPr>
          <w:rFonts w:ascii="Arial" w:hAnsi="Arial" w:cs="Arial"/>
          <w:b/>
          <w:bCs/>
          <w:sz w:val="18"/>
          <w:szCs w:val="18"/>
          <w:lang w:val="en-US"/>
        </w:rPr>
        <w:t>Empresas</w:t>
      </w:r>
      <w:proofErr w:type="spellEnd"/>
      <w:r w:rsidRPr="00A150AB">
        <w:rPr>
          <w:rFonts w:ascii="Arial" w:hAnsi="Arial" w:cs="Arial"/>
          <w:b/>
          <w:bCs/>
          <w:sz w:val="18"/>
          <w:szCs w:val="18"/>
          <w:lang w:val="en-US"/>
        </w:rPr>
        <w:t xml:space="preserve"> Mais 2023: </w:t>
      </w:r>
      <w:proofErr w:type="spellStart"/>
      <w:r w:rsidRPr="00A150AB">
        <w:rPr>
          <w:rFonts w:ascii="Arial" w:hAnsi="Arial" w:cs="Arial"/>
          <w:sz w:val="18"/>
          <w:szCs w:val="18"/>
          <w:lang w:val="en-US"/>
        </w:rPr>
        <w:t>Brasilprev</w:t>
      </w:r>
      <w:proofErr w:type="spellEnd"/>
      <w:r w:rsidRPr="00A150AB">
        <w:rPr>
          <w:rFonts w:ascii="Arial" w:hAnsi="Arial" w:cs="Arial"/>
          <w:sz w:val="18"/>
          <w:szCs w:val="18"/>
          <w:lang w:val="en-US"/>
        </w:rPr>
        <w:t xml:space="preserve"> placed first in Estadão's </w:t>
      </w:r>
      <w:proofErr w:type="spellStart"/>
      <w:r w:rsidRPr="00A150AB">
        <w:rPr>
          <w:rFonts w:ascii="Arial" w:hAnsi="Arial" w:cs="Arial"/>
          <w:sz w:val="18"/>
          <w:szCs w:val="18"/>
          <w:lang w:val="en-US"/>
        </w:rPr>
        <w:t>Empresas</w:t>
      </w:r>
      <w:proofErr w:type="spellEnd"/>
      <w:r w:rsidRPr="00A150AB">
        <w:rPr>
          <w:rFonts w:ascii="Arial" w:hAnsi="Arial" w:cs="Arial"/>
          <w:sz w:val="18"/>
          <w:szCs w:val="18"/>
          <w:lang w:val="en-US"/>
        </w:rPr>
        <w:t xml:space="preserve"> Mais Award in the Financial Services — Insurance segment, for the 4</w:t>
      </w:r>
      <w:r w:rsidRPr="00A150AB">
        <w:rPr>
          <w:rFonts w:ascii="Arial" w:hAnsi="Arial" w:cs="Arial"/>
          <w:sz w:val="18"/>
          <w:szCs w:val="18"/>
          <w:vertAlign w:val="superscript"/>
          <w:lang w:val="en-US"/>
        </w:rPr>
        <w:t>th</w:t>
      </w:r>
      <w:r w:rsidRPr="00A150AB">
        <w:rPr>
          <w:rFonts w:ascii="Arial" w:hAnsi="Arial" w:cs="Arial"/>
          <w:sz w:val="18"/>
          <w:szCs w:val="18"/>
          <w:lang w:val="en-US"/>
        </w:rPr>
        <w:t xml:space="preserve"> consecutive year. The award assesses economic criteria and the performance of companies in Corporate Governance and Innovation, highlighting the companies with the best management and results in Brazil.</w:t>
      </w:r>
    </w:p>
    <w:p w14:paraId="65414CC1"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r w:rsidRPr="00A150AB">
        <w:rPr>
          <w:rFonts w:ascii="Arial" w:hAnsi="Arial" w:cs="Arial"/>
          <w:b/>
          <w:bCs/>
          <w:sz w:val="18"/>
          <w:szCs w:val="18"/>
          <w:lang w:val="en-US"/>
        </w:rPr>
        <w:t>“</w:t>
      </w:r>
      <w:proofErr w:type="spellStart"/>
      <w:r w:rsidRPr="00A150AB">
        <w:rPr>
          <w:rFonts w:ascii="Arial" w:hAnsi="Arial" w:cs="Arial"/>
          <w:b/>
          <w:bCs/>
          <w:sz w:val="18"/>
          <w:szCs w:val="18"/>
          <w:lang w:val="en-US"/>
        </w:rPr>
        <w:t>Melhores</w:t>
      </w:r>
      <w:proofErr w:type="spellEnd"/>
      <w:r w:rsidRPr="00A150AB">
        <w:rPr>
          <w:rFonts w:ascii="Arial" w:hAnsi="Arial" w:cs="Arial"/>
          <w:b/>
          <w:bCs/>
          <w:sz w:val="18"/>
          <w:szCs w:val="18"/>
          <w:lang w:val="en-US"/>
        </w:rPr>
        <w:t xml:space="preserve"> e </w:t>
      </w:r>
      <w:proofErr w:type="spellStart"/>
      <w:r w:rsidRPr="00A150AB">
        <w:rPr>
          <w:rFonts w:ascii="Arial" w:hAnsi="Arial" w:cs="Arial"/>
          <w:b/>
          <w:bCs/>
          <w:sz w:val="18"/>
          <w:szCs w:val="18"/>
          <w:lang w:val="en-US"/>
        </w:rPr>
        <w:t>Maiores</w:t>
      </w:r>
      <w:proofErr w:type="spellEnd"/>
      <w:r w:rsidRPr="00A150AB">
        <w:rPr>
          <w:rFonts w:ascii="Arial" w:hAnsi="Arial" w:cs="Arial"/>
          <w:b/>
          <w:bCs/>
          <w:sz w:val="18"/>
          <w:szCs w:val="18"/>
          <w:lang w:val="en-US"/>
        </w:rPr>
        <w:t xml:space="preserve"> 2023”</w:t>
      </w:r>
      <w:r w:rsidRPr="00A150AB">
        <w:rPr>
          <w:rFonts w:ascii="Arial" w:hAnsi="Arial" w:cs="Arial"/>
          <w:sz w:val="18"/>
          <w:szCs w:val="18"/>
          <w:lang w:val="en-US"/>
        </w:rPr>
        <w:t xml:space="preserve">: The company was elected the largest company in Brazil in the Insurance category of </w:t>
      </w:r>
      <w:proofErr w:type="spellStart"/>
      <w:r w:rsidRPr="00A150AB">
        <w:rPr>
          <w:rFonts w:ascii="Arial" w:hAnsi="Arial" w:cs="Arial"/>
          <w:sz w:val="18"/>
          <w:szCs w:val="18"/>
          <w:lang w:val="en-US"/>
        </w:rPr>
        <w:t>Revista</w:t>
      </w:r>
      <w:proofErr w:type="spellEnd"/>
      <w:r w:rsidRPr="00A150AB">
        <w:rPr>
          <w:rFonts w:ascii="Arial" w:hAnsi="Arial" w:cs="Arial"/>
          <w:sz w:val="18"/>
          <w:szCs w:val="18"/>
          <w:lang w:val="en-US"/>
        </w:rPr>
        <w:t xml:space="preserve"> Exame's </w:t>
      </w:r>
      <w:r w:rsidRPr="00A150AB">
        <w:rPr>
          <w:rFonts w:ascii="Arial" w:hAnsi="Arial" w:cs="Arial"/>
          <w:i/>
          <w:iCs/>
          <w:sz w:val="18"/>
          <w:szCs w:val="18"/>
          <w:lang w:val="en-US"/>
        </w:rPr>
        <w:t>ranking</w:t>
      </w:r>
      <w:r w:rsidRPr="00A150AB">
        <w:rPr>
          <w:rFonts w:ascii="Arial" w:hAnsi="Arial" w:cs="Arial"/>
          <w:sz w:val="18"/>
          <w:szCs w:val="18"/>
          <w:lang w:val="en-US"/>
        </w:rPr>
        <w:t>.</w:t>
      </w:r>
    </w:p>
    <w:p w14:paraId="152A66AD" w14:textId="77777777" w:rsidR="003C4F2E" w:rsidRPr="00A150AB" w:rsidRDefault="003C4F2E" w:rsidP="003C4F2E">
      <w:pPr>
        <w:pStyle w:val="PargrafodaLista"/>
        <w:numPr>
          <w:ilvl w:val="0"/>
          <w:numId w:val="59"/>
        </w:numPr>
        <w:spacing w:line="276" w:lineRule="auto"/>
        <w:jc w:val="both"/>
        <w:rPr>
          <w:rFonts w:ascii="Arial" w:hAnsi="Arial" w:cs="Arial"/>
          <w:sz w:val="18"/>
          <w:szCs w:val="18"/>
          <w:lang w:val="en-US"/>
        </w:rPr>
      </w:pPr>
      <w:r w:rsidRPr="00A150AB">
        <w:rPr>
          <w:rFonts w:ascii="Arial" w:hAnsi="Arial" w:cs="Arial"/>
          <w:b/>
          <w:bCs/>
          <w:sz w:val="18"/>
          <w:szCs w:val="18"/>
          <w:lang w:val="en-US"/>
        </w:rPr>
        <w:t xml:space="preserve">ABT 2023 Award - </w:t>
      </w:r>
      <w:proofErr w:type="spellStart"/>
      <w:r w:rsidRPr="00A150AB">
        <w:rPr>
          <w:rFonts w:ascii="Arial" w:hAnsi="Arial" w:cs="Arial"/>
          <w:sz w:val="18"/>
          <w:szCs w:val="18"/>
          <w:lang w:val="en-US"/>
        </w:rPr>
        <w:t>Brasilprev</w:t>
      </w:r>
      <w:proofErr w:type="spellEnd"/>
      <w:r w:rsidRPr="00A150AB">
        <w:rPr>
          <w:rFonts w:ascii="Arial" w:hAnsi="Arial" w:cs="Arial"/>
          <w:sz w:val="18"/>
          <w:szCs w:val="18"/>
          <w:lang w:val="en-US"/>
        </w:rPr>
        <w:t xml:space="preserve"> ranked first in the Innovation in Processes category, with the </w:t>
      </w:r>
      <w:r w:rsidRPr="00A150AB">
        <w:rPr>
          <w:rFonts w:ascii="Arial" w:hAnsi="Arial" w:cs="Arial"/>
          <w:i/>
          <w:iCs/>
          <w:sz w:val="18"/>
          <w:szCs w:val="18"/>
          <w:lang w:val="en-US"/>
        </w:rPr>
        <w:t>case</w:t>
      </w:r>
      <w:r w:rsidRPr="00A150AB">
        <w:rPr>
          <w:rFonts w:ascii="Arial" w:hAnsi="Arial" w:cs="Arial"/>
          <w:sz w:val="18"/>
          <w:szCs w:val="18"/>
          <w:lang w:val="en-US"/>
        </w:rPr>
        <w:t xml:space="preserve"> "</w:t>
      </w:r>
      <w:proofErr w:type="spellStart"/>
      <w:r w:rsidRPr="00A150AB">
        <w:rPr>
          <w:rFonts w:ascii="Arial" w:hAnsi="Arial" w:cs="Arial"/>
          <w:sz w:val="18"/>
          <w:szCs w:val="18"/>
          <w:lang w:val="en-US"/>
        </w:rPr>
        <w:t>Reclamações</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uma</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oportunidade</w:t>
      </w:r>
      <w:proofErr w:type="spellEnd"/>
      <w:r w:rsidRPr="00A150AB">
        <w:rPr>
          <w:rFonts w:ascii="Arial" w:hAnsi="Arial" w:cs="Arial"/>
          <w:sz w:val="18"/>
          <w:szCs w:val="18"/>
          <w:lang w:val="en-US"/>
        </w:rPr>
        <w:t xml:space="preserve"> para </w:t>
      </w:r>
      <w:proofErr w:type="spellStart"/>
      <w:r w:rsidRPr="00A150AB">
        <w:rPr>
          <w:rFonts w:ascii="Arial" w:hAnsi="Arial" w:cs="Arial"/>
          <w:sz w:val="18"/>
          <w:szCs w:val="18"/>
          <w:lang w:val="en-US"/>
        </w:rPr>
        <w:t>mudanças</w:t>
      </w:r>
      <w:proofErr w:type="spellEnd"/>
      <w:r w:rsidRPr="00A150AB">
        <w:rPr>
          <w:rFonts w:ascii="Arial" w:hAnsi="Arial" w:cs="Arial"/>
          <w:sz w:val="18"/>
          <w:szCs w:val="18"/>
          <w:lang w:val="en-US"/>
        </w:rPr>
        <w:t>" (Complaints, an opportunity for change), recognized as a reference in the customer relationship sector.</w:t>
      </w:r>
    </w:p>
    <w:p w14:paraId="16B1B72B" w14:textId="77777777" w:rsidR="003C4F2E" w:rsidRPr="00A150AB" w:rsidRDefault="003C4F2E" w:rsidP="003C4F2E">
      <w:pPr>
        <w:pStyle w:val="PargrafodaLista"/>
        <w:jc w:val="both"/>
        <w:rPr>
          <w:rFonts w:ascii="Arial" w:hAnsi="Arial" w:cs="Arial"/>
          <w:color w:val="FF0000"/>
          <w:sz w:val="18"/>
          <w:szCs w:val="18"/>
          <w:lang w:val="en-US"/>
        </w:rPr>
      </w:pPr>
    </w:p>
    <w:p w14:paraId="3ACCA890" w14:textId="77777777" w:rsidR="003C4F2E" w:rsidRPr="00A150AB" w:rsidRDefault="003C4F2E" w:rsidP="003C4F2E">
      <w:pPr>
        <w:pStyle w:val="01-Textonormal"/>
        <w:rPr>
          <w:rFonts w:cs="Arial"/>
          <w:u w:val="single"/>
        </w:rPr>
      </w:pPr>
      <w:r w:rsidRPr="00A150AB">
        <w:rPr>
          <w:rFonts w:cs="Arial"/>
          <w:u w:val="single"/>
          <w:lang w:val="en-US"/>
        </w:rPr>
        <w:t>Brasilcap</w:t>
      </w:r>
    </w:p>
    <w:p w14:paraId="586B8224" w14:textId="77777777" w:rsidR="003C4F2E" w:rsidRPr="00A150AB" w:rsidRDefault="003C4F2E" w:rsidP="003C4F2E">
      <w:pPr>
        <w:pStyle w:val="PargrafodaLista"/>
        <w:spacing w:after="0" w:line="240" w:lineRule="auto"/>
        <w:jc w:val="both"/>
        <w:rPr>
          <w:rFonts w:ascii="Arial" w:hAnsi="Arial" w:cs="Arial"/>
          <w:b/>
          <w:bCs/>
          <w:color w:val="FF0000"/>
          <w:sz w:val="18"/>
          <w:szCs w:val="18"/>
          <w:highlight w:val="yellow"/>
        </w:rPr>
      </w:pPr>
    </w:p>
    <w:p w14:paraId="2F6C7326" w14:textId="77777777" w:rsidR="003C4F2E" w:rsidRPr="00A150AB" w:rsidRDefault="003C4F2E" w:rsidP="003C4F2E">
      <w:pPr>
        <w:pStyle w:val="PargrafodaLista"/>
        <w:numPr>
          <w:ilvl w:val="0"/>
          <w:numId w:val="56"/>
        </w:numPr>
        <w:spacing w:after="0" w:line="276" w:lineRule="auto"/>
        <w:ind w:left="720"/>
        <w:jc w:val="both"/>
        <w:rPr>
          <w:rFonts w:ascii="Arial" w:hAnsi="Arial" w:cs="Arial"/>
          <w:sz w:val="18"/>
          <w:szCs w:val="18"/>
          <w:lang w:val="en-US"/>
        </w:rPr>
      </w:pPr>
      <w:proofErr w:type="spellStart"/>
      <w:r w:rsidRPr="00A150AB">
        <w:rPr>
          <w:rFonts w:ascii="Arial" w:hAnsi="Arial" w:cs="Arial"/>
          <w:b/>
          <w:bCs/>
          <w:sz w:val="18"/>
          <w:szCs w:val="18"/>
          <w:lang w:val="en-US"/>
        </w:rPr>
        <w:t>Empresa</w:t>
      </w:r>
      <w:proofErr w:type="spellEnd"/>
      <w:r w:rsidRPr="00A150AB">
        <w:rPr>
          <w:rFonts w:ascii="Arial" w:hAnsi="Arial" w:cs="Arial"/>
          <w:b/>
          <w:bCs/>
          <w:sz w:val="18"/>
          <w:szCs w:val="18"/>
          <w:lang w:val="en-US"/>
        </w:rPr>
        <w:t xml:space="preserve"> </w:t>
      </w:r>
      <w:proofErr w:type="spellStart"/>
      <w:r w:rsidRPr="00A150AB">
        <w:rPr>
          <w:rFonts w:ascii="Arial" w:hAnsi="Arial" w:cs="Arial"/>
          <w:b/>
          <w:bCs/>
          <w:sz w:val="18"/>
          <w:szCs w:val="18"/>
          <w:lang w:val="en-US"/>
        </w:rPr>
        <w:t>Cidadã</w:t>
      </w:r>
      <w:proofErr w:type="spellEnd"/>
      <w:r w:rsidRPr="00A150AB">
        <w:rPr>
          <w:rFonts w:ascii="Arial" w:hAnsi="Arial" w:cs="Arial"/>
          <w:b/>
          <w:bCs/>
          <w:sz w:val="18"/>
          <w:szCs w:val="18"/>
          <w:lang w:val="en-US"/>
        </w:rPr>
        <w:t xml:space="preserve"> Certificate: </w:t>
      </w:r>
      <w:r w:rsidRPr="00A150AB">
        <w:rPr>
          <w:rFonts w:ascii="Arial" w:hAnsi="Arial" w:cs="Arial"/>
          <w:sz w:val="18"/>
          <w:szCs w:val="18"/>
          <w:lang w:val="en-US"/>
        </w:rPr>
        <w:t xml:space="preserve">For the thirteenth consecutive year, Brasilcap has been awarded the </w:t>
      </w:r>
      <w:proofErr w:type="spellStart"/>
      <w:r w:rsidRPr="00A150AB">
        <w:rPr>
          <w:rFonts w:ascii="Arial" w:hAnsi="Arial" w:cs="Arial"/>
          <w:sz w:val="18"/>
          <w:szCs w:val="18"/>
          <w:lang w:val="en-US"/>
        </w:rPr>
        <w:t>Empresa</w:t>
      </w:r>
      <w:proofErr w:type="spellEnd"/>
      <w:r w:rsidRPr="00A150AB">
        <w:rPr>
          <w:rFonts w:ascii="Arial" w:hAnsi="Arial" w:cs="Arial"/>
          <w:sz w:val="18"/>
          <w:szCs w:val="18"/>
          <w:lang w:val="en-US"/>
        </w:rPr>
        <w:t xml:space="preserve"> </w:t>
      </w:r>
      <w:proofErr w:type="spellStart"/>
      <w:r w:rsidRPr="00A150AB">
        <w:rPr>
          <w:rFonts w:ascii="Arial" w:hAnsi="Arial" w:cs="Arial"/>
          <w:sz w:val="18"/>
          <w:szCs w:val="18"/>
          <w:lang w:val="en-US"/>
        </w:rPr>
        <w:t>Cidadã</w:t>
      </w:r>
      <w:proofErr w:type="spellEnd"/>
      <w:r w:rsidRPr="00A150AB">
        <w:rPr>
          <w:rFonts w:ascii="Arial" w:hAnsi="Arial" w:cs="Arial"/>
          <w:sz w:val="18"/>
          <w:szCs w:val="18"/>
          <w:lang w:val="en-US"/>
        </w:rPr>
        <w:t xml:space="preserve"> 2023 certificate. The award is held by the Regional Council of Accounting of Rio de Janeiro (CRCRJ) in partnership with </w:t>
      </w:r>
      <w:proofErr w:type="spellStart"/>
      <w:r w:rsidRPr="00A150AB">
        <w:rPr>
          <w:rFonts w:ascii="Arial" w:hAnsi="Arial" w:cs="Arial"/>
          <w:sz w:val="18"/>
          <w:szCs w:val="18"/>
          <w:lang w:val="en-US"/>
        </w:rPr>
        <w:t>Fecomércio</w:t>
      </w:r>
      <w:proofErr w:type="spellEnd"/>
      <w:r w:rsidRPr="00A150AB">
        <w:rPr>
          <w:rFonts w:ascii="Arial" w:hAnsi="Arial" w:cs="Arial"/>
          <w:sz w:val="18"/>
          <w:szCs w:val="18"/>
          <w:lang w:val="en-US"/>
        </w:rPr>
        <w:t>, which over the years has encouraged the improvement of the quality of accounting and socio-environmental information published in the annual reports of Brazilian companies and organizations of all sizes, segments, and states of the country. </w:t>
      </w:r>
    </w:p>
    <w:p w14:paraId="6E8A4B00" w14:textId="77777777" w:rsidR="003C4F2E" w:rsidRPr="00A150AB" w:rsidRDefault="003C4F2E" w:rsidP="003C4F2E">
      <w:pPr>
        <w:spacing w:after="0"/>
        <w:ind w:left="360"/>
        <w:jc w:val="both"/>
        <w:rPr>
          <w:rFonts w:ascii="Arial" w:hAnsi="Arial" w:cs="Arial"/>
          <w:sz w:val="18"/>
          <w:szCs w:val="18"/>
          <w:lang w:val="en-US"/>
        </w:rPr>
      </w:pPr>
    </w:p>
    <w:p w14:paraId="4A6C22CE" w14:textId="77777777" w:rsidR="003C4F2E" w:rsidRPr="00A150AB" w:rsidRDefault="003C4F2E" w:rsidP="003C4F2E">
      <w:pPr>
        <w:pStyle w:val="PargrafodaLista"/>
        <w:numPr>
          <w:ilvl w:val="0"/>
          <w:numId w:val="56"/>
        </w:numPr>
        <w:spacing w:after="150" w:line="276" w:lineRule="auto"/>
        <w:ind w:left="720"/>
        <w:jc w:val="both"/>
        <w:rPr>
          <w:rFonts w:ascii="Arial" w:hAnsi="Arial" w:cs="Arial"/>
          <w:sz w:val="18"/>
          <w:szCs w:val="18"/>
          <w:lang w:val="en-US"/>
        </w:rPr>
      </w:pPr>
      <w:proofErr w:type="spellStart"/>
      <w:r w:rsidRPr="00A150AB">
        <w:rPr>
          <w:rFonts w:ascii="Arial" w:hAnsi="Arial" w:cs="Arial"/>
          <w:b/>
          <w:bCs/>
          <w:sz w:val="18"/>
          <w:szCs w:val="18"/>
          <w:lang w:val="en-US"/>
        </w:rPr>
        <w:t>Consumidor</w:t>
      </w:r>
      <w:proofErr w:type="spellEnd"/>
      <w:r w:rsidRPr="00A150AB">
        <w:rPr>
          <w:rFonts w:ascii="Arial" w:hAnsi="Arial" w:cs="Arial"/>
          <w:b/>
          <w:bCs/>
          <w:sz w:val="18"/>
          <w:szCs w:val="18"/>
          <w:lang w:val="en-US"/>
        </w:rPr>
        <w:t xml:space="preserve"> Moderno Award: </w:t>
      </w:r>
      <w:r w:rsidRPr="00A150AB">
        <w:rPr>
          <w:rFonts w:ascii="Arial" w:hAnsi="Arial" w:cs="Arial"/>
          <w:sz w:val="18"/>
          <w:szCs w:val="18"/>
          <w:lang w:val="en-US"/>
        </w:rPr>
        <w:t xml:space="preserve">Brasilcap was the winner </w:t>
      </w:r>
      <w:proofErr w:type="gramStart"/>
      <w:r w:rsidRPr="00A150AB">
        <w:rPr>
          <w:rFonts w:ascii="Arial" w:hAnsi="Arial" w:cs="Arial"/>
          <w:sz w:val="18"/>
          <w:szCs w:val="18"/>
          <w:lang w:val="en-US"/>
        </w:rPr>
        <w:t>for the fourth consecutive year,</w:t>
      </w:r>
      <w:proofErr w:type="gramEnd"/>
      <w:r w:rsidRPr="00A150AB">
        <w:rPr>
          <w:rFonts w:ascii="Arial" w:hAnsi="Arial" w:cs="Arial"/>
          <w:sz w:val="18"/>
          <w:szCs w:val="18"/>
          <w:lang w:val="en-US"/>
        </w:rPr>
        <w:t xml:space="preserve"> of the 24th edition of the "</w:t>
      </w:r>
      <w:proofErr w:type="spellStart"/>
      <w:r w:rsidRPr="00A150AB">
        <w:rPr>
          <w:rFonts w:ascii="Arial" w:hAnsi="Arial" w:cs="Arial"/>
          <w:sz w:val="18"/>
          <w:szCs w:val="18"/>
          <w:lang w:val="en-US"/>
        </w:rPr>
        <w:t>Consumidor</w:t>
      </w:r>
      <w:proofErr w:type="spellEnd"/>
      <w:r w:rsidRPr="00A150AB">
        <w:rPr>
          <w:rFonts w:ascii="Arial" w:hAnsi="Arial" w:cs="Arial"/>
          <w:sz w:val="18"/>
          <w:szCs w:val="18"/>
          <w:lang w:val="en-US"/>
        </w:rPr>
        <w:t xml:space="preserve"> Moderno Award for Excellence in Customer Service", in the Pension Plans and Premium bonds segment. The Award is an initiative of the </w:t>
      </w:r>
      <w:proofErr w:type="spellStart"/>
      <w:r w:rsidRPr="00A150AB">
        <w:rPr>
          <w:rFonts w:ascii="Arial" w:hAnsi="Arial" w:cs="Arial"/>
          <w:sz w:val="18"/>
          <w:szCs w:val="18"/>
          <w:lang w:val="en-US"/>
        </w:rPr>
        <w:t>Consumidor</w:t>
      </w:r>
      <w:proofErr w:type="spellEnd"/>
      <w:r w:rsidRPr="00A150AB">
        <w:rPr>
          <w:rFonts w:ascii="Arial" w:hAnsi="Arial" w:cs="Arial"/>
          <w:sz w:val="18"/>
          <w:szCs w:val="18"/>
          <w:lang w:val="en-US"/>
        </w:rPr>
        <w:t xml:space="preserve"> Moderno </w:t>
      </w:r>
      <w:proofErr w:type="gramStart"/>
      <w:r w:rsidRPr="00A150AB">
        <w:rPr>
          <w:rFonts w:ascii="Arial" w:hAnsi="Arial" w:cs="Arial"/>
          <w:sz w:val="18"/>
          <w:szCs w:val="18"/>
          <w:lang w:val="en-US"/>
        </w:rPr>
        <w:t>magazine</w:t>
      </w:r>
      <w:proofErr w:type="gramEnd"/>
      <w:r w:rsidRPr="00A150AB">
        <w:rPr>
          <w:rFonts w:ascii="Arial" w:hAnsi="Arial" w:cs="Arial"/>
          <w:sz w:val="18"/>
          <w:szCs w:val="18"/>
          <w:lang w:val="en-US"/>
        </w:rPr>
        <w:t xml:space="preserve"> and its objective is to recognize the companies committed to offering customer service of excellence.</w:t>
      </w:r>
    </w:p>
    <w:p w14:paraId="31801094" w14:textId="77777777" w:rsidR="003C4F2E" w:rsidRPr="00A150AB" w:rsidRDefault="003C4F2E" w:rsidP="003C4F2E">
      <w:pPr>
        <w:pStyle w:val="PargrafodaLista"/>
        <w:ind w:left="360"/>
        <w:jc w:val="both"/>
        <w:rPr>
          <w:rFonts w:ascii="Arial" w:hAnsi="Arial" w:cs="Arial"/>
          <w:b/>
          <w:bCs/>
          <w:sz w:val="18"/>
          <w:szCs w:val="18"/>
          <w:lang w:val="en-US"/>
        </w:rPr>
      </w:pPr>
    </w:p>
    <w:p w14:paraId="1908CC25" w14:textId="77777777" w:rsidR="003C4F2E" w:rsidRPr="00A150AB" w:rsidRDefault="003C4F2E" w:rsidP="003C4F2E">
      <w:pPr>
        <w:pStyle w:val="PargrafodaLista"/>
        <w:numPr>
          <w:ilvl w:val="0"/>
          <w:numId w:val="56"/>
        </w:numPr>
        <w:spacing w:after="150" w:line="276" w:lineRule="auto"/>
        <w:ind w:left="720"/>
        <w:jc w:val="both"/>
        <w:rPr>
          <w:rFonts w:ascii="Arial" w:hAnsi="Arial" w:cs="Arial"/>
          <w:sz w:val="18"/>
          <w:szCs w:val="18"/>
          <w:lang w:val="en-US"/>
        </w:rPr>
      </w:pPr>
      <w:r w:rsidRPr="00A150AB">
        <w:rPr>
          <w:rFonts w:ascii="Arial" w:hAnsi="Arial" w:cs="Arial"/>
          <w:b/>
          <w:bCs/>
          <w:sz w:val="18"/>
          <w:szCs w:val="18"/>
          <w:lang w:val="en-US"/>
        </w:rPr>
        <w:t>The Customer Summit Awards 2023:</w:t>
      </w:r>
      <w:r w:rsidRPr="00A150AB">
        <w:rPr>
          <w:rFonts w:ascii="Arial" w:hAnsi="Arial" w:cs="Arial"/>
          <w:sz w:val="18"/>
          <w:szCs w:val="18"/>
          <w:lang w:val="en-US"/>
        </w:rPr>
        <w:t xml:space="preserve"> Brasilcap placed second in the 2023 Awards, in the Social and Environmental Responsibility category, with the authorial project 'Sustentabilidade Aqui' (Sustainability Here). The company's award-winning case aims to promote a culture of Environmental, Social and Governance management. The initiative promotes meetings with multidisciplinary teams to discuss priority issues and reflect on process improvements from a sustainability perspective. The Customer Summit Awards 2023 was born from the success of The Customer Summit Brazil — Portugal event and aims to recognize and publicize the best practices of companies in favor of the customer journey.</w:t>
      </w:r>
    </w:p>
    <w:p w14:paraId="018C5AC5" w14:textId="77777777" w:rsidR="003C4F2E" w:rsidRPr="00BC754A" w:rsidRDefault="003C4F2E" w:rsidP="003C4F2E">
      <w:pPr>
        <w:pStyle w:val="PargrafodaLista"/>
        <w:spacing w:after="150"/>
        <w:ind w:left="714"/>
        <w:jc w:val="both"/>
        <w:rPr>
          <w:rFonts w:ascii="Arial" w:hAnsi="Arial" w:cs="Arial"/>
          <w:color w:val="FF0000"/>
          <w:sz w:val="18"/>
          <w:szCs w:val="18"/>
          <w:lang w:val="en-US"/>
        </w:rPr>
      </w:pPr>
      <w:r w:rsidRPr="00BC754A">
        <w:rPr>
          <w:rFonts w:ascii="Arial" w:hAnsi="Arial" w:cs="Arial"/>
          <w:color w:val="FF0000"/>
          <w:sz w:val="18"/>
          <w:szCs w:val="18"/>
          <w:lang w:val="en-US"/>
        </w:rPr>
        <w:t xml:space="preserve"> </w:t>
      </w:r>
    </w:p>
    <w:bookmarkEnd w:id="12"/>
    <w:p w14:paraId="0082FB4E" w14:textId="77777777" w:rsidR="003C4F2E" w:rsidRDefault="003C4F2E" w:rsidP="003C4F2E">
      <w:pPr>
        <w:pStyle w:val="01-TtulodeNota"/>
        <w:numPr>
          <w:ilvl w:val="0"/>
          <w:numId w:val="57"/>
        </w:numPr>
        <w:ind w:left="357" w:hanging="357"/>
        <w:rPr>
          <w:color w:val="1F3864" w:themeColor="accent1" w:themeShade="80"/>
        </w:rPr>
      </w:pPr>
      <w:r>
        <w:rPr>
          <w:color w:val="1F3864" w:themeColor="accent1" w:themeShade="80"/>
          <w:lang w:val="en-US"/>
        </w:rPr>
        <w:t>LEGAL INFORMATION</w:t>
      </w:r>
    </w:p>
    <w:p w14:paraId="3BEF9A9B" w14:textId="77777777" w:rsidR="003C4F2E" w:rsidRDefault="003C4F2E" w:rsidP="003C4F2E">
      <w:pPr>
        <w:pStyle w:val="01-Textonormal"/>
      </w:pPr>
    </w:p>
    <w:p w14:paraId="720B0548" w14:textId="77777777" w:rsidR="003C4F2E" w:rsidRPr="00BC754A" w:rsidRDefault="003C4F2E" w:rsidP="003C4F2E">
      <w:pPr>
        <w:pStyle w:val="05-Textonormal"/>
        <w:rPr>
          <w:rFonts w:cs="Arial"/>
          <w:lang w:val="en-US"/>
        </w:rPr>
      </w:pPr>
      <w:r w:rsidRPr="00DB0FF9">
        <w:rPr>
          <w:rFonts w:cs="Arial"/>
          <w:lang w:val="en-US"/>
        </w:rPr>
        <w:t xml:space="preserve">At the end of 2023, BB </w:t>
      </w:r>
      <w:proofErr w:type="spellStart"/>
      <w:r w:rsidRPr="00DB0FF9">
        <w:rPr>
          <w:rFonts w:cs="Arial"/>
          <w:lang w:val="en-US"/>
        </w:rPr>
        <w:t>Seguridade</w:t>
      </w:r>
      <w:proofErr w:type="spellEnd"/>
      <w:r w:rsidRPr="00DB0FF9">
        <w:rPr>
          <w:rFonts w:cs="Arial"/>
          <w:lang w:val="en-US"/>
        </w:rPr>
        <w:t xml:space="preserve"> did not record financial indebtedness in its financial statements. The source of funds was equity.</w:t>
      </w:r>
    </w:p>
    <w:p w14:paraId="2BD68C00" w14:textId="77777777" w:rsidR="003C4F2E" w:rsidRPr="00BC754A" w:rsidRDefault="003C4F2E" w:rsidP="003C4F2E">
      <w:pPr>
        <w:pStyle w:val="05-Textonormal"/>
        <w:rPr>
          <w:rFonts w:cs="Arial"/>
          <w:lang w:val="en-US"/>
        </w:rPr>
      </w:pPr>
      <w:r w:rsidRPr="00DB0FF9">
        <w:rPr>
          <w:rFonts w:cs="Arial"/>
          <w:lang w:val="en-US"/>
        </w:rPr>
        <w:t>The investments of its investees followed their normal flow of execution, according to individual plans structured by each company.</w:t>
      </w:r>
    </w:p>
    <w:p w14:paraId="60C5A4C1" w14:textId="77777777" w:rsidR="003C4F2E" w:rsidRPr="00BC754A" w:rsidRDefault="003C4F2E" w:rsidP="003C4F2E">
      <w:pPr>
        <w:pStyle w:val="05-Textonormal"/>
        <w:rPr>
          <w:rFonts w:cs="Arial"/>
          <w:lang w:val="en-US"/>
        </w:rPr>
      </w:pPr>
      <w:r>
        <w:rPr>
          <w:rFonts w:cs="Arial"/>
          <w:lang w:val="en-US"/>
        </w:rPr>
        <w:t xml:space="preserve">During the fiscal year 2023, BB </w:t>
      </w:r>
      <w:proofErr w:type="spellStart"/>
      <w:r>
        <w:rPr>
          <w:rFonts w:cs="Arial"/>
          <w:lang w:val="en-US"/>
        </w:rPr>
        <w:t>Seguridade</w:t>
      </w:r>
      <w:proofErr w:type="spellEnd"/>
      <w:r>
        <w:rPr>
          <w:rFonts w:cs="Arial"/>
          <w:lang w:val="en-US"/>
        </w:rPr>
        <w:t xml:space="preserve"> used the independent auditing services of Deloitte Touche Tohmatsu Auditores </w:t>
      </w:r>
      <w:proofErr w:type="spellStart"/>
      <w:r>
        <w:rPr>
          <w:rFonts w:cs="Arial"/>
          <w:lang w:val="en-US"/>
        </w:rPr>
        <w:t>Independentes</w:t>
      </w:r>
      <w:proofErr w:type="spellEnd"/>
      <w:r>
        <w:rPr>
          <w:rFonts w:cs="Arial"/>
          <w:lang w:val="en-US"/>
        </w:rPr>
        <w:t xml:space="preserve"> Ltda. ("Deloitte"), through a contract signed by its parent company, Banco do Brasil S.A. </w:t>
      </w:r>
    </w:p>
    <w:p w14:paraId="194E6844" w14:textId="77777777" w:rsidR="003C4F2E" w:rsidRPr="00BC754A" w:rsidRDefault="003C4F2E" w:rsidP="003C4F2E">
      <w:pPr>
        <w:pStyle w:val="05-Textonormal"/>
        <w:rPr>
          <w:rFonts w:cs="Arial"/>
          <w:lang w:val="en-US"/>
        </w:rPr>
      </w:pPr>
      <w:r w:rsidRPr="00DB0FF9">
        <w:rPr>
          <w:rFonts w:cs="Arial"/>
          <w:lang w:val="en-US"/>
        </w:rPr>
        <w:t xml:space="preserve">When contracting services not related to external audit, BB </w:t>
      </w:r>
      <w:proofErr w:type="spellStart"/>
      <w:r w:rsidRPr="00DB0FF9">
        <w:rPr>
          <w:rFonts w:cs="Arial"/>
          <w:lang w:val="en-US"/>
        </w:rPr>
        <w:t>Seguridade</w:t>
      </w:r>
      <w:proofErr w:type="spellEnd"/>
      <w:r w:rsidRPr="00DB0FF9">
        <w:rPr>
          <w:rFonts w:cs="Arial"/>
          <w:lang w:val="en-US"/>
        </w:rPr>
        <w:t xml:space="preserve"> adopts procedures that are based on the applicable legislation and internationally accepted principles that preserve the auditor's independence. These principles consist of: (</w:t>
      </w:r>
      <w:proofErr w:type="spellStart"/>
      <w:r w:rsidRPr="00DB0FF9">
        <w:rPr>
          <w:rFonts w:cs="Arial"/>
          <w:lang w:val="en-US"/>
        </w:rPr>
        <w:t>i</w:t>
      </w:r>
      <w:proofErr w:type="spellEnd"/>
      <w:r w:rsidRPr="00DB0FF9">
        <w:rPr>
          <w:rFonts w:cs="Arial"/>
          <w:lang w:val="en-US"/>
        </w:rPr>
        <w:t>) the auditor must not audit its own work; and (ii) the auditor must not act managerially towards its client, nor promote its interests.</w:t>
      </w:r>
    </w:p>
    <w:p w14:paraId="7002BE9C" w14:textId="77777777" w:rsidR="003C4F2E" w:rsidRPr="00BC754A" w:rsidRDefault="003C4F2E" w:rsidP="003C4F2E">
      <w:pPr>
        <w:pStyle w:val="05-Textonormal"/>
        <w:rPr>
          <w:rFonts w:cs="Arial"/>
          <w:lang w:val="en-US"/>
        </w:rPr>
      </w:pPr>
      <w:r w:rsidRPr="00CA132A">
        <w:rPr>
          <w:rFonts w:cs="Arial"/>
          <w:lang w:val="en-US"/>
        </w:rPr>
        <w:t xml:space="preserve">BB </w:t>
      </w:r>
      <w:proofErr w:type="spellStart"/>
      <w:r w:rsidRPr="00CA132A">
        <w:rPr>
          <w:rFonts w:cs="Arial"/>
          <w:lang w:val="en-US"/>
        </w:rPr>
        <w:t>Seguridade</w:t>
      </w:r>
      <w:proofErr w:type="spellEnd"/>
      <w:r w:rsidRPr="00CA132A">
        <w:rPr>
          <w:rFonts w:cs="Arial"/>
          <w:lang w:val="en-US"/>
        </w:rPr>
        <w:t xml:space="preserve">, its shareholders, managers, and members of the </w:t>
      </w:r>
      <w:r>
        <w:rPr>
          <w:rFonts w:cs="Arial"/>
          <w:lang w:val="en-US"/>
        </w:rPr>
        <w:t>Fiscal Council</w:t>
      </w:r>
      <w:r w:rsidRPr="00CA132A">
        <w:rPr>
          <w:rFonts w:cs="Arial"/>
          <w:lang w:val="en-US"/>
        </w:rPr>
        <w:t xml:space="preserve"> undertake to resolve any disputes or controversies related to the Novo Mercado Listing Regulations through the B3 – Brasil, Bolsa, </w:t>
      </w:r>
      <w:proofErr w:type="spellStart"/>
      <w:r w:rsidRPr="00CA132A">
        <w:rPr>
          <w:rFonts w:cs="Arial"/>
          <w:lang w:val="en-US"/>
        </w:rPr>
        <w:t>Balcão</w:t>
      </w:r>
      <w:proofErr w:type="spellEnd"/>
      <w:r w:rsidRPr="00CA132A">
        <w:rPr>
          <w:rFonts w:cs="Arial"/>
          <w:lang w:val="en-US"/>
        </w:rPr>
        <w:t xml:space="preserve"> Market Arbitration Chamber, pursuant to the arbitration clause provided for in BB </w:t>
      </w:r>
      <w:proofErr w:type="spellStart"/>
      <w:r w:rsidRPr="00CA132A">
        <w:rPr>
          <w:rFonts w:cs="Arial"/>
          <w:lang w:val="en-US"/>
        </w:rPr>
        <w:t>Seguridade's</w:t>
      </w:r>
      <w:proofErr w:type="spellEnd"/>
      <w:r w:rsidRPr="00CA132A">
        <w:rPr>
          <w:rFonts w:cs="Arial"/>
          <w:lang w:val="en-US"/>
        </w:rPr>
        <w:t xml:space="preserve"> Articles of Incorporation, Article 53.</w:t>
      </w:r>
    </w:p>
    <w:p w14:paraId="34575292" w14:textId="77777777" w:rsidR="003C4F2E" w:rsidRPr="00BC754A" w:rsidRDefault="003C4F2E" w:rsidP="003C4F2E">
      <w:pPr>
        <w:rPr>
          <w:rFonts w:eastAsia="Times New Roman" w:cs="Arial"/>
          <w:szCs w:val="20"/>
          <w:lang w:val="en-US" w:eastAsia="pt-BR"/>
        </w:rPr>
      </w:pPr>
    </w:p>
    <w:p w14:paraId="15077419" w14:textId="77777777" w:rsidR="003C4F2E" w:rsidRPr="00BC754A"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Acknowledgments</w:t>
      </w:r>
    </w:p>
    <w:p w14:paraId="59FD9A61" w14:textId="77777777" w:rsidR="003C4F2E" w:rsidRPr="00BC754A" w:rsidRDefault="003C4F2E" w:rsidP="003C4F2E">
      <w:pPr>
        <w:pStyle w:val="05-Textonormal"/>
        <w:rPr>
          <w:rFonts w:cs="Arial"/>
          <w:lang w:val="en-US"/>
        </w:rPr>
      </w:pPr>
      <w:r w:rsidRPr="00DE647D">
        <w:rPr>
          <w:rFonts w:cs="Arial"/>
          <w:lang w:val="en-US"/>
        </w:rPr>
        <w:t>We would like to thank our employees and associates for their dedication and commitment, as well as the Banco do Brasil distribution network and other partners, who are essential for maintaining quality customer service and process compliance in 2023, as well as the trust placed in us by shareholders, customers, and society in general.</w:t>
      </w:r>
    </w:p>
    <w:p w14:paraId="71185706" w14:textId="77777777" w:rsidR="003C4F2E" w:rsidRPr="00BC754A" w:rsidRDefault="003C4F2E" w:rsidP="003C4F2E">
      <w:pPr>
        <w:pStyle w:val="05-Textonormal"/>
        <w:rPr>
          <w:rFonts w:cs="Arial"/>
          <w:lang w:val="en-US"/>
        </w:rPr>
      </w:pPr>
    </w:p>
    <w:p w14:paraId="4DCF6E93"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Brasília, 2024</w:t>
      </w:r>
    </w:p>
    <w:p w14:paraId="29D1DEBC"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p>
    <w:p w14:paraId="735AAA43" w14:textId="77777777" w:rsidR="003C4F2E" w:rsidRPr="009A4B53" w:rsidRDefault="003C4F2E" w:rsidP="003C4F2E">
      <w:pPr>
        <w:pStyle w:val="PargrafodaLista"/>
        <w:spacing w:before="120" w:after="120"/>
        <w:ind w:left="0"/>
        <w:jc w:val="both"/>
        <w:rPr>
          <w:rFonts w:ascii="Arial" w:eastAsia="Times New Roman" w:hAnsi="Arial" w:cs="Times New Roman"/>
          <w:b/>
          <w:color w:val="1F3864" w:themeColor="accent1" w:themeShade="80"/>
          <w:spacing w:val="-2"/>
          <w:sz w:val="20"/>
          <w:szCs w:val="20"/>
          <w:lang w:val="en-US" w:eastAsia="pt-BR"/>
        </w:rPr>
      </w:pPr>
      <w:r>
        <w:rPr>
          <w:rFonts w:ascii="Arial" w:eastAsia="Times New Roman" w:hAnsi="Arial" w:cs="Times New Roman"/>
          <w:b/>
          <w:color w:val="1F3864" w:themeColor="accent1" w:themeShade="80"/>
          <w:spacing w:val="-2"/>
          <w:sz w:val="20"/>
          <w:szCs w:val="20"/>
          <w:lang w:val="en-US" w:eastAsia="pt-BR"/>
        </w:rPr>
        <w:t>The Management</w:t>
      </w:r>
    </w:p>
    <w:p w14:paraId="34CA7637" w14:textId="77777777" w:rsidR="00596107" w:rsidRPr="008E65B8" w:rsidRDefault="00596107" w:rsidP="00163DE7">
      <w:pPr>
        <w:rPr>
          <w:rFonts w:ascii="Arial" w:hAnsi="Arial" w:cs="Arial"/>
          <w:sz w:val="18"/>
          <w:szCs w:val="18"/>
          <w:lang w:val="en-US"/>
        </w:rPr>
      </w:pPr>
    </w:p>
    <w:p w14:paraId="2623E855" w14:textId="77777777" w:rsidR="00B7684B" w:rsidRDefault="00B7684B" w:rsidP="00163DE7">
      <w:pPr>
        <w:rPr>
          <w:rFonts w:ascii="Arial" w:hAnsi="Arial" w:cs="Arial"/>
          <w:sz w:val="18"/>
          <w:szCs w:val="18"/>
          <w:lang w:val="en-US"/>
        </w:rPr>
      </w:pPr>
    </w:p>
    <w:sectPr w:rsidR="00B7684B" w:rsidSect="00D3256A">
      <w:pgSz w:w="11906" w:h="16838" w:code="9"/>
      <w:pgMar w:top="1134" w:right="1134" w:bottom="851" w:left="1134" w:header="851"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A63A0" w14:textId="77777777" w:rsidR="00C71E5D" w:rsidRDefault="00C71E5D" w:rsidP="00347240">
      <w:pPr>
        <w:spacing w:after="0" w:line="240" w:lineRule="auto"/>
      </w:pPr>
      <w:r>
        <w:separator/>
      </w:r>
    </w:p>
  </w:endnote>
  <w:endnote w:type="continuationSeparator" w:id="0">
    <w:p w14:paraId="7D4D11FC" w14:textId="77777777" w:rsidR="00C71E5D" w:rsidRDefault="00C71E5D" w:rsidP="00347240">
      <w:pPr>
        <w:spacing w:after="0" w:line="240" w:lineRule="auto"/>
      </w:pPr>
      <w:r>
        <w:continuationSeparator/>
      </w:r>
    </w:p>
  </w:endnote>
  <w:endnote w:type="continuationNotice" w:id="1">
    <w:p w14:paraId="79993E91" w14:textId="77777777" w:rsidR="00C71E5D" w:rsidRDefault="00C71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BancoDoBrasil Textos Light">
    <w:panose1 w:val="00000400000000000000"/>
    <w:charset w:val="00"/>
    <w:family w:val="auto"/>
    <w:pitch w:val="variable"/>
    <w:sig w:usb0="00000003" w:usb1="00000001" w:usb2="00000000" w:usb3="00000000" w:csb0="00000001" w:csb1="00000000"/>
  </w:font>
  <w:font w:name="BancoDoBrasil Titulos Medium">
    <w:panose1 w:val="00000600000000000000"/>
    <w:charset w:val="00"/>
    <w:family w:val="auto"/>
    <w:pitch w:val="variable"/>
    <w:sig w:usb0="00000003" w:usb1="00000001"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ncoDoBrasil Textos">
    <w:panose1 w:val="000005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671880"/>
      <w:docPartObj>
        <w:docPartGallery w:val="Page Numbers (Bottom of Page)"/>
        <w:docPartUnique/>
      </w:docPartObj>
    </w:sdtPr>
    <w:sdtEndPr/>
    <w:sdtContent>
      <w:p w14:paraId="30E0D7B9" w14:textId="18277BBD" w:rsidR="00EA20F9" w:rsidRDefault="00EA20F9">
        <w:pPr>
          <w:pStyle w:val="Rodap"/>
          <w:jc w:val="right"/>
        </w:pPr>
        <w:r>
          <w:fldChar w:fldCharType="begin"/>
        </w:r>
        <w:r>
          <w:instrText>PAGE   \* MERGEFORMAT</w:instrText>
        </w:r>
        <w:r>
          <w:fldChar w:fldCharType="separate"/>
        </w:r>
        <w:r>
          <w:t>2</w:t>
        </w:r>
        <w:r>
          <w:fldChar w:fldCharType="end"/>
        </w:r>
      </w:p>
    </w:sdtContent>
  </w:sdt>
  <w:p w14:paraId="62D07B8C" w14:textId="17E001D7" w:rsidR="0068252F" w:rsidRDefault="0068252F" w:rsidP="00E973EB">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47F77" w14:textId="77777777" w:rsidR="00C71E5D" w:rsidRDefault="00C71E5D" w:rsidP="00347240">
      <w:pPr>
        <w:spacing w:after="0" w:line="240" w:lineRule="auto"/>
      </w:pPr>
      <w:r>
        <w:separator/>
      </w:r>
    </w:p>
  </w:footnote>
  <w:footnote w:type="continuationSeparator" w:id="0">
    <w:p w14:paraId="0B0A20FC" w14:textId="77777777" w:rsidR="00C71E5D" w:rsidRDefault="00C71E5D" w:rsidP="00347240">
      <w:pPr>
        <w:spacing w:after="0" w:line="240" w:lineRule="auto"/>
      </w:pPr>
      <w:r>
        <w:continuationSeparator/>
      </w:r>
    </w:p>
  </w:footnote>
  <w:footnote w:type="continuationNotice" w:id="1">
    <w:p w14:paraId="7D1EE42E" w14:textId="77777777" w:rsidR="00C71E5D" w:rsidRDefault="00C71E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C1591" w14:textId="77777777" w:rsidR="0068252F" w:rsidRDefault="0068252F">
    <w:pPr>
      <w:pStyle w:val="Cabealho"/>
    </w:pPr>
    <w:r>
      <w:rPr>
        <w:noProof/>
        <w:lang w:eastAsia="pt-BR"/>
      </w:rPr>
      <mc:AlternateContent>
        <mc:Choice Requires="wps">
          <w:drawing>
            <wp:anchor distT="0" distB="0" distL="114300" distR="114300" simplePos="0" relativeHeight="251657216" behindDoc="0" locked="0" layoutInCell="0" allowOverlap="1" wp14:anchorId="46F918A0" wp14:editId="3DA8C8E0">
              <wp:simplePos x="0" y="0"/>
              <wp:positionH relativeFrom="page">
                <wp:posOffset>0</wp:posOffset>
              </wp:positionH>
              <wp:positionV relativeFrom="page">
                <wp:posOffset>190500</wp:posOffset>
              </wp:positionV>
              <wp:extent cx="7560310" cy="266700"/>
              <wp:effectExtent l="0" t="0" r="0" b="0"/>
              <wp:wrapNone/>
              <wp:docPr id="31" name="Caixa de Texto 31"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6F918A0" id="_x0000_t202" coordsize="21600,21600" o:spt="202" path="m,l,21600r21600,l21600,xe">
              <v:stroke joinstyle="miter"/>
              <v:path gradientshapeok="t" o:connecttype="rect"/>
            </v:shapetype>
            <v:shape id="Caixa de Texto 31"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" o:allowincell="f" filled="f" stroked="f" strokeweight=".5pt">
              <v:textbox inset=",0,20pt,0">
                <w:txbxContent>
                  <w:p w14:paraId="5E2F01F6" w14:textId="77777777" w:rsidR="0068252F" w:rsidRPr="00F10B26" w:rsidRDefault="0068252F" w:rsidP="006F192E">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180" w14:textId="3574DDC6" w:rsidR="0068252F" w:rsidRDefault="008E65B8">
    <w:pPr>
      <w:pStyle w:val="Cabealho"/>
    </w:pPr>
    <w:r w:rsidRPr="0095120B">
      <w:rPr>
        <w:noProof/>
        <w:lang w:eastAsia="pt-BR"/>
      </w:rPr>
      <w:drawing>
        <wp:anchor distT="0" distB="0" distL="114300" distR="114300" simplePos="0" relativeHeight="251657246" behindDoc="0" locked="0" layoutInCell="1" allowOverlap="1" wp14:anchorId="293A8530" wp14:editId="50175DE6">
          <wp:simplePos x="0" y="0"/>
          <wp:positionH relativeFrom="margin">
            <wp:posOffset>-465455</wp:posOffset>
          </wp:positionH>
          <wp:positionV relativeFrom="paragraph">
            <wp:posOffset>-352264</wp:posOffset>
          </wp:positionV>
          <wp:extent cx="942975" cy="193040"/>
          <wp:effectExtent l="0" t="0" r="9525" b="0"/>
          <wp:wrapNone/>
          <wp:docPr id="1581602450" name="Imagem 1581602450"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040"/>
                  </a:xfrm>
                  <a:prstGeom prst="rect">
                    <a:avLst/>
                  </a:prstGeom>
                </pic:spPr>
              </pic:pic>
            </a:graphicData>
          </a:graphic>
          <wp14:sizeRelH relativeFrom="margin">
            <wp14:pctWidth>0</wp14:pctWidth>
          </wp14:sizeRelH>
          <wp14:sizeRelV relativeFrom="margin">
            <wp14:pctHeight>0</wp14:pctHeight>
          </wp14:sizeRelV>
        </wp:anchor>
      </w:drawing>
    </w:r>
    <w:r w:rsidR="003925E1" w:rsidRPr="0095120B">
      <w:rPr>
        <w:noProof/>
        <w:lang w:eastAsia="pt-BR"/>
      </w:rPr>
      <mc:AlternateContent>
        <mc:Choice Requires="wps">
          <w:drawing>
            <wp:anchor distT="0" distB="0" distL="114300" distR="114300" simplePos="0" relativeHeight="251657222" behindDoc="0" locked="0" layoutInCell="1" allowOverlap="1" wp14:anchorId="09227541" wp14:editId="6D3E6E9B">
              <wp:simplePos x="0" y="0"/>
              <wp:positionH relativeFrom="column">
                <wp:posOffset>2662773</wp:posOffset>
              </wp:positionH>
              <wp:positionV relativeFrom="paragraph">
                <wp:posOffset>-468933</wp:posOffset>
              </wp:positionV>
              <wp:extent cx="3930015" cy="457200"/>
              <wp:effectExtent l="0" t="0" r="0" b="0"/>
              <wp:wrapNone/>
              <wp:docPr id="32" name="Caixa de Texto 32"/>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342AEE28" w14:textId="0E41911F" w:rsidR="0007301F" w:rsidRPr="00030AE6" w:rsidRDefault="00154C42" w:rsidP="0007301F">
                          <w:pPr>
                            <w:jc w:val="right"/>
                            <w:rPr>
                              <w:rFonts w:ascii="Arial" w:hAnsi="Arial" w:cs="Arial"/>
                              <w:color w:val="FFFFFF" w:themeColor="background1"/>
                              <w:sz w:val="20"/>
                              <w:szCs w:val="20"/>
                            </w:rPr>
                          </w:pPr>
                          <w:r>
                            <w:rPr>
                              <w:rFonts w:ascii="Arial" w:hAnsi="Arial" w:cs="Arial"/>
                              <w:color w:val="FFFFFF" w:themeColor="background1"/>
                              <w:sz w:val="20"/>
                              <w:szCs w:val="20"/>
                            </w:rPr>
                            <w:t>Management Report</w:t>
                          </w:r>
                          <w:r w:rsidR="0007301F" w:rsidRPr="008E65B8">
                            <w:rPr>
                              <w:rFonts w:ascii="Arial" w:hAnsi="Arial" w:cs="Arial"/>
                              <w:color w:val="FFFFFF" w:themeColor="background1"/>
                              <w:sz w:val="20"/>
                              <w:szCs w:val="20"/>
                            </w:rPr>
                            <w:t xml:space="preserve"> –</w:t>
                          </w:r>
                          <w:r w:rsidR="0007301F">
                            <w:rPr>
                              <w:rFonts w:ascii="Arial" w:hAnsi="Arial" w:cs="Arial"/>
                              <w:color w:val="FFFFFF" w:themeColor="background1"/>
                              <w:sz w:val="20"/>
                              <w:szCs w:val="20"/>
                            </w:rPr>
                            <w:t xml:space="preserve"> </w:t>
                          </w:r>
                          <w:r w:rsidR="0007301F" w:rsidRPr="006E7795">
                            <w:rPr>
                              <w:rFonts w:ascii="Arial" w:hAnsi="Arial" w:cs="Arial"/>
                              <w:color w:val="FFFFFF" w:themeColor="background1"/>
                              <w:sz w:val="20"/>
                              <w:szCs w:val="20"/>
                            </w:rPr>
                            <w:t>202</w:t>
                          </w:r>
                          <w:r w:rsidR="0007301F">
                            <w:rPr>
                              <w:rFonts w:ascii="Arial" w:hAnsi="Arial" w:cs="Arial"/>
                              <w:color w:val="FFFFFF" w:themeColor="background1"/>
                              <w:sz w:val="20"/>
                              <w:szCs w:val="20"/>
                            </w:rPr>
                            <w:t>3</w:t>
                          </w:r>
                          <w:r w:rsidR="0007301F" w:rsidRPr="00030AE6">
                            <w:rPr>
                              <w:rFonts w:ascii="Arial" w:hAnsi="Arial" w:cs="Arial"/>
                              <w:color w:val="FFFFFF" w:themeColor="background1"/>
                              <w:sz w:val="20"/>
                              <w:szCs w:val="20"/>
                            </w:rPr>
                            <w:br/>
                            <w:t xml:space="preserve">BB </w:t>
                          </w:r>
                          <w:r w:rsidR="0007301F">
                            <w:rPr>
                              <w:rFonts w:ascii="Arial" w:hAnsi="Arial" w:cs="Arial"/>
                              <w:color w:val="FFFFFF" w:themeColor="background1"/>
                              <w:sz w:val="20"/>
                              <w:szCs w:val="20"/>
                            </w:rPr>
                            <w:t>Seguridade Participações</w:t>
                          </w:r>
                          <w:r w:rsidR="0007301F" w:rsidRPr="00030AE6">
                            <w:rPr>
                              <w:rFonts w:ascii="Arial" w:hAnsi="Arial" w:cs="Arial"/>
                              <w:color w:val="FFFFFF" w:themeColor="background1"/>
                              <w:sz w:val="20"/>
                              <w:szCs w:val="20"/>
                            </w:rPr>
                            <w:t xml:space="preserve"> S.A</w:t>
                          </w:r>
                          <w:r w:rsidR="0007301F">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27541" id="_x0000_t202" coordsize="21600,21600" o:spt="202" path="m,l,21600r21600,l21600,xe">
              <v:stroke joinstyle="miter"/>
              <v:path gradientshapeok="t" o:connecttype="rect"/>
            </v:shapetype>
            <v:shape id="Caixa de Texto 32" o:spid="_x0000_s1029" type="#_x0000_t202" style="position:absolute;margin-left:209.65pt;margin-top:-36.9pt;width:309.45pt;height:36pt;z-index:251657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" filled="f" stroked="f" strokeweight=".5pt">
              <v:textbox>
                <w:txbxContent>
                  <w:p w14:paraId="342AEE28" w14:textId="0E41911F" w:rsidR="0007301F" w:rsidRPr="00030AE6" w:rsidRDefault="00154C42" w:rsidP="0007301F">
                    <w:pPr>
                      <w:jc w:val="right"/>
                      <w:rPr>
                        <w:rFonts w:ascii="Arial" w:hAnsi="Arial" w:cs="Arial"/>
                        <w:color w:val="FFFFFF" w:themeColor="background1"/>
                        <w:sz w:val="20"/>
                        <w:szCs w:val="20"/>
                      </w:rPr>
                    </w:pPr>
                    <w:r>
                      <w:rPr>
                        <w:rFonts w:ascii="Arial" w:hAnsi="Arial" w:cs="Arial"/>
                        <w:color w:val="FFFFFF" w:themeColor="background1"/>
                        <w:sz w:val="20"/>
                        <w:szCs w:val="20"/>
                      </w:rPr>
                      <w:t>Management Report</w:t>
                    </w:r>
                    <w:r w:rsidR="0007301F" w:rsidRPr="008E65B8">
                      <w:rPr>
                        <w:rFonts w:ascii="Arial" w:hAnsi="Arial" w:cs="Arial"/>
                        <w:color w:val="FFFFFF" w:themeColor="background1"/>
                        <w:sz w:val="20"/>
                        <w:szCs w:val="20"/>
                      </w:rPr>
                      <w:t xml:space="preserve"> –</w:t>
                    </w:r>
                    <w:r w:rsidR="0007301F">
                      <w:rPr>
                        <w:rFonts w:ascii="Arial" w:hAnsi="Arial" w:cs="Arial"/>
                        <w:color w:val="FFFFFF" w:themeColor="background1"/>
                        <w:sz w:val="20"/>
                        <w:szCs w:val="20"/>
                      </w:rPr>
                      <w:t xml:space="preserve"> </w:t>
                    </w:r>
                    <w:r w:rsidR="0007301F" w:rsidRPr="006E7795">
                      <w:rPr>
                        <w:rFonts w:ascii="Arial" w:hAnsi="Arial" w:cs="Arial"/>
                        <w:color w:val="FFFFFF" w:themeColor="background1"/>
                        <w:sz w:val="20"/>
                        <w:szCs w:val="20"/>
                      </w:rPr>
                      <w:t>202</w:t>
                    </w:r>
                    <w:r w:rsidR="0007301F">
                      <w:rPr>
                        <w:rFonts w:ascii="Arial" w:hAnsi="Arial" w:cs="Arial"/>
                        <w:color w:val="FFFFFF" w:themeColor="background1"/>
                        <w:sz w:val="20"/>
                        <w:szCs w:val="20"/>
                      </w:rPr>
                      <w:t>3</w:t>
                    </w:r>
                    <w:r w:rsidR="0007301F" w:rsidRPr="00030AE6">
                      <w:rPr>
                        <w:rFonts w:ascii="Arial" w:hAnsi="Arial" w:cs="Arial"/>
                        <w:color w:val="FFFFFF" w:themeColor="background1"/>
                        <w:sz w:val="20"/>
                        <w:szCs w:val="20"/>
                      </w:rPr>
                      <w:br/>
                      <w:t xml:space="preserve">BB </w:t>
                    </w:r>
                    <w:r w:rsidR="0007301F">
                      <w:rPr>
                        <w:rFonts w:ascii="Arial" w:hAnsi="Arial" w:cs="Arial"/>
                        <w:color w:val="FFFFFF" w:themeColor="background1"/>
                        <w:sz w:val="20"/>
                        <w:szCs w:val="20"/>
                      </w:rPr>
                      <w:t>Seguridade Participações</w:t>
                    </w:r>
                    <w:r w:rsidR="0007301F" w:rsidRPr="00030AE6">
                      <w:rPr>
                        <w:rFonts w:ascii="Arial" w:hAnsi="Arial" w:cs="Arial"/>
                        <w:color w:val="FFFFFF" w:themeColor="background1"/>
                        <w:sz w:val="20"/>
                        <w:szCs w:val="20"/>
                      </w:rPr>
                      <w:t xml:space="preserve"> S.A</w:t>
                    </w:r>
                    <w:r w:rsidR="0007301F">
                      <w:rPr>
                        <w:rFonts w:ascii="Arial" w:hAnsi="Arial" w:cs="Arial"/>
                        <w:color w:val="FFFFFF" w:themeColor="background1"/>
                        <w:sz w:val="20"/>
                        <w:szCs w:val="20"/>
                      </w:rPr>
                      <w:t>.</w:t>
                    </w:r>
                  </w:p>
                  <w:p w14:paraId="4567E349" w14:textId="77777777" w:rsidR="003925E1" w:rsidRPr="00030AE6" w:rsidRDefault="003925E1" w:rsidP="003925E1">
                    <w:pPr>
                      <w:rPr>
                        <w:rFonts w:ascii="Arial" w:hAnsi="Arial" w:cs="Arial"/>
                        <w:sz w:val="20"/>
                        <w:szCs w:val="20"/>
                      </w:rPr>
                    </w:pPr>
                  </w:p>
                </w:txbxContent>
              </v:textbox>
            </v:shape>
          </w:pict>
        </mc:Fallback>
      </mc:AlternateContent>
    </w:r>
    <w:r w:rsidR="0068252F" w:rsidRPr="0069353A">
      <w:rPr>
        <w:noProof/>
        <w:sz w:val="20"/>
        <w:szCs w:val="20"/>
        <w:lang w:eastAsia="pt-BR"/>
      </w:rPr>
      <mc:AlternateContent>
        <mc:Choice Requires="wps">
          <w:drawing>
            <wp:anchor distT="0" distB="0" distL="114300" distR="114300" simplePos="0" relativeHeight="251657219" behindDoc="1" locked="0" layoutInCell="1" allowOverlap="1" wp14:anchorId="39C791C0" wp14:editId="2B0FCC07">
              <wp:simplePos x="0" y="0"/>
              <wp:positionH relativeFrom="page">
                <wp:posOffset>0</wp:posOffset>
              </wp:positionH>
              <wp:positionV relativeFrom="paragraph">
                <wp:posOffset>-588010</wp:posOffset>
              </wp:positionV>
              <wp:extent cx="7553325" cy="623570"/>
              <wp:effectExtent l="0" t="0" r="9525" b="5080"/>
              <wp:wrapThrough wrapText="bothSides">
                <wp:wrapPolygon edited="0">
                  <wp:start x="0" y="0"/>
                  <wp:lineTo x="0" y="21116"/>
                  <wp:lineTo x="21573" y="21116"/>
                  <wp:lineTo x="21573" y="0"/>
                  <wp:lineTo x="0" y="0"/>
                </wp:wrapPolygon>
              </wp:wrapThrough>
              <wp:docPr id="1" name="Retângulo 1"/>
              <wp:cNvGraphicFramePr/>
              <a:graphic xmlns:a="http://schemas.openxmlformats.org/drawingml/2006/main">
                <a:graphicData uri="http://schemas.microsoft.com/office/word/2010/wordprocessingShape">
                  <wps:wsp>
                    <wps:cNvSpPr/>
                    <wps:spPr>
                      <a:xfrm>
                        <a:off x="0" y="0"/>
                        <a:ext cx="7553325" cy="623570"/>
                      </a:xfrm>
                      <a:prstGeom prst="rect">
                        <a:avLst/>
                      </a:prstGeom>
                      <a:solidFill>
                        <a:srgbClr val="002D4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3C3B8" id="Retângulo 1" o:spid="_x0000_s1026" style="position:absolute;margin-left:0;margin-top:-46.3pt;width:594.75pt;height:49.1pt;z-index:-251659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" fillcolor="#002d4b" stroked="f" strokeweight="1pt">
              <w10:wrap type="through" anchorx="page"/>
            </v:rect>
          </w:pict>
        </mc:Fallback>
      </mc:AlternateContent>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20" behindDoc="0" locked="0" layoutInCell="1" allowOverlap="1" wp14:anchorId="1D25935A" wp14:editId="1812F007">
              <wp:simplePos x="0" y="0"/>
              <wp:positionH relativeFrom="page">
                <wp:posOffset>-175260</wp:posOffset>
              </wp:positionH>
              <wp:positionV relativeFrom="paragraph">
                <wp:posOffset>33020</wp:posOffset>
              </wp:positionV>
              <wp:extent cx="9144000" cy="53340"/>
              <wp:effectExtent l="0" t="0" r="0" b="3810"/>
              <wp:wrapNone/>
              <wp:docPr id="2" name="Retângulo 2"/>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w="12700" cap="flat" cmpd="sng" algn="ctr">
                        <a:noFill/>
                        <a:prstDash val="solid"/>
                        <a:miter lim="800000"/>
                      </a:ln>
                      <a:effectLst/>
                    </wps:spPr>
                    <wps:bodyPr anchor="ctr"/>
                  </wps:wsp>
                </a:graphicData>
              </a:graphic>
            </wp:anchor>
          </w:drawing>
        </mc:Choice>
        <mc:Fallback>
          <w:pict>
            <v:rect w14:anchorId="5FA5E3B6" id="Retângulo 2" o:spid="_x0000_s1026" style="position:absolute;margin-left:-13.8pt;margin-top:2.6pt;width:10in;height:4.2pt;z-index:25165722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" fillcolor="#f5e500"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92D5" w14:textId="37E37AF6" w:rsidR="0068252F" w:rsidRPr="00147488" w:rsidRDefault="00CA4BDA" w:rsidP="006F192E">
    <w:pPr>
      <w:pStyle w:val="Cabealho"/>
      <w:tabs>
        <w:tab w:val="clear" w:pos="4252"/>
        <w:tab w:val="clear" w:pos="8504"/>
        <w:tab w:val="left" w:pos="5625"/>
      </w:tabs>
    </w:pPr>
    <w:r w:rsidRPr="0069353A">
      <w:rPr>
        <w:noProof/>
        <w:sz w:val="20"/>
        <w:szCs w:val="20"/>
        <w:lang w:eastAsia="pt-BR"/>
      </w:rPr>
      <mc:AlternateContent>
        <mc:Choice Requires="wps">
          <w:drawing>
            <wp:anchor distT="0" distB="0" distL="114300" distR="114300" simplePos="0" relativeHeight="251657217" behindDoc="1" locked="0" layoutInCell="1" allowOverlap="1" wp14:anchorId="4DD2D684" wp14:editId="0F2F11DE">
              <wp:simplePos x="0" y="0"/>
              <wp:positionH relativeFrom="page">
                <wp:align>left</wp:align>
              </wp:positionH>
              <wp:positionV relativeFrom="paragraph">
                <wp:posOffset>-544830</wp:posOffset>
              </wp:positionV>
              <wp:extent cx="7680960" cy="548640"/>
              <wp:effectExtent l="0" t="0" r="0" b="3810"/>
              <wp:wrapThrough wrapText="bothSides">
                <wp:wrapPolygon edited="0">
                  <wp:start x="0" y="0"/>
                  <wp:lineTo x="0" y="21000"/>
                  <wp:lineTo x="21536" y="21000"/>
                  <wp:lineTo x="21536" y="0"/>
                  <wp:lineTo x="0" y="0"/>
                </wp:wrapPolygon>
              </wp:wrapThrough>
              <wp:docPr id="33" name="Retângulo 33"/>
              <wp:cNvGraphicFramePr/>
              <a:graphic xmlns:a="http://schemas.openxmlformats.org/drawingml/2006/main">
                <a:graphicData uri="http://schemas.microsoft.com/office/word/2010/wordprocessingShape">
                  <wps:wsp>
                    <wps:cNvSpPr/>
                    <wps:spPr>
                      <a:xfrm>
                        <a:off x="0" y="0"/>
                        <a:ext cx="7680960" cy="5486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CC646" id="Retângulo 33" o:spid="_x0000_s1026" style="position:absolute;margin-left:0;margin-top:-42.9pt;width:604.8pt;height:43.2pt;z-index:-25165926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" fillcolor="#002d4b" stroked="f" strokeweight="1pt">
              <w10:wrap type="through" anchorx="page"/>
            </v:rect>
          </w:pict>
        </mc:Fallback>
      </mc:AlternateContent>
    </w:r>
    <w:r w:rsidR="0068252F" w:rsidRPr="0095120B">
      <w:rPr>
        <w:noProof/>
        <w:lang w:eastAsia="pt-BR"/>
      </w:rPr>
      <mc:AlternateContent>
        <mc:Choice Requires="wps">
          <w:drawing>
            <wp:anchor distT="0" distB="0" distL="114300" distR="114300" simplePos="0" relativeHeight="251657221" behindDoc="0" locked="0" layoutInCell="1" allowOverlap="1" wp14:anchorId="36C82CED" wp14:editId="298EFAF6">
              <wp:simplePos x="0" y="0"/>
              <wp:positionH relativeFrom="column">
                <wp:posOffset>2825750</wp:posOffset>
              </wp:positionH>
              <wp:positionV relativeFrom="paragraph">
                <wp:posOffset>-464185</wp:posOffset>
              </wp:positionV>
              <wp:extent cx="3930015" cy="45720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3930015" cy="457200"/>
                      </a:xfrm>
                      <a:prstGeom prst="rect">
                        <a:avLst/>
                      </a:prstGeom>
                      <a:noFill/>
                      <a:ln w="6350">
                        <a:noFill/>
                      </a:ln>
                    </wps:spPr>
                    <wps:txbx>
                      <w:txbxContent>
                        <w:p w14:paraId="7DAAD565" w14:textId="5557B732" w:rsidR="008E65B8" w:rsidRPr="00030AE6" w:rsidRDefault="00D3256A" w:rsidP="008E65B8">
                          <w:pPr>
                            <w:jc w:val="right"/>
                            <w:rPr>
                              <w:rFonts w:ascii="Arial" w:hAnsi="Arial" w:cs="Arial"/>
                              <w:color w:val="FFFFFF" w:themeColor="background1"/>
                              <w:sz w:val="20"/>
                              <w:szCs w:val="20"/>
                            </w:rPr>
                          </w:pPr>
                          <w:r>
                            <w:rPr>
                              <w:rFonts w:ascii="Arial" w:hAnsi="Arial" w:cs="Arial"/>
                              <w:color w:val="FFFFFF" w:themeColor="background1"/>
                              <w:sz w:val="20"/>
                              <w:szCs w:val="20"/>
                            </w:rPr>
                            <w:t>Management Report</w:t>
                          </w:r>
                          <w:r w:rsidR="008E65B8" w:rsidRPr="008E65B8">
                            <w:rPr>
                              <w:rFonts w:ascii="Arial" w:hAnsi="Arial" w:cs="Arial"/>
                              <w:color w:val="FFFFFF" w:themeColor="background1"/>
                              <w:sz w:val="20"/>
                              <w:szCs w:val="20"/>
                            </w:rPr>
                            <w:t xml:space="preserve"> – </w:t>
                          </w:r>
                          <w:r w:rsidR="008E65B8" w:rsidRPr="006E7795">
                            <w:rPr>
                              <w:rFonts w:ascii="Arial" w:hAnsi="Arial" w:cs="Arial"/>
                              <w:color w:val="FFFFFF" w:themeColor="background1"/>
                              <w:sz w:val="20"/>
                              <w:szCs w:val="20"/>
                            </w:rPr>
                            <w:t>202</w:t>
                          </w:r>
                          <w:r w:rsidR="008E65B8">
                            <w:rPr>
                              <w:rFonts w:ascii="Arial" w:hAnsi="Arial" w:cs="Arial"/>
                              <w:color w:val="FFFFFF" w:themeColor="background1"/>
                              <w:sz w:val="20"/>
                              <w:szCs w:val="20"/>
                            </w:rPr>
                            <w:t>3</w:t>
                          </w:r>
                          <w:r w:rsidR="008E65B8" w:rsidRPr="00030AE6">
                            <w:rPr>
                              <w:rFonts w:ascii="Arial" w:hAnsi="Arial" w:cs="Arial"/>
                              <w:color w:val="FFFFFF" w:themeColor="background1"/>
                              <w:sz w:val="20"/>
                              <w:szCs w:val="20"/>
                            </w:rPr>
                            <w:br/>
                            <w:t xml:space="preserve">BB </w:t>
                          </w:r>
                          <w:r w:rsidR="008E65B8">
                            <w:rPr>
                              <w:rFonts w:ascii="Arial" w:hAnsi="Arial" w:cs="Arial"/>
                              <w:color w:val="FFFFFF" w:themeColor="background1"/>
                              <w:sz w:val="20"/>
                              <w:szCs w:val="20"/>
                            </w:rPr>
                            <w:t>Seguridade Participações</w:t>
                          </w:r>
                          <w:r w:rsidR="008E65B8" w:rsidRPr="00030AE6">
                            <w:rPr>
                              <w:rFonts w:ascii="Arial" w:hAnsi="Arial" w:cs="Arial"/>
                              <w:color w:val="FFFFFF" w:themeColor="background1"/>
                              <w:sz w:val="20"/>
                              <w:szCs w:val="20"/>
                            </w:rPr>
                            <w:t xml:space="preserve"> S.A</w:t>
                          </w:r>
                          <w:r w:rsidR="008E65B8">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C82CED" id="_x0000_t202" coordsize="21600,21600" o:spt="202" path="m,l,21600r21600,l21600,xe">
              <v:stroke joinstyle="miter"/>
              <v:path gradientshapeok="t" o:connecttype="rect"/>
            </v:shapetype>
            <v:shape id="Caixa de Texto 13" o:spid="_x0000_s1030" type="#_x0000_t202" style="position:absolute;margin-left:222.5pt;margin-top:-36.55pt;width:309.45pt;height:36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" filled="f" stroked="f" strokeweight=".5pt">
              <v:textbox>
                <w:txbxContent>
                  <w:p w14:paraId="7DAAD565" w14:textId="5557B732" w:rsidR="008E65B8" w:rsidRPr="00030AE6" w:rsidRDefault="00D3256A" w:rsidP="008E65B8">
                    <w:pPr>
                      <w:jc w:val="right"/>
                      <w:rPr>
                        <w:rFonts w:ascii="Arial" w:hAnsi="Arial" w:cs="Arial"/>
                        <w:color w:val="FFFFFF" w:themeColor="background1"/>
                        <w:sz w:val="20"/>
                        <w:szCs w:val="20"/>
                      </w:rPr>
                    </w:pPr>
                    <w:r>
                      <w:rPr>
                        <w:rFonts w:ascii="Arial" w:hAnsi="Arial" w:cs="Arial"/>
                        <w:color w:val="FFFFFF" w:themeColor="background1"/>
                        <w:sz w:val="20"/>
                        <w:szCs w:val="20"/>
                      </w:rPr>
                      <w:t>Management Report</w:t>
                    </w:r>
                    <w:r w:rsidR="008E65B8" w:rsidRPr="008E65B8">
                      <w:rPr>
                        <w:rFonts w:ascii="Arial" w:hAnsi="Arial" w:cs="Arial"/>
                        <w:color w:val="FFFFFF" w:themeColor="background1"/>
                        <w:sz w:val="20"/>
                        <w:szCs w:val="20"/>
                      </w:rPr>
                      <w:t xml:space="preserve"> – </w:t>
                    </w:r>
                    <w:r w:rsidR="008E65B8" w:rsidRPr="006E7795">
                      <w:rPr>
                        <w:rFonts w:ascii="Arial" w:hAnsi="Arial" w:cs="Arial"/>
                        <w:color w:val="FFFFFF" w:themeColor="background1"/>
                        <w:sz w:val="20"/>
                        <w:szCs w:val="20"/>
                      </w:rPr>
                      <w:t>202</w:t>
                    </w:r>
                    <w:r w:rsidR="008E65B8">
                      <w:rPr>
                        <w:rFonts w:ascii="Arial" w:hAnsi="Arial" w:cs="Arial"/>
                        <w:color w:val="FFFFFF" w:themeColor="background1"/>
                        <w:sz w:val="20"/>
                        <w:szCs w:val="20"/>
                      </w:rPr>
                      <w:t>3</w:t>
                    </w:r>
                    <w:r w:rsidR="008E65B8" w:rsidRPr="00030AE6">
                      <w:rPr>
                        <w:rFonts w:ascii="Arial" w:hAnsi="Arial" w:cs="Arial"/>
                        <w:color w:val="FFFFFF" w:themeColor="background1"/>
                        <w:sz w:val="20"/>
                        <w:szCs w:val="20"/>
                      </w:rPr>
                      <w:br/>
                      <w:t xml:space="preserve">BB </w:t>
                    </w:r>
                    <w:r w:rsidR="008E65B8">
                      <w:rPr>
                        <w:rFonts w:ascii="Arial" w:hAnsi="Arial" w:cs="Arial"/>
                        <w:color w:val="FFFFFF" w:themeColor="background1"/>
                        <w:sz w:val="20"/>
                        <w:szCs w:val="20"/>
                      </w:rPr>
                      <w:t>Seguridade Participações</w:t>
                    </w:r>
                    <w:r w:rsidR="008E65B8" w:rsidRPr="00030AE6">
                      <w:rPr>
                        <w:rFonts w:ascii="Arial" w:hAnsi="Arial" w:cs="Arial"/>
                        <w:color w:val="FFFFFF" w:themeColor="background1"/>
                        <w:sz w:val="20"/>
                        <w:szCs w:val="20"/>
                      </w:rPr>
                      <w:t xml:space="preserve"> S.A</w:t>
                    </w:r>
                    <w:r w:rsidR="008E65B8">
                      <w:rPr>
                        <w:rFonts w:ascii="Arial" w:hAnsi="Arial" w:cs="Arial"/>
                        <w:color w:val="FFFFFF" w:themeColor="background1"/>
                        <w:sz w:val="20"/>
                        <w:szCs w:val="20"/>
                      </w:rPr>
                      <w:t>.</w:t>
                    </w:r>
                  </w:p>
                  <w:p w14:paraId="6A8508CA" w14:textId="77777777" w:rsidR="0068252F" w:rsidRPr="00030AE6" w:rsidRDefault="0068252F" w:rsidP="000148A5">
                    <w:pPr>
                      <w:rPr>
                        <w:rFonts w:ascii="Arial" w:hAnsi="Arial" w:cs="Arial"/>
                        <w:sz w:val="20"/>
                        <w:szCs w:val="20"/>
                      </w:rPr>
                    </w:pPr>
                  </w:p>
                </w:txbxContent>
              </v:textbox>
            </v:shape>
          </w:pict>
        </mc:Fallback>
      </mc:AlternateContent>
    </w:r>
    <w:r w:rsidR="0068252F" w:rsidRPr="0095120B">
      <w:rPr>
        <w:noProof/>
        <w:lang w:eastAsia="pt-BR"/>
      </w:rPr>
      <w:drawing>
        <wp:anchor distT="0" distB="0" distL="114300" distR="114300" simplePos="0" relativeHeight="251657247" behindDoc="0" locked="0" layoutInCell="1" allowOverlap="1" wp14:anchorId="0B544E1D" wp14:editId="2B7A1706">
          <wp:simplePos x="0" y="0"/>
          <wp:positionH relativeFrom="margin">
            <wp:posOffset>-396240</wp:posOffset>
          </wp:positionH>
          <wp:positionV relativeFrom="paragraph">
            <wp:posOffset>-368935</wp:posOffset>
          </wp:positionV>
          <wp:extent cx="942975" cy="193673"/>
          <wp:effectExtent l="0" t="0" r="0" b="0"/>
          <wp:wrapNone/>
          <wp:docPr id="1269059717" name="Imagem 126905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2975" cy="193673"/>
                  </a:xfrm>
                  <a:prstGeom prst="rect">
                    <a:avLst/>
                  </a:prstGeom>
                </pic:spPr>
              </pic:pic>
            </a:graphicData>
          </a:graphic>
          <wp14:sizeRelH relativeFrom="margin">
            <wp14:pctWidth>0</wp14:pctWidth>
          </wp14:sizeRelH>
          <wp14:sizeRelV relativeFrom="margin">
            <wp14:pctHeight>0</wp14:pctHeight>
          </wp14:sizeRelV>
        </wp:anchor>
      </w:drawing>
    </w:r>
    <w:r w:rsidR="0068252F" w:rsidRPr="005D303B">
      <w:rPr>
        <w:rFonts w:ascii="Arial" w:hAnsi="Arial" w:cs="Arial"/>
        <w:b/>
        <w:noProof/>
        <w:color w:val="1F3864" w:themeColor="accent1" w:themeShade="80"/>
        <w:sz w:val="18"/>
        <w:szCs w:val="18"/>
        <w:lang w:eastAsia="pt-BR"/>
      </w:rPr>
      <mc:AlternateContent>
        <mc:Choice Requires="wps">
          <w:drawing>
            <wp:anchor distT="0" distB="0" distL="114300" distR="114300" simplePos="0" relativeHeight="251657218" behindDoc="0" locked="0" layoutInCell="1" allowOverlap="1" wp14:anchorId="3CF4C394" wp14:editId="1BCD38FC">
              <wp:simplePos x="0" y="0"/>
              <wp:positionH relativeFrom="page">
                <wp:posOffset>-30145</wp:posOffset>
              </wp:positionH>
              <wp:positionV relativeFrom="paragraph">
                <wp:posOffset>-8953</wp:posOffset>
              </wp:positionV>
              <wp:extent cx="9144000" cy="53340"/>
              <wp:effectExtent l="0" t="0" r="0" b="3810"/>
              <wp:wrapNone/>
              <wp:docPr id="34" name="Retângulo 3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0317D89" id="Retângulo 34" o:spid="_x0000_s1026" style="position:absolute;margin-left:-2.35pt;margin-top:-.7pt;width:10in;height:4.2pt;z-index:25165721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288F"/>
    <w:multiLevelType w:val="hybridMultilevel"/>
    <w:tmpl w:val="D6A063AC"/>
    <w:lvl w:ilvl="0" w:tplc="D9A05B5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6262162"/>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AC4508"/>
    <w:multiLevelType w:val="hybridMultilevel"/>
    <w:tmpl w:val="4F420316"/>
    <w:lvl w:ilvl="0" w:tplc="C4E2C440">
      <w:start w:val="1"/>
      <w:numFmt w:val="decimal"/>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C606F30"/>
    <w:multiLevelType w:val="hybridMultilevel"/>
    <w:tmpl w:val="06C62A0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EF4521E"/>
    <w:multiLevelType w:val="hybridMultilevel"/>
    <w:tmpl w:val="7AB4B556"/>
    <w:lvl w:ilvl="0" w:tplc="FE8CCFE0">
      <w:start w:val="1"/>
      <w:numFmt w:val="decimal"/>
      <w:lvlText w:val="(%1)"/>
      <w:lvlJc w:val="left"/>
      <w:pPr>
        <w:ind w:left="758" w:hanging="474"/>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6" w15:restartNumberingAfterBreak="0">
    <w:nsid w:val="12D64052"/>
    <w:multiLevelType w:val="hybridMultilevel"/>
    <w:tmpl w:val="05AAC5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3F0AD2"/>
    <w:multiLevelType w:val="hybridMultilevel"/>
    <w:tmpl w:val="965A923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4547C66"/>
    <w:multiLevelType w:val="hybridMultilevel"/>
    <w:tmpl w:val="A51466F4"/>
    <w:lvl w:ilvl="0" w:tplc="1BAAA20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55F1961"/>
    <w:multiLevelType w:val="hybridMultilevel"/>
    <w:tmpl w:val="005E4D90"/>
    <w:lvl w:ilvl="0" w:tplc="4DC4E4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73328C0"/>
    <w:multiLevelType w:val="hybridMultilevel"/>
    <w:tmpl w:val="477CCC42"/>
    <w:lvl w:ilvl="0" w:tplc="A676A1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A63CD9"/>
    <w:multiLevelType w:val="hybridMultilevel"/>
    <w:tmpl w:val="8BC68C70"/>
    <w:lvl w:ilvl="0" w:tplc="93689A0E">
      <w:start w:val="1"/>
      <w:numFmt w:val="decimal"/>
      <w:lvlText w:val="(%1)"/>
      <w:lvlJc w:val="left"/>
      <w:pPr>
        <w:ind w:left="360" w:hanging="360"/>
      </w:pPr>
      <w:rPr>
        <w:rFonts w:eastAsia="Times New Roman" w:cs="Times New Roman"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1BE43077"/>
    <w:multiLevelType w:val="hybridMultilevel"/>
    <w:tmpl w:val="4016115E"/>
    <w:lvl w:ilvl="0" w:tplc="4CBC3088">
      <w:start w:val="1"/>
      <w:numFmt w:val="decimal"/>
      <w:lvlText w:val="(%1)"/>
      <w:lvlJc w:val="left"/>
      <w:pPr>
        <w:ind w:left="720" w:hanging="360"/>
      </w:pPr>
      <w:rPr>
        <w:rFonts w:hint="default"/>
      </w:rPr>
    </w:lvl>
    <w:lvl w:ilvl="1" w:tplc="2AF2EA52">
      <w:start w:val="1"/>
      <w:numFmt w:val="lowerLetter"/>
      <w:lvlText w:val="%2."/>
      <w:lvlJc w:val="left"/>
      <w:pPr>
        <w:ind w:left="1440" w:hanging="360"/>
      </w:pPr>
    </w:lvl>
    <w:lvl w:ilvl="2" w:tplc="FB3488F2" w:tentative="1">
      <w:start w:val="1"/>
      <w:numFmt w:val="lowerRoman"/>
      <w:lvlText w:val="%3."/>
      <w:lvlJc w:val="right"/>
      <w:pPr>
        <w:ind w:left="2160" w:hanging="180"/>
      </w:pPr>
    </w:lvl>
    <w:lvl w:ilvl="3" w:tplc="407E6F48" w:tentative="1">
      <w:start w:val="1"/>
      <w:numFmt w:val="decimal"/>
      <w:lvlText w:val="%4."/>
      <w:lvlJc w:val="left"/>
      <w:pPr>
        <w:ind w:left="2880" w:hanging="360"/>
      </w:pPr>
    </w:lvl>
    <w:lvl w:ilvl="4" w:tplc="A98E1982" w:tentative="1">
      <w:start w:val="1"/>
      <w:numFmt w:val="lowerLetter"/>
      <w:lvlText w:val="%5."/>
      <w:lvlJc w:val="left"/>
      <w:pPr>
        <w:ind w:left="3600" w:hanging="360"/>
      </w:pPr>
    </w:lvl>
    <w:lvl w:ilvl="5" w:tplc="DC36BB16" w:tentative="1">
      <w:start w:val="1"/>
      <w:numFmt w:val="lowerRoman"/>
      <w:lvlText w:val="%6."/>
      <w:lvlJc w:val="right"/>
      <w:pPr>
        <w:ind w:left="4320" w:hanging="180"/>
      </w:pPr>
    </w:lvl>
    <w:lvl w:ilvl="6" w:tplc="CC5C8924" w:tentative="1">
      <w:start w:val="1"/>
      <w:numFmt w:val="decimal"/>
      <w:lvlText w:val="%7."/>
      <w:lvlJc w:val="left"/>
      <w:pPr>
        <w:ind w:left="5040" w:hanging="360"/>
      </w:pPr>
    </w:lvl>
    <w:lvl w:ilvl="7" w:tplc="8BE0AB52" w:tentative="1">
      <w:start w:val="1"/>
      <w:numFmt w:val="lowerLetter"/>
      <w:lvlText w:val="%8."/>
      <w:lvlJc w:val="left"/>
      <w:pPr>
        <w:ind w:left="5760" w:hanging="360"/>
      </w:pPr>
    </w:lvl>
    <w:lvl w:ilvl="8" w:tplc="F3769A44" w:tentative="1">
      <w:start w:val="1"/>
      <w:numFmt w:val="lowerRoman"/>
      <w:lvlText w:val="%9."/>
      <w:lvlJc w:val="right"/>
      <w:pPr>
        <w:ind w:left="6480" w:hanging="180"/>
      </w:pPr>
    </w:lvl>
  </w:abstractNum>
  <w:abstractNum w:abstractNumId="15" w15:restartNumberingAfterBreak="0">
    <w:nsid w:val="1C18025C"/>
    <w:multiLevelType w:val="hybridMultilevel"/>
    <w:tmpl w:val="89D8A204"/>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1EDF7D4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B02F61"/>
    <w:multiLevelType w:val="hybridMultilevel"/>
    <w:tmpl w:val="1D3ABD3A"/>
    <w:lvl w:ilvl="0" w:tplc="9042A2CE">
      <w:start w:val="1"/>
      <w:numFmt w:val="decimal"/>
      <w:lvlText w:val="(%1)"/>
      <w:lvlJc w:val="left"/>
      <w:pPr>
        <w:ind w:left="284" w:hanging="284"/>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448072E"/>
    <w:multiLevelType w:val="hybridMultilevel"/>
    <w:tmpl w:val="43CC4E2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4603688"/>
    <w:multiLevelType w:val="hybridMultilevel"/>
    <w:tmpl w:val="6BDAF52C"/>
    <w:lvl w:ilvl="0" w:tplc="38E2C7FE">
      <w:start w:val="1"/>
      <w:numFmt w:val="decimal"/>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5804CCC"/>
    <w:multiLevelType w:val="hybridMultilevel"/>
    <w:tmpl w:val="4148CE02"/>
    <w:lvl w:ilvl="0" w:tplc="E0DABB02">
      <w:start w:val="1"/>
      <w:numFmt w:val="lowerLetter"/>
      <w:lvlText w:val="%1)"/>
      <w:lvlJc w:val="left"/>
      <w:pPr>
        <w:ind w:left="1901" w:hanging="1050"/>
      </w:pPr>
      <w:rPr>
        <w:rFonts w:ascii="Arial" w:eastAsia="Times New Roman" w:hAnsi="Arial" w:cs="Arial"/>
      </w:rPr>
    </w:lvl>
    <w:lvl w:ilvl="1" w:tplc="D256BC6A">
      <w:start w:val="1"/>
      <w:numFmt w:val="lowerLetter"/>
      <w:lvlText w:val="%2."/>
      <w:lvlJc w:val="left"/>
      <w:pPr>
        <w:ind w:left="1931" w:hanging="360"/>
      </w:pPr>
    </w:lvl>
    <w:lvl w:ilvl="2" w:tplc="A8CE73B6">
      <w:start w:val="1"/>
      <w:numFmt w:val="lowerRoman"/>
      <w:lvlText w:val="%3."/>
      <w:lvlJc w:val="right"/>
      <w:pPr>
        <w:ind w:left="2651" w:hanging="180"/>
      </w:pPr>
    </w:lvl>
    <w:lvl w:ilvl="3" w:tplc="78BE7948">
      <w:start w:val="1"/>
      <w:numFmt w:val="decimal"/>
      <w:lvlText w:val="%4."/>
      <w:lvlJc w:val="left"/>
      <w:pPr>
        <w:ind w:left="3371" w:hanging="360"/>
      </w:pPr>
    </w:lvl>
    <w:lvl w:ilvl="4" w:tplc="2A3CCE96">
      <w:start w:val="1"/>
      <w:numFmt w:val="lowerLetter"/>
      <w:lvlText w:val="%5."/>
      <w:lvlJc w:val="left"/>
      <w:pPr>
        <w:ind w:left="4091" w:hanging="360"/>
      </w:pPr>
    </w:lvl>
    <w:lvl w:ilvl="5" w:tplc="F17EF80C">
      <w:start w:val="1"/>
      <w:numFmt w:val="lowerRoman"/>
      <w:lvlText w:val="%6."/>
      <w:lvlJc w:val="right"/>
      <w:pPr>
        <w:ind w:left="4811" w:hanging="180"/>
      </w:pPr>
    </w:lvl>
    <w:lvl w:ilvl="6" w:tplc="8988BFC0">
      <w:start w:val="1"/>
      <w:numFmt w:val="decimal"/>
      <w:lvlText w:val="%7."/>
      <w:lvlJc w:val="left"/>
      <w:pPr>
        <w:ind w:left="5531" w:hanging="360"/>
      </w:pPr>
    </w:lvl>
    <w:lvl w:ilvl="7" w:tplc="A44A3F84">
      <w:start w:val="1"/>
      <w:numFmt w:val="lowerLetter"/>
      <w:lvlText w:val="%8."/>
      <w:lvlJc w:val="left"/>
      <w:pPr>
        <w:ind w:left="6251" w:hanging="360"/>
      </w:pPr>
    </w:lvl>
    <w:lvl w:ilvl="8" w:tplc="2B140690">
      <w:start w:val="1"/>
      <w:numFmt w:val="lowerRoman"/>
      <w:lvlText w:val="%9."/>
      <w:lvlJc w:val="right"/>
      <w:pPr>
        <w:ind w:left="6971" w:hanging="180"/>
      </w:pPr>
    </w:lvl>
  </w:abstractNum>
  <w:abstractNum w:abstractNumId="21" w15:restartNumberingAfterBreak="0">
    <w:nsid w:val="26AC57E4"/>
    <w:multiLevelType w:val="hybridMultilevel"/>
    <w:tmpl w:val="E65ABFB0"/>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2C7712C4"/>
    <w:multiLevelType w:val="hybridMultilevel"/>
    <w:tmpl w:val="2FECB924"/>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CEE5FC0"/>
    <w:multiLevelType w:val="hybridMultilevel"/>
    <w:tmpl w:val="24D8F240"/>
    <w:lvl w:ilvl="0" w:tplc="440E311A">
      <w:start w:val="1"/>
      <w:numFmt w:val="bullet"/>
      <w:lvlText w:val=""/>
      <w:lvlJc w:val="left"/>
      <w:pPr>
        <w:ind w:left="720" w:hanging="360"/>
      </w:pPr>
      <w:rPr>
        <w:rFonts w:ascii="Symbol" w:hAnsi="Symbol" w:hint="default"/>
      </w:rPr>
    </w:lvl>
    <w:lvl w:ilvl="1" w:tplc="1A7EDB8E" w:tentative="1">
      <w:start w:val="1"/>
      <w:numFmt w:val="bullet"/>
      <w:lvlText w:val="o"/>
      <w:lvlJc w:val="left"/>
      <w:pPr>
        <w:ind w:left="1440" w:hanging="360"/>
      </w:pPr>
      <w:rPr>
        <w:rFonts w:ascii="Courier New" w:hAnsi="Courier New" w:cs="Courier New" w:hint="default"/>
      </w:rPr>
    </w:lvl>
    <w:lvl w:ilvl="2" w:tplc="75328082" w:tentative="1">
      <w:start w:val="1"/>
      <w:numFmt w:val="bullet"/>
      <w:lvlText w:val=""/>
      <w:lvlJc w:val="left"/>
      <w:pPr>
        <w:ind w:left="2160" w:hanging="360"/>
      </w:pPr>
      <w:rPr>
        <w:rFonts w:ascii="Wingdings" w:hAnsi="Wingdings" w:hint="default"/>
      </w:rPr>
    </w:lvl>
    <w:lvl w:ilvl="3" w:tplc="76DE7E28" w:tentative="1">
      <w:start w:val="1"/>
      <w:numFmt w:val="bullet"/>
      <w:lvlText w:val=""/>
      <w:lvlJc w:val="left"/>
      <w:pPr>
        <w:ind w:left="2880" w:hanging="360"/>
      </w:pPr>
      <w:rPr>
        <w:rFonts w:ascii="Symbol" w:hAnsi="Symbol" w:hint="default"/>
      </w:rPr>
    </w:lvl>
    <w:lvl w:ilvl="4" w:tplc="38EE56EE" w:tentative="1">
      <w:start w:val="1"/>
      <w:numFmt w:val="bullet"/>
      <w:lvlText w:val="o"/>
      <w:lvlJc w:val="left"/>
      <w:pPr>
        <w:ind w:left="3600" w:hanging="360"/>
      </w:pPr>
      <w:rPr>
        <w:rFonts w:ascii="Courier New" w:hAnsi="Courier New" w:cs="Courier New" w:hint="default"/>
      </w:rPr>
    </w:lvl>
    <w:lvl w:ilvl="5" w:tplc="55A61862" w:tentative="1">
      <w:start w:val="1"/>
      <w:numFmt w:val="bullet"/>
      <w:lvlText w:val=""/>
      <w:lvlJc w:val="left"/>
      <w:pPr>
        <w:ind w:left="4320" w:hanging="360"/>
      </w:pPr>
      <w:rPr>
        <w:rFonts w:ascii="Wingdings" w:hAnsi="Wingdings" w:hint="default"/>
      </w:rPr>
    </w:lvl>
    <w:lvl w:ilvl="6" w:tplc="C44AD2F4" w:tentative="1">
      <w:start w:val="1"/>
      <w:numFmt w:val="bullet"/>
      <w:lvlText w:val=""/>
      <w:lvlJc w:val="left"/>
      <w:pPr>
        <w:ind w:left="5040" w:hanging="360"/>
      </w:pPr>
      <w:rPr>
        <w:rFonts w:ascii="Symbol" w:hAnsi="Symbol" w:hint="default"/>
      </w:rPr>
    </w:lvl>
    <w:lvl w:ilvl="7" w:tplc="8034F130" w:tentative="1">
      <w:start w:val="1"/>
      <w:numFmt w:val="bullet"/>
      <w:lvlText w:val="o"/>
      <w:lvlJc w:val="left"/>
      <w:pPr>
        <w:ind w:left="5760" w:hanging="360"/>
      </w:pPr>
      <w:rPr>
        <w:rFonts w:ascii="Courier New" w:hAnsi="Courier New" w:cs="Courier New" w:hint="default"/>
      </w:rPr>
    </w:lvl>
    <w:lvl w:ilvl="8" w:tplc="62E8FCD0" w:tentative="1">
      <w:start w:val="1"/>
      <w:numFmt w:val="bullet"/>
      <w:lvlText w:val=""/>
      <w:lvlJc w:val="left"/>
      <w:pPr>
        <w:ind w:left="6480" w:hanging="360"/>
      </w:pPr>
      <w:rPr>
        <w:rFonts w:ascii="Wingdings" w:hAnsi="Wingdings" w:hint="default"/>
      </w:rPr>
    </w:lvl>
  </w:abstractNum>
  <w:abstractNum w:abstractNumId="25" w15:restartNumberingAfterBreak="0">
    <w:nsid w:val="2DF67FE4"/>
    <w:multiLevelType w:val="hybridMultilevel"/>
    <w:tmpl w:val="2D3A5442"/>
    <w:lvl w:ilvl="0" w:tplc="E0361154">
      <w:start w:val="1"/>
      <w:numFmt w:val="decimal"/>
      <w:lvlText w:val="(%1)"/>
      <w:lvlJc w:val="left"/>
      <w:pPr>
        <w:ind w:left="720" w:hanging="360"/>
      </w:pPr>
      <w:rPr>
        <w:rFonts w:cs="Arial" w:hint="default"/>
        <w:sz w:val="1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2EB809D3"/>
    <w:multiLevelType w:val="hybridMultilevel"/>
    <w:tmpl w:val="52CAAA30"/>
    <w:lvl w:ilvl="0" w:tplc="176CCE92">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0503B6F"/>
    <w:multiLevelType w:val="hybridMultilevel"/>
    <w:tmpl w:val="B980EFF6"/>
    <w:lvl w:ilvl="0" w:tplc="63AE92F2">
      <w:start w:val="1"/>
      <w:numFmt w:val="decimal"/>
      <w:pStyle w:val="Parecer"/>
      <w:lvlText w:val="%1."/>
      <w:lvlJc w:val="left"/>
      <w:pPr>
        <w:tabs>
          <w:tab w:val="num" w:pos="454"/>
        </w:tabs>
        <w:ind w:left="454" w:hanging="454"/>
      </w:pPr>
      <w:rPr>
        <w:rFonts w:ascii="Times New Roman" w:hAnsi="Times New Roman" w:hint="default"/>
        <w:sz w:val="24"/>
        <w:szCs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3062533C"/>
    <w:multiLevelType w:val="hybridMultilevel"/>
    <w:tmpl w:val="F1A866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45B55D6"/>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5500935"/>
    <w:multiLevelType w:val="hybridMultilevel"/>
    <w:tmpl w:val="E65ABF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35D9778D"/>
    <w:multiLevelType w:val="hybridMultilevel"/>
    <w:tmpl w:val="F64095D0"/>
    <w:lvl w:ilvl="0" w:tplc="8E641758">
      <w:start w:val="1"/>
      <w:numFmt w:val="decimal"/>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3B7D6276"/>
    <w:multiLevelType w:val="hybridMultilevel"/>
    <w:tmpl w:val="ED4C23C4"/>
    <w:lvl w:ilvl="0" w:tplc="FEE68878">
      <w:start w:val="1"/>
      <w:numFmt w:val="decimal"/>
      <w:lvlText w:val="(%1)"/>
      <w:lvlJc w:val="left"/>
      <w:pPr>
        <w:ind w:left="284" w:hanging="284"/>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3E1C69E8"/>
    <w:multiLevelType w:val="hybridMultilevel"/>
    <w:tmpl w:val="A63A736A"/>
    <w:lvl w:ilvl="0" w:tplc="7FB004CE">
      <w:start w:val="1"/>
      <w:numFmt w:val="bullet"/>
      <w:pStyle w:val="ListaRecuadotabela"/>
      <w:lvlText w:val=""/>
      <w:lvlJc w:val="left"/>
      <w:pPr>
        <w:ind w:left="1080" w:hanging="360"/>
      </w:pPr>
      <w:rPr>
        <w:rFonts w:ascii="Wingdings" w:hAnsi="Wingdings" w:hint="default"/>
      </w:rPr>
    </w:lvl>
    <w:lvl w:ilvl="1" w:tplc="BB3ED1B6">
      <w:start w:val="1"/>
      <w:numFmt w:val="bullet"/>
      <w:lvlText w:val="o"/>
      <w:lvlJc w:val="left"/>
      <w:pPr>
        <w:ind w:left="1800" w:hanging="360"/>
      </w:pPr>
      <w:rPr>
        <w:rFonts w:ascii="Courier New" w:hAnsi="Courier New" w:cs="Courier New" w:hint="default"/>
      </w:rPr>
    </w:lvl>
    <w:lvl w:ilvl="2" w:tplc="AA3A2562" w:tentative="1">
      <w:start w:val="1"/>
      <w:numFmt w:val="bullet"/>
      <w:lvlText w:val=""/>
      <w:lvlJc w:val="left"/>
      <w:pPr>
        <w:ind w:left="2520" w:hanging="360"/>
      </w:pPr>
      <w:rPr>
        <w:rFonts w:ascii="Wingdings" w:hAnsi="Wingdings" w:hint="default"/>
      </w:rPr>
    </w:lvl>
    <w:lvl w:ilvl="3" w:tplc="6E9CBAD6" w:tentative="1">
      <w:start w:val="1"/>
      <w:numFmt w:val="bullet"/>
      <w:lvlText w:val=""/>
      <w:lvlJc w:val="left"/>
      <w:pPr>
        <w:ind w:left="3240" w:hanging="360"/>
      </w:pPr>
      <w:rPr>
        <w:rFonts w:ascii="Symbol" w:hAnsi="Symbol" w:hint="default"/>
      </w:rPr>
    </w:lvl>
    <w:lvl w:ilvl="4" w:tplc="3C1C7254" w:tentative="1">
      <w:start w:val="1"/>
      <w:numFmt w:val="bullet"/>
      <w:lvlText w:val="o"/>
      <w:lvlJc w:val="left"/>
      <w:pPr>
        <w:ind w:left="3960" w:hanging="360"/>
      </w:pPr>
      <w:rPr>
        <w:rFonts w:ascii="Courier New" w:hAnsi="Courier New" w:cs="Courier New" w:hint="default"/>
      </w:rPr>
    </w:lvl>
    <w:lvl w:ilvl="5" w:tplc="68502486" w:tentative="1">
      <w:start w:val="1"/>
      <w:numFmt w:val="bullet"/>
      <w:lvlText w:val=""/>
      <w:lvlJc w:val="left"/>
      <w:pPr>
        <w:ind w:left="4680" w:hanging="360"/>
      </w:pPr>
      <w:rPr>
        <w:rFonts w:ascii="Wingdings" w:hAnsi="Wingdings" w:hint="default"/>
      </w:rPr>
    </w:lvl>
    <w:lvl w:ilvl="6" w:tplc="7BA4BF34" w:tentative="1">
      <w:start w:val="1"/>
      <w:numFmt w:val="bullet"/>
      <w:lvlText w:val=""/>
      <w:lvlJc w:val="left"/>
      <w:pPr>
        <w:ind w:left="5400" w:hanging="360"/>
      </w:pPr>
      <w:rPr>
        <w:rFonts w:ascii="Symbol" w:hAnsi="Symbol" w:hint="default"/>
      </w:rPr>
    </w:lvl>
    <w:lvl w:ilvl="7" w:tplc="E660867E" w:tentative="1">
      <w:start w:val="1"/>
      <w:numFmt w:val="bullet"/>
      <w:lvlText w:val="o"/>
      <w:lvlJc w:val="left"/>
      <w:pPr>
        <w:ind w:left="6120" w:hanging="360"/>
      </w:pPr>
      <w:rPr>
        <w:rFonts w:ascii="Courier New" w:hAnsi="Courier New" w:cs="Courier New" w:hint="default"/>
      </w:rPr>
    </w:lvl>
    <w:lvl w:ilvl="8" w:tplc="F23C8EC2" w:tentative="1">
      <w:start w:val="1"/>
      <w:numFmt w:val="bullet"/>
      <w:lvlText w:val=""/>
      <w:lvlJc w:val="left"/>
      <w:pPr>
        <w:ind w:left="6840" w:hanging="360"/>
      </w:pPr>
      <w:rPr>
        <w:rFonts w:ascii="Wingdings" w:hAnsi="Wingdings" w:hint="default"/>
      </w:rPr>
    </w:lvl>
  </w:abstractNum>
  <w:abstractNum w:abstractNumId="34" w15:restartNumberingAfterBreak="0">
    <w:nsid w:val="3F8F03B3"/>
    <w:multiLevelType w:val="hybridMultilevel"/>
    <w:tmpl w:val="477CCC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4775987"/>
    <w:multiLevelType w:val="hybridMultilevel"/>
    <w:tmpl w:val="F0128374"/>
    <w:lvl w:ilvl="0" w:tplc="59DA80DA">
      <w:start w:val="1"/>
      <w:numFmt w:val="decimal"/>
      <w:lvlText w:val="(%1)"/>
      <w:lvlJc w:val="left"/>
      <w:pPr>
        <w:ind w:left="284" w:hanging="284"/>
      </w:pPr>
      <w:rPr>
        <w:rFonts w:ascii="Arial" w:hAnsi="Arial"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49D547DD"/>
    <w:multiLevelType w:val="hybridMultilevel"/>
    <w:tmpl w:val="73B69462"/>
    <w:lvl w:ilvl="0" w:tplc="93327D38">
      <w:start w:val="1"/>
      <w:numFmt w:val="decimal"/>
      <w:lvlText w:val="(%1)"/>
      <w:lvlJc w:val="left"/>
      <w:pPr>
        <w:ind w:left="360" w:hanging="360"/>
      </w:pPr>
      <w:rPr>
        <w:rFonts w:cs="Times New Roman" w:hint="default"/>
        <w:sz w:val="1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7" w15:restartNumberingAfterBreak="0">
    <w:nsid w:val="4DBD16AC"/>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513421"/>
    <w:multiLevelType w:val="hybridMultilevel"/>
    <w:tmpl w:val="DCCAEAAA"/>
    <w:lvl w:ilvl="0" w:tplc="A4E6A47A">
      <w:start w:val="1"/>
      <w:numFmt w:val="bullet"/>
      <w:lvlText w:val=""/>
      <w:lvlJc w:val="left"/>
      <w:pPr>
        <w:ind w:left="766" w:hanging="360"/>
      </w:pPr>
      <w:rPr>
        <w:rFonts w:ascii="Symbol" w:hAnsi="Symbol" w:hint="default"/>
      </w:rPr>
    </w:lvl>
    <w:lvl w:ilvl="1" w:tplc="7966C534">
      <w:numFmt w:val="bullet"/>
      <w:lvlText w:val="•"/>
      <w:lvlJc w:val="left"/>
      <w:pPr>
        <w:ind w:left="1486" w:hanging="360"/>
      </w:pPr>
      <w:rPr>
        <w:rFonts w:ascii="Arial" w:eastAsia="Times New Roman" w:hAnsi="Arial" w:cs="Arial" w:hint="default"/>
      </w:rPr>
    </w:lvl>
    <w:lvl w:ilvl="2" w:tplc="00E0DC08" w:tentative="1">
      <w:start w:val="1"/>
      <w:numFmt w:val="bullet"/>
      <w:lvlText w:val=""/>
      <w:lvlJc w:val="left"/>
      <w:pPr>
        <w:ind w:left="2206" w:hanging="360"/>
      </w:pPr>
      <w:rPr>
        <w:rFonts w:ascii="Wingdings" w:hAnsi="Wingdings" w:hint="default"/>
      </w:rPr>
    </w:lvl>
    <w:lvl w:ilvl="3" w:tplc="E2D6E488" w:tentative="1">
      <w:start w:val="1"/>
      <w:numFmt w:val="bullet"/>
      <w:lvlText w:val=""/>
      <w:lvlJc w:val="left"/>
      <w:pPr>
        <w:ind w:left="2926" w:hanging="360"/>
      </w:pPr>
      <w:rPr>
        <w:rFonts w:ascii="Symbol" w:hAnsi="Symbol" w:hint="default"/>
      </w:rPr>
    </w:lvl>
    <w:lvl w:ilvl="4" w:tplc="DE865684" w:tentative="1">
      <w:start w:val="1"/>
      <w:numFmt w:val="bullet"/>
      <w:lvlText w:val="o"/>
      <w:lvlJc w:val="left"/>
      <w:pPr>
        <w:ind w:left="3646" w:hanging="360"/>
      </w:pPr>
      <w:rPr>
        <w:rFonts w:ascii="Courier New" w:hAnsi="Courier New" w:cs="Courier New" w:hint="default"/>
      </w:rPr>
    </w:lvl>
    <w:lvl w:ilvl="5" w:tplc="603AF824" w:tentative="1">
      <w:start w:val="1"/>
      <w:numFmt w:val="bullet"/>
      <w:lvlText w:val=""/>
      <w:lvlJc w:val="left"/>
      <w:pPr>
        <w:ind w:left="4366" w:hanging="360"/>
      </w:pPr>
      <w:rPr>
        <w:rFonts w:ascii="Wingdings" w:hAnsi="Wingdings" w:hint="default"/>
      </w:rPr>
    </w:lvl>
    <w:lvl w:ilvl="6" w:tplc="1ECE2374" w:tentative="1">
      <w:start w:val="1"/>
      <w:numFmt w:val="bullet"/>
      <w:lvlText w:val=""/>
      <w:lvlJc w:val="left"/>
      <w:pPr>
        <w:ind w:left="5086" w:hanging="360"/>
      </w:pPr>
      <w:rPr>
        <w:rFonts w:ascii="Symbol" w:hAnsi="Symbol" w:hint="default"/>
      </w:rPr>
    </w:lvl>
    <w:lvl w:ilvl="7" w:tplc="6D2ED49E" w:tentative="1">
      <w:start w:val="1"/>
      <w:numFmt w:val="bullet"/>
      <w:lvlText w:val="o"/>
      <w:lvlJc w:val="left"/>
      <w:pPr>
        <w:ind w:left="5806" w:hanging="360"/>
      </w:pPr>
      <w:rPr>
        <w:rFonts w:ascii="Courier New" w:hAnsi="Courier New" w:cs="Courier New" w:hint="default"/>
      </w:rPr>
    </w:lvl>
    <w:lvl w:ilvl="8" w:tplc="3320BEFA" w:tentative="1">
      <w:start w:val="1"/>
      <w:numFmt w:val="bullet"/>
      <w:lvlText w:val=""/>
      <w:lvlJc w:val="left"/>
      <w:pPr>
        <w:ind w:left="6526" w:hanging="360"/>
      </w:pPr>
      <w:rPr>
        <w:rFonts w:ascii="Wingdings" w:hAnsi="Wingdings" w:hint="default"/>
      </w:rPr>
    </w:lvl>
  </w:abstractNum>
  <w:abstractNum w:abstractNumId="39" w15:restartNumberingAfterBreak="0">
    <w:nsid w:val="50395186"/>
    <w:multiLevelType w:val="hybridMultilevel"/>
    <w:tmpl w:val="460EF6C0"/>
    <w:lvl w:ilvl="0" w:tplc="D402C81E">
      <w:start w:val="1"/>
      <w:numFmt w:val="bullet"/>
      <w:lvlText w:val=""/>
      <w:lvlJc w:val="left"/>
      <w:pPr>
        <w:ind w:left="1440" w:hanging="360"/>
      </w:pPr>
      <w:rPr>
        <w:rFonts w:ascii="Symbol" w:hAnsi="Symbol" w:hint="default"/>
      </w:rPr>
    </w:lvl>
    <w:lvl w:ilvl="1" w:tplc="AEC2CC56" w:tentative="1">
      <w:start w:val="1"/>
      <w:numFmt w:val="bullet"/>
      <w:lvlText w:val="o"/>
      <w:lvlJc w:val="left"/>
      <w:pPr>
        <w:ind w:left="2160" w:hanging="360"/>
      </w:pPr>
      <w:rPr>
        <w:rFonts w:ascii="Courier New" w:hAnsi="Courier New" w:cs="Courier New" w:hint="default"/>
      </w:rPr>
    </w:lvl>
    <w:lvl w:ilvl="2" w:tplc="A4643C10" w:tentative="1">
      <w:start w:val="1"/>
      <w:numFmt w:val="bullet"/>
      <w:lvlText w:val=""/>
      <w:lvlJc w:val="left"/>
      <w:pPr>
        <w:ind w:left="2880" w:hanging="360"/>
      </w:pPr>
      <w:rPr>
        <w:rFonts w:ascii="Wingdings" w:hAnsi="Wingdings" w:hint="default"/>
      </w:rPr>
    </w:lvl>
    <w:lvl w:ilvl="3" w:tplc="91A878A4" w:tentative="1">
      <w:start w:val="1"/>
      <w:numFmt w:val="bullet"/>
      <w:lvlText w:val=""/>
      <w:lvlJc w:val="left"/>
      <w:pPr>
        <w:ind w:left="3600" w:hanging="360"/>
      </w:pPr>
      <w:rPr>
        <w:rFonts w:ascii="Symbol" w:hAnsi="Symbol" w:hint="default"/>
      </w:rPr>
    </w:lvl>
    <w:lvl w:ilvl="4" w:tplc="A64075F2" w:tentative="1">
      <w:start w:val="1"/>
      <w:numFmt w:val="bullet"/>
      <w:lvlText w:val="o"/>
      <w:lvlJc w:val="left"/>
      <w:pPr>
        <w:ind w:left="4320" w:hanging="360"/>
      </w:pPr>
      <w:rPr>
        <w:rFonts w:ascii="Courier New" w:hAnsi="Courier New" w:cs="Courier New" w:hint="default"/>
      </w:rPr>
    </w:lvl>
    <w:lvl w:ilvl="5" w:tplc="3F36789A" w:tentative="1">
      <w:start w:val="1"/>
      <w:numFmt w:val="bullet"/>
      <w:lvlText w:val=""/>
      <w:lvlJc w:val="left"/>
      <w:pPr>
        <w:ind w:left="5040" w:hanging="360"/>
      </w:pPr>
      <w:rPr>
        <w:rFonts w:ascii="Wingdings" w:hAnsi="Wingdings" w:hint="default"/>
      </w:rPr>
    </w:lvl>
    <w:lvl w:ilvl="6" w:tplc="27AE9408" w:tentative="1">
      <w:start w:val="1"/>
      <w:numFmt w:val="bullet"/>
      <w:lvlText w:val=""/>
      <w:lvlJc w:val="left"/>
      <w:pPr>
        <w:ind w:left="5760" w:hanging="360"/>
      </w:pPr>
      <w:rPr>
        <w:rFonts w:ascii="Symbol" w:hAnsi="Symbol" w:hint="default"/>
      </w:rPr>
    </w:lvl>
    <w:lvl w:ilvl="7" w:tplc="78086B30" w:tentative="1">
      <w:start w:val="1"/>
      <w:numFmt w:val="bullet"/>
      <w:lvlText w:val="o"/>
      <w:lvlJc w:val="left"/>
      <w:pPr>
        <w:ind w:left="6480" w:hanging="360"/>
      </w:pPr>
      <w:rPr>
        <w:rFonts w:ascii="Courier New" w:hAnsi="Courier New" w:cs="Courier New" w:hint="default"/>
      </w:rPr>
    </w:lvl>
    <w:lvl w:ilvl="8" w:tplc="9C2A9B62" w:tentative="1">
      <w:start w:val="1"/>
      <w:numFmt w:val="bullet"/>
      <w:lvlText w:val=""/>
      <w:lvlJc w:val="left"/>
      <w:pPr>
        <w:ind w:left="7200" w:hanging="360"/>
      </w:pPr>
      <w:rPr>
        <w:rFonts w:ascii="Wingdings" w:hAnsi="Wingdings" w:hint="default"/>
      </w:rPr>
    </w:lvl>
  </w:abstractNum>
  <w:abstractNum w:abstractNumId="40" w15:restartNumberingAfterBreak="0">
    <w:nsid w:val="557B1AEC"/>
    <w:multiLevelType w:val="hybridMultilevel"/>
    <w:tmpl w:val="06C62A08"/>
    <w:lvl w:ilvl="0" w:tplc="71F65AAC">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56FC4CBD"/>
    <w:multiLevelType w:val="hybridMultilevel"/>
    <w:tmpl w:val="63924756"/>
    <w:lvl w:ilvl="0" w:tplc="2BCA629E">
      <w:start w:val="1"/>
      <w:numFmt w:val="bullet"/>
      <w:pStyle w:val="10-Lista2"/>
      <w:lvlText w:val=""/>
      <w:lvlJc w:val="left"/>
      <w:pPr>
        <w:ind w:left="1004" w:hanging="360"/>
      </w:pPr>
      <w:rPr>
        <w:rFonts w:ascii="Wingdings" w:hAnsi="Wingdings" w:hint="default"/>
      </w:rPr>
    </w:lvl>
    <w:lvl w:ilvl="1" w:tplc="E06E6082" w:tentative="1">
      <w:start w:val="1"/>
      <w:numFmt w:val="bullet"/>
      <w:lvlText w:val="o"/>
      <w:lvlJc w:val="left"/>
      <w:pPr>
        <w:ind w:left="1724" w:hanging="360"/>
      </w:pPr>
      <w:rPr>
        <w:rFonts w:ascii="Courier New" w:hAnsi="Courier New" w:cs="Courier New" w:hint="default"/>
      </w:rPr>
    </w:lvl>
    <w:lvl w:ilvl="2" w:tplc="D9C63E64" w:tentative="1">
      <w:start w:val="1"/>
      <w:numFmt w:val="bullet"/>
      <w:lvlText w:val=""/>
      <w:lvlJc w:val="left"/>
      <w:pPr>
        <w:ind w:left="2444" w:hanging="360"/>
      </w:pPr>
      <w:rPr>
        <w:rFonts w:ascii="Wingdings" w:hAnsi="Wingdings" w:hint="default"/>
      </w:rPr>
    </w:lvl>
    <w:lvl w:ilvl="3" w:tplc="D8220DD4" w:tentative="1">
      <w:start w:val="1"/>
      <w:numFmt w:val="bullet"/>
      <w:lvlText w:val=""/>
      <w:lvlJc w:val="left"/>
      <w:pPr>
        <w:ind w:left="3164" w:hanging="360"/>
      </w:pPr>
      <w:rPr>
        <w:rFonts w:ascii="Symbol" w:hAnsi="Symbol" w:hint="default"/>
      </w:rPr>
    </w:lvl>
    <w:lvl w:ilvl="4" w:tplc="D4321DCE" w:tentative="1">
      <w:start w:val="1"/>
      <w:numFmt w:val="bullet"/>
      <w:lvlText w:val="o"/>
      <w:lvlJc w:val="left"/>
      <w:pPr>
        <w:ind w:left="3884" w:hanging="360"/>
      </w:pPr>
      <w:rPr>
        <w:rFonts w:ascii="Courier New" w:hAnsi="Courier New" w:cs="Courier New" w:hint="default"/>
      </w:rPr>
    </w:lvl>
    <w:lvl w:ilvl="5" w:tplc="BC00BF80" w:tentative="1">
      <w:start w:val="1"/>
      <w:numFmt w:val="bullet"/>
      <w:lvlText w:val=""/>
      <w:lvlJc w:val="left"/>
      <w:pPr>
        <w:ind w:left="4604" w:hanging="360"/>
      </w:pPr>
      <w:rPr>
        <w:rFonts w:ascii="Wingdings" w:hAnsi="Wingdings" w:hint="default"/>
      </w:rPr>
    </w:lvl>
    <w:lvl w:ilvl="6" w:tplc="2F4AB128" w:tentative="1">
      <w:start w:val="1"/>
      <w:numFmt w:val="bullet"/>
      <w:lvlText w:val=""/>
      <w:lvlJc w:val="left"/>
      <w:pPr>
        <w:ind w:left="5324" w:hanging="360"/>
      </w:pPr>
      <w:rPr>
        <w:rFonts w:ascii="Symbol" w:hAnsi="Symbol" w:hint="default"/>
      </w:rPr>
    </w:lvl>
    <w:lvl w:ilvl="7" w:tplc="C4E8854E" w:tentative="1">
      <w:start w:val="1"/>
      <w:numFmt w:val="bullet"/>
      <w:lvlText w:val="o"/>
      <w:lvlJc w:val="left"/>
      <w:pPr>
        <w:ind w:left="6044" w:hanging="360"/>
      </w:pPr>
      <w:rPr>
        <w:rFonts w:ascii="Courier New" w:hAnsi="Courier New" w:cs="Courier New" w:hint="default"/>
      </w:rPr>
    </w:lvl>
    <w:lvl w:ilvl="8" w:tplc="9FE8F424" w:tentative="1">
      <w:start w:val="1"/>
      <w:numFmt w:val="bullet"/>
      <w:lvlText w:val=""/>
      <w:lvlJc w:val="left"/>
      <w:pPr>
        <w:ind w:left="6764" w:hanging="360"/>
      </w:pPr>
      <w:rPr>
        <w:rFonts w:ascii="Wingdings" w:hAnsi="Wingdings" w:hint="default"/>
      </w:rPr>
    </w:lvl>
  </w:abstractNum>
  <w:abstractNum w:abstractNumId="42" w15:restartNumberingAfterBreak="0">
    <w:nsid w:val="5B790A5A"/>
    <w:multiLevelType w:val="hybridMultilevel"/>
    <w:tmpl w:val="2BF26950"/>
    <w:lvl w:ilvl="0" w:tplc="4078AC4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60D8161B"/>
    <w:multiLevelType w:val="hybridMultilevel"/>
    <w:tmpl w:val="C30047CE"/>
    <w:lvl w:ilvl="0" w:tplc="D5326588">
      <w:start w:val="1"/>
      <w:numFmt w:val="decimal"/>
      <w:lvlText w:val="(%1)"/>
      <w:lvlJc w:val="left"/>
      <w:pPr>
        <w:ind w:left="720" w:hanging="360"/>
      </w:pPr>
      <w:rPr>
        <w:rFonts w:hint="default"/>
      </w:rPr>
    </w:lvl>
    <w:lvl w:ilvl="1" w:tplc="A2FE8622" w:tentative="1">
      <w:start w:val="1"/>
      <w:numFmt w:val="lowerLetter"/>
      <w:lvlText w:val="%2."/>
      <w:lvlJc w:val="left"/>
      <w:pPr>
        <w:ind w:left="1440" w:hanging="360"/>
      </w:pPr>
    </w:lvl>
    <w:lvl w:ilvl="2" w:tplc="2A2C52DA" w:tentative="1">
      <w:start w:val="1"/>
      <w:numFmt w:val="lowerRoman"/>
      <w:lvlText w:val="%3."/>
      <w:lvlJc w:val="right"/>
      <w:pPr>
        <w:ind w:left="2160" w:hanging="180"/>
      </w:pPr>
    </w:lvl>
    <w:lvl w:ilvl="3" w:tplc="FEA0E9DA" w:tentative="1">
      <w:start w:val="1"/>
      <w:numFmt w:val="decimal"/>
      <w:lvlText w:val="%4."/>
      <w:lvlJc w:val="left"/>
      <w:pPr>
        <w:ind w:left="2880" w:hanging="360"/>
      </w:pPr>
    </w:lvl>
    <w:lvl w:ilvl="4" w:tplc="100E51AE" w:tentative="1">
      <w:start w:val="1"/>
      <w:numFmt w:val="lowerLetter"/>
      <w:lvlText w:val="%5."/>
      <w:lvlJc w:val="left"/>
      <w:pPr>
        <w:ind w:left="3600" w:hanging="360"/>
      </w:pPr>
    </w:lvl>
    <w:lvl w:ilvl="5" w:tplc="032CFA42" w:tentative="1">
      <w:start w:val="1"/>
      <w:numFmt w:val="lowerRoman"/>
      <w:lvlText w:val="%6."/>
      <w:lvlJc w:val="right"/>
      <w:pPr>
        <w:ind w:left="4320" w:hanging="180"/>
      </w:pPr>
    </w:lvl>
    <w:lvl w:ilvl="6" w:tplc="7F5690F2" w:tentative="1">
      <w:start w:val="1"/>
      <w:numFmt w:val="decimal"/>
      <w:lvlText w:val="%7."/>
      <w:lvlJc w:val="left"/>
      <w:pPr>
        <w:ind w:left="5040" w:hanging="360"/>
      </w:pPr>
    </w:lvl>
    <w:lvl w:ilvl="7" w:tplc="3120E124" w:tentative="1">
      <w:start w:val="1"/>
      <w:numFmt w:val="lowerLetter"/>
      <w:lvlText w:val="%8."/>
      <w:lvlJc w:val="left"/>
      <w:pPr>
        <w:ind w:left="5760" w:hanging="360"/>
      </w:pPr>
    </w:lvl>
    <w:lvl w:ilvl="8" w:tplc="9C40E58E" w:tentative="1">
      <w:start w:val="1"/>
      <w:numFmt w:val="lowerRoman"/>
      <w:lvlText w:val="%9."/>
      <w:lvlJc w:val="right"/>
      <w:pPr>
        <w:ind w:left="6480" w:hanging="180"/>
      </w:pPr>
    </w:lvl>
  </w:abstractNum>
  <w:abstractNum w:abstractNumId="44"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45" w15:restartNumberingAfterBreak="0">
    <w:nsid w:val="65001072"/>
    <w:multiLevelType w:val="hybridMultilevel"/>
    <w:tmpl w:val="1E9C970E"/>
    <w:lvl w:ilvl="0" w:tplc="DE481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652635CC"/>
    <w:multiLevelType w:val="hybridMultilevel"/>
    <w:tmpl w:val="470875DC"/>
    <w:lvl w:ilvl="0" w:tplc="E75C488A">
      <w:start w:val="1"/>
      <w:numFmt w:val="decimal"/>
      <w:lvlText w:val="%1 -"/>
      <w:lvlJc w:val="left"/>
      <w:pPr>
        <w:ind w:left="720" w:hanging="360"/>
      </w:pPr>
      <w:rPr>
        <w:rFonts w:hint="default"/>
      </w:rPr>
    </w:lvl>
    <w:lvl w:ilvl="1" w:tplc="3A8A1848" w:tentative="1">
      <w:start w:val="1"/>
      <w:numFmt w:val="lowerLetter"/>
      <w:lvlText w:val="%2."/>
      <w:lvlJc w:val="left"/>
      <w:pPr>
        <w:ind w:left="1440" w:hanging="360"/>
      </w:pPr>
    </w:lvl>
    <w:lvl w:ilvl="2" w:tplc="FB3270C2" w:tentative="1">
      <w:start w:val="1"/>
      <w:numFmt w:val="lowerRoman"/>
      <w:lvlText w:val="%3."/>
      <w:lvlJc w:val="right"/>
      <w:pPr>
        <w:ind w:left="2160" w:hanging="180"/>
      </w:pPr>
    </w:lvl>
    <w:lvl w:ilvl="3" w:tplc="39F03042" w:tentative="1">
      <w:start w:val="1"/>
      <w:numFmt w:val="decimal"/>
      <w:lvlText w:val="%4."/>
      <w:lvlJc w:val="left"/>
      <w:pPr>
        <w:ind w:left="2880" w:hanging="360"/>
      </w:pPr>
    </w:lvl>
    <w:lvl w:ilvl="4" w:tplc="BE66DBA8" w:tentative="1">
      <w:start w:val="1"/>
      <w:numFmt w:val="lowerLetter"/>
      <w:lvlText w:val="%5."/>
      <w:lvlJc w:val="left"/>
      <w:pPr>
        <w:ind w:left="3600" w:hanging="360"/>
      </w:pPr>
    </w:lvl>
    <w:lvl w:ilvl="5" w:tplc="39329C98" w:tentative="1">
      <w:start w:val="1"/>
      <w:numFmt w:val="lowerRoman"/>
      <w:lvlText w:val="%6."/>
      <w:lvlJc w:val="right"/>
      <w:pPr>
        <w:ind w:left="4320" w:hanging="180"/>
      </w:pPr>
    </w:lvl>
    <w:lvl w:ilvl="6" w:tplc="E714680A" w:tentative="1">
      <w:start w:val="1"/>
      <w:numFmt w:val="decimal"/>
      <w:lvlText w:val="%7."/>
      <w:lvlJc w:val="left"/>
      <w:pPr>
        <w:ind w:left="5040" w:hanging="360"/>
      </w:pPr>
    </w:lvl>
    <w:lvl w:ilvl="7" w:tplc="D49C17A6" w:tentative="1">
      <w:start w:val="1"/>
      <w:numFmt w:val="lowerLetter"/>
      <w:lvlText w:val="%8."/>
      <w:lvlJc w:val="left"/>
      <w:pPr>
        <w:ind w:left="5760" w:hanging="360"/>
      </w:pPr>
    </w:lvl>
    <w:lvl w:ilvl="8" w:tplc="96ACBB0C" w:tentative="1">
      <w:start w:val="1"/>
      <w:numFmt w:val="lowerRoman"/>
      <w:lvlText w:val="%9."/>
      <w:lvlJc w:val="right"/>
      <w:pPr>
        <w:ind w:left="6480" w:hanging="180"/>
      </w:pPr>
    </w:lvl>
  </w:abstractNum>
  <w:abstractNum w:abstractNumId="47" w15:restartNumberingAfterBreak="0">
    <w:nsid w:val="65B4733F"/>
    <w:multiLevelType w:val="hybridMultilevel"/>
    <w:tmpl w:val="CDBE74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68E7312C"/>
    <w:multiLevelType w:val="hybridMultilevel"/>
    <w:tmpl w:val="CDBE7420"/>
    <w:lvl w:ilvl="0" w:tplc="880EE82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9" w15:restartNumberingAfterBreak="0">
    <w:nsid w:val="6E4C2694"/>
    <w:multiLevelType w:val="hybridMultilevel"/>
    <w:tmpl w:val="62A002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F39303A"/>
    <w:multiLevelType w:val="hybridMultilevel"/>
    <w:tmpl w:val="B27AA880"/>
    <w:lvl w:ilvl="0" w:tplc="A802E4BA">
      <w:start w:val="1"/>
      <w:numFmt w:val="bullet"/>
      <w:lvlText w:val=""/>
      <w:lvlJc w:val="left"/>
      <w:pPr>
        <w:ind w:left="720" w:hanging="360"/>
      </w:pPr>
      <w:rPr>
        <w:rFonts w:ascii="Symbol" w:hAnsi="Symbol" w:hint="default"/>
      </w:rPr>
    </w:lvl>
    <w:lvl w:ilvl="1" w:tplc="5B9A8AAA" w:tentative="1">
      <w:start w:val="1"/>
      <w:numFmt w:val="bullet"/>
      <w:lvlText w:val="o"/>
      <w:lvlJc w:val="left"/>
      <w:pPr>
        <w:ind w:left="1440" w:hanging="360"/>
      </w:pPr>
      <w:rPr>
        <w:rFonts w:ascii="Courier New" w:hAnsi="Courier New" w:cs="Courier New" w:hint="default"/>
      </w:rPr>
    </w:lvl>
    <w:lvl w:ilvl="2" w:tplc="22F8CCC0" w:tentative="1">
      <w:start w:val="1"/>
      <w:numFmt w:val="bullet"/>
      <w:lvlText w:val=""/>
      <w:lvlJc w:val="left"/>
      <w:pPr>
        <w:ind w:left="2160" w:hanging="360"/>
      </w:pPr>
      <w:rPr>
        <w:rFonts w:ascii="Wingdings" w:hAnsi="Wingdings" w:hint="default"/>
      </w:rPr>
    </w:lvl>
    <w:lvl w:ilvl="3" w:tplc="A0F0B042" w:tentative="1">
      <w:start w:val="1"/>
      <w:numFmt w:val="bullet"/>
      <w:lvlText w:val=""/>
      <w:lvlJc w:val="left"/>
      <w:pPr>
        <w:ind w:left="2880" w:hanging="360"/>
      </w:pPr>
      <w:rPr>
        <w:rFonts w:ascii="Symbol" w:hAnsi="Symbol" w:hint="default"/>
      </w:rPr>
    </w:lvl>
    <w:lvl w:ilvl="4" w:tplc="549EA322" w:tentative="1">
      <w:start w:val="1"/>
      <w:numFmt w:val="bullet"/>
      <w:lvlText w:val="o"/>
      <w:lvlJc w:val="left"/>
      <w:pPr>
        <w:ind w:left="3600" w:hanging="360"/>
      </w:pPr>
      <w:rPr>
        <w:rFonts w:ascii="Courier New" w:hAnsi="Courier New" w:cs="Courier New" w:hint="default"/>
      </w:rPr>
    </w:lvl>
    <w:lvl w:ilvl="5" w:tplc="CC6A80E2" w:tentative="1">
      <w:start w:val="1"/>
      <w:numFmt w:val="bullet"/>
      <w:lvlText w:val=""/>
      <w:lvlJc w:val="left"/>
      <w:pPr>
        <w:ind w:left="4320" w:hanging="360"/>
      </w:pPr>
      <w:rPr>
        <w:rFonts w:ascii="Wingdings" w:hAnsi="Wingdings" w:hint="default"/>
      </w:rPr>
    </w:lvl>
    <w:lvl w:ilvl="6" w:tplc="D212ABC0" w:tentative="1">
      <w:start w:val="1"/>
      <w:numFmt w:val="bullet"/>
      <w:lvlText w:val=""/>
      <w:lvlJc w:val="left"/>
      <w:pPr>
        <w:ind w:left="5040" w:hanging="360"/>
      </w:pPr>
      <w:rPr>
        <w:rFonts w:ascii="Symbol" w:hAnsi="Symbol" w:hint="default"/>
      </w:rPr>
    </w:lvl>
    <w:lvl w:ilvl="7" w:tplc="96167030" w:tentative="1">
      <w:start w:val="1"/>
      <w:numFmt w:val="bullet"/>
      <w:lvlText w:val="o"/>
      <w:lvlJc w:val="left"/>
      <w:pPr>
        <w:ind w:left="5760" w:hanging="360"/>
      </w:pPr>
      <w:rPr>
        <w:rFonts w:ascii="Courier New" w:hAnsi="Courier New" w:cs="Courier New" w:hint="default"/>
      </w:rPr>
    </w:lvl>
    <w:lvl w:ilvl="8" w:tplc="59FA64B0" w:tentative="1">
      <w:start w:val="1"/>
      <w:numFmt w:val="bullet"/>
      <w:lvlText w:val=""/>
      <w:lvlJc w:val="left"/>
      <w:pPr>
        <w:ind w:left="6480" w:hanging="360"/>
      </w:pPr>
      <w:rPr>
        <w:rFonts w:ascii="Wingdings" w:hAnsi="Wingdings" w:hint="default"/>
      </w:rPr>
    </w:lvl>
  </w:abstractNum>
  <w:abstractNum w:abstractNumId="51" w15:restartNumberingAfterBreak="0">
    <w:nsid w:val="711619F4"/>
    <w:multiLevelType w:val="hybridMultilevel"/>
    <w:tmpl w:val="BADE828A"/>
    <w:lvl w:ilvl="0" w:tplc="C80875C4">
      <w:start w:val="1"/>
      <w:numFmt w:val="bullet"/>
      <w:lvlText w:val=""/>
      <w:lvlJc w:val="left"/>
      <w:pPr>
        <w:ind w:left="720" w:hanging="360"/>
      </w:pPr>
      <w:rPr>
        <w:rFonts w:ascii="Symbol" w:hAnsi="Symbol" w:hint="default"/>
      </w:rPr>
    </w:lvl>
    <w:lvl w:ilvl="1" w:tplc="7EF29430" w:tentative="1">
      <w:start w:val="1"/>
      <w:numFmt w:val="bullet"/>
      <w:lvlText w:val="o"/>
      <w:lvlJc w:val="left"/>
      <w:pPr>
        <w:ind w:left="1440" w:hanging="360"/>
      </w:pPr>
      <w:rPr>
        <w:rFonts w:ascii="Courier New" w:hAnsi="Courier New" w:cs="Courier New" w:hint="default"/>
      </w:rPr>
    </w:lvl>
    <w:lvl w:ilvl="2" w:tplc="941A36C8" w:tentative="1">
      <w:start w:val="1"/>
      <w:numFmt w:val="bullet"/>
      <w:lvlText w:val=""/>
      <w:lvlJc w:val="left"/>
      <w:pPr>
        <w:ind w:left="2160" w:hanging="360"/>
      </w:pPr>
      <w:rPr>
        <w:rFonts w:ascii="Wingdings" w:hAnsi="Wingdings" w:hint="default"/>
      </w:rPr>
    </w:lvl>
    <w:lvl w:ilvl="3" w:tplc="E416AC58" w:tentative="1">
      <w:start w:val="1"/>
      <w:numFmt w:val="bullet"/>
      <w:lvlText w:val=""/>
      <w:lvlJc w:val="left"/>
      <w:pPr>
        <w:ind w:left="2880" w:hanging="360"/>
      </w:pPr>
      <w:rPr>
        <w:rFonts w:ascii="Symbol" w:hAnsi="Symbol" w:hint="default"/>
      </w:rPr>
    </w:lvl>
    <w:lvl w:ilvl="4" w:tplc="2CEA51C6" w:tentative="1">
      <w:start w:val="1"/>
      <w:numFmt w:val="bullet"/>
      <w:lvlText w:val="o"/>
      <w:lvlJc w:val="left"/>
      <w:pPr>
        <w:ind w:left="3600" w:hanging="360"/>
      </w:pPr>
      <w:rPr>
        <w:rFonts w:ascii="Courier New" w:hAnsi="Courier New" w:cs="Courier New" w:hint="default"/>
      </w:rPr>
    </w:lvl>
    <w:lvl w:ilvl="5" w:tplc="9B92DECA" w:tentative="1">
      <w:start w:val="1"/>
      <w:numFmt w:val="bullet"/>
      <w:lvlText w:val=""/>
      <w:lvlJc w:val="left"/>
      <w:pPr>
        <w:ind w:left="4320" w:hanging="360"/>
      </w:pPr>
      <w:rPr>
        <w:rFonts w:ascii="Wingdings" w:hAnsi="Wingdings" w:hint="default"/>
      </w:rPr>
    </w:lvl>
    <w:lvl w:ilvl="6" w:tplc="AD4E0FBE" w:tentative="1">
      <w:start w:val="1"/>
      <w:numFmt w:val="bullet"/>
      <w:lvlText w:val=""/>
      <w:lvlJc w:val="left"/>
      <w:pPr>
        <w:ind w:left="5040" w:hanging="360"/>
      </w:pPr>
      <w:rPr>
        <w:rFonts w:ascii="Symbol" w:hAnsi="Symbol" w:hint="default"/>
      </w:rPr>
    </w:lvl>
    <w:lvl w:ilvl="7" w:tplc="68948D74" w:tentative="1">
      <w:start w:val="1"/>
      <w:numFmt w:val="bullet"/>
      <w:lvlText w:val="o"/>
      <w:lvlJc w:val="left"/>
      <w:pPr>
        <w:ind w:left="5760" w:hanging="360"/>
      </w:pPr>
      <w:rPr>
        <w:rFonts w:ascii="Courier New" w:hAnsi="Courier New" w:cs="Courier New" w:hint="default"/>
      </w:rPr>
    </w:lvl>
    <w:lvl w:ilvl="8" w:tplc="0C1261F0" w:tentative="1">
      <w:start w:val="1"/>
      <w:numFmt w:val="bullet"/>
      <w:lvlText w:val=""/>
      <w:lvlJc w:val="left"/>
      <w:pPr>
        <w:ind w:left="6480" w:hanging="360"/>
      </w:pPr>
      <w:rPr>
        <w:rFonts w:ascii="Wingdings" w:hAnsi="Wingdings" w:hint="default"/>
      </w:rPr>
    </w:lvl>
  </w:abstractNum>
  <w:abstractNum w:abstractNumId="52"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3" w15:restartNumberingAfterBreak="0">
    <w:nsid w:val="740D7301"/>
    <w:multiLevelType w:val="hybridMultilevel"/>
    <w:tmpl w:val="4CFCE76E"/>
    <w:lvl w:ilvl="0" w:tplc="2C68F1A2">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4" w15:restartNumberingAfterBreak="0">
    <w:nsid w:val="7746074F"/>
    <w:multiLevelType w:val="hybridMultilevel"/>
    <w:tmpl w:val="76C277A8"/>
    <w:lvl w:ilvl="0" w:tplc="E09A2ACA">
      <w:start w:val="1"/>
      <w:numFmt w:val="bullet"/>
      <w:lvlText w:val=""/>
      <w:lvlJc w:val="left"/>
      <w:pPr>
        <w:ind w:left="720" w:hanging="360"/>
      </w:pPr>
      <w:rPr>
        <w:rFonts w:ascii="Symbol" w:hAnsi="Symbol" w:hint="default"/>
      </w:rPr>
    </w:lvl>
    <w:lvl w:ilvl="1" w:tplc="D6FAC04A">
      <w:start w:val="1"/>
      <w:numFmt w:val="bullet"/>
      <w:lvlText w:val="o"/>
      <w:lvlJc w:val="left"/>
      <w:pPr>
        <w:ind w:left="1440" w:hanging="360"/>
      </w:pPr>
      <w:rPr>
        <w:rFonts w:ascii="Courier New" w:hAnsi="Courier New" w:cs="Courier New" w:hint="default"/>
      </w:rPr>
    </w:lvl>
    <w:lvl w:ilvl="2" w:tplc="5B369858">
      <w:start w:val="1"/>
      <w:numFmt w:val="bullet"/>
      <w:lvlText w:val=""/>
      <w:lvlJc w:val="left"/>
      <w:pPr>
        <w:ind w:left="2160" w:hanging="360"/>
      </w:pPr>
      <w:rPr>
        <w:rFonts w:ascii="Wingdings" w:hAnsi="Wingdings" w:hint="default"/>
      </w:rPr>
    </w:lvl>
    <w:lvl w:ilvl="3" w:tplc="E19C9A84">
      <w:start w:val="1"/>
      <w:numFmt w:val="bullet"/>
      <w:lvlText w:val=""/>
      <w:lvlJc w:val="left"/>
      <w:pPr>
        <w:ind w:left="2880" w:hanging="360"/>
      </w:pPr>
      <w:rPr>
        <w:rFonts w:ascii="Symbol" w:hAnsi="Symbol" w:hint="default"/>
      </w:rPr>
    </w:lvl>
    <w:lvl w:ilvl="4" w:tplc="665895C4">
      <w:start w:val="1"/>
      <w:numFmt w:val="bullet"/>
      <w:lvlText w:val="o"/>
      <w:lvlJc w:val="left"/>
      <w:pPr>
        <w:ind w:left="3600" w:hanging="360"/>
      </w:pPr>
      <w:rPr>
        <w:rFonts w:ascii="Courier New" w:hAnsi="Courier New" w:cs="Courier New" w:hint="default"/>
      </w:rPr>
    </w:lvl>
    <w:lvl w:ilvl="5" w:tplc="079A0A12">
      <w:start w:val="1"/>
      <w:numFmt w:val="bullet"/>
      <w:lvlText w:val=""/>
      <w:lvlJc w:val="left"/>
      <w:pPr>
        <w:ind w:left="4320" w:hanging="360"/>
      </w:pPr>
      <w:rPr>
        <w:rFonts w:ascii="Wingdings" w:hAnsi="Wingdings" w:hint="default"/>
      </w:rPr>
    </w:lvl>
    <w:lvl w:ilvl="6" w:tplc="D47E8EA8">
      <w:start w:val="1"/>
      <w:numFmt w:val="bullet"/>
      <w:lvlText w:val=""/>
      <w:lvlJc w:val="left"/>
      <w:pPr>
        <w:ind w:left="5040" w:hanging="360"/>
      </w:pPr>
      <w:rPr>
        <w:rFonts w:ascii="Symbol" w:hAnsi="Symbol" w:hint="default"/>
      </w:rPr>
    </w:lvl>
    <w:lvl w:ilvl="7" w:tplc="54F6D896">
      <w:start w:val="1"/>
      <w:numFmt w:val="bullet"/>
      <w:lvlText w:val="o"/>
      <w:lvlJc w:val="left"/>
      <w:pPr>
        <w:ind w:left="5760" w:hanging="360"/>
      </w:pPr>
      <w:rPr>
        <w:rFonts w:ascii="Courier New" w:hAnsi="Courier New" w:cs="Courier New" w:hint="default"/>
      </w:rPr>
    </w:lvl>
    <w:lvl w:ilvl="8" w:tplc="9F6C8014">
      <w:start w:val="1"/>
      <w:numFmt w:val="bullet"/>
      <w:lvlText w:val=""/>
      <w:lvlJc w:val="left"/>
      <w:pPr>
        <w:ind w:left="6480" w:hanging="360"/>
      </w:pPr>
      <w:rPr>
        <w:rFonts w:ascii="Wingdings" w:hAnsi="Wingdings" w:hint="default"/>
      </w:rPr>
    </w:lvl>
  </w:abstractNum>
  <w:abstractNum w:abstractNumId="55" w15:restartNumberingAfterBreak="0">
    <w:nsid w:val="798245A3"/>
    <w:multiLevelType w:val="hybridMultilevel"/>
    <w:tmpl w:val="F2066144"/>
    <w:lvl w:ilvl="0" w:tplc="67942BE2">
      <w:start w:val="1"/>
      <w:numFmt w:val="bullet"/>
      <w:lvlText w:val=""/>
      <w:lvlJc w:val="left"/>
      <w:pPr>
        <w:ind w:left="720" w:hanging="360"/>
      </w:pPr>
      <w:rPr>
        <w:rFonts w:ascii="Symbol" w:hAnsi="Symbol" w:hint="default"/>
      </w:rPr>
    </w:lvl>
    <w:lvl w:ilvl="1" w:tplc="EB78F928">
      <w:numFmt w:val="bullet"/>
      <w:lvlText w:val="•"/>
      <w:lvlJc w:val="left"/>
      <w:pPr>
        <w:ind w:left="1692" w:hanging="612"/>
      </w:pPr>
      <w:rPr>
        <w:rFonts w:ascii="Arial" w:eastAsiaTheme="minorHAnsi" w:hAnsi="Arial" w:cs="Arial" w:hint="default"/>
      </w:rPr>
    </w:lvl>
    <w:lvl w:ilvl="2" w:tplc="F7DAEE64" w:tentative="1">
      <w:start w:val="1"/>
      <w:numFmt w:val="bullet"/>
      <w:lvlText w:val=""/>
      <w:lvlJc w:val="left"/>
      <w:pPr>
        <w:ind w:left="2160" w:hanging="360"/>
      </w:pPr>
      <w:rPr>
        <w:rFonts w:ascii="Wingdings" w:hAnsi="Wingdings" w:hint="default"/>
      </w:rPr>
    </w:lvl>
    <w:lvl w:ilvl="3" w:tplc="FCE8F5EA" w:tentative="1">
      <w:start w:val="1"/>
      <w:numFmt w:val="bullet"/>
      <w:lvlText w:val=""/>
      <w:lvlJc w:val="left"/>
      <w:pPr>
        <w:ind w:left="2880" w:hanging="360"/>
      </w:pPr>
      <w:rPr>
        <w:rFonts w:ascii="Symbol" w:hAnsi="Symbol" w:hint="default"/>
      </w:rPr>
    </w:lvl>
    <w:lvl w:ilvl="4" w:tplc="DB26E9B0" w:tentative="1">
      <w:start w:val="1"/>
      <w:numFmt w:val="bullet"/>
      <w:lvlText w:val="o"/>
      <w:lvlJc w:val="left"/>
      <w:pPr>
        <w:ind w:left="3600" w:hanging="360"/>
      </w:pPr>
      <w:rPr>
        <w:rFonts w:ascii="Courier New" w:hAnsi="Courier New" w:cs="Courier New" w:hint="default"/>
      </w:rPr>
    </w:lvl>
    <w:lvl w:ilvl="5" w:tplc="8D5ECD32" w:tentative="1">
      <w:start w:val="1"/>
      <w:numFmt w:val="bullet"/>
      <w:lvlText w:val=""/>
      <w:lvlJc w:val="left"/>
      <w:pPr>
        <w:ind w:left="4320" w:hanging="360"/>
      </w:pPr>
      <w:rPr>
        <w:rFonts w:ascii="Wingdings" w:hAnsi="Wingdings" w:hint="default"/>
      </w:rPr>
    </w:lvl>
    <w:lvl w:ilvl="6" w:tplc="9CF6053A" w:tentative="1">
      <w:start w:val="1"/>
      <w:numFmt w:val="bullet"/>
      <w:lvlText w:val=""/>
      <w:lvlJc w:val="left"/>
      <w:pPr>
        <w:ind w:left="5040" w:hanging="360"/>
      </w:pPr>
      <w:rPr>
        <w:rFonts w:ascii="Symbol" w:hAnsi="Symbol" w:hint="default"/>
      </w:rPr>
    </w:lvl>
    <w:lvl w:ilvl="7" w:tplc="E73C89AE" w:tentative="1">
      <w:start w:val="1"/>
      <w:numFmt w:val="bullet"/>
      <w:lvlText w:val="o"/>
      <w:lvlJc w:val="left"/>
      <w:pPr>
        <w:ind w:left="5760" w:hanging="360"/>
      </w:pPr>
      <w:rPr>
        <w:rFonts w:ascii="Courier New" w:hAnsi="Courier New" w:cs="Courier New" w:hint="default"/>
      </w:rPr>
    </w:lvl>
    <w:lvl w:ilvl="8" w:tplc="433E0646" w:tentative="1">
      <w:start w:val="1"/>
      <w:numFmt w:val="bullet"/>
      <w:lvlText w:val=""/>
      <w:lvlJc w:val="left"/>
      <w:pPr>
        <w:ind w:left="6480" w:hanging="360"/>
      </w:pPr>
      <w:rPr>
        <w:rFonts w:ascii="Wingdings" w:hAnsi="Wingdings" w:hint="default"/>
      </w:rPr>
    </w:lvl>
  </w:abstractNum>
  <w:abstractNum w:abstractNumId="56"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AC234FF"/>
    <w:multiLevelType w:val="hybridMultilevel"/>
    <w:tmpl w:val="55A4ED84"/>
    <w:lvl w:ilvl="0" w:tplc="FFFFFFFF">
      <w:start w:val="1"/>
      <w:numFmt w:val="decimal"/>
      <w:lvlText w:val="(%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7BB653C6"/>
    <w:multiLevelType w:val="hybridMultilevel"/>
    <w:tmpl w:val="488C7EEA"/>
    <w:lvl w:ilvl="0" w:tplc="04160001">
      <w:start w:val="1"/>
      <w:numFmt w:val="bullet"/>
      <w:lvlText w:val=""/>
      <w:lvlJc w:val="left"/>
      <w:pPr>
        <w:ind w:left="1037" w:hanging="360"/>
      </w:pPr>
      <w:rPr>
        <w:rFonts w:ascii="Symbol" w:hAnsi="Symbol" w:hint="default"/>
      </w:rPr>
    </w:lvl>
    <w:lvl w:ilvl="1" w:tplc="04160003" w:tentative="1">
      <w:start w:val="1"/>
      <w:numFmt w:val="bullet"/>
      <w:lvlText w:val="o"/>
      <w:lvlJc w:val="left"/>
      <w:pPr>
        <w:ind w:left="1757" w:hanging="360"/>
      </w:pPr>
      <w:rPr>
        <w:rFonts w:ascii="Courier New" w:hAnsi="Courier New" w:cs="Courier New" w:hint="default"/>
      </w:rPr>
    </w:lvl>
    <w:lvl w:ilvl="2" w:tplc="04160005" w:tentative="1">
      <w:start w:val="1"/>
      <w:numFmt w:val="bullet"/>
      <w:lvlText w:val=""/>
      <w:lvlJc w:val="left"/>
      <w:pPr>
        <w:ind w:left="2477" w:hanging="360"/>
      </w:pPr>
      <w:rPr>
        <w:rFonts w:ascii="Wingdings" w:hAnsi="Wingdings" w:hint="default"/>
      </w:rPr>
    </w:lvl>
    <w:lvl w:ilvl="3" w:tplc="04160001" w:tentative="1">
      <w:start w:val="1"/>
      <w:numFmt w:val="bullet"/>
      <w:lvlText w:val=""/>
      <w:lvlJc w:val="left"/>
      <w:pPr>
        <w:ind w:left="3197" w:hanging="360"/>
      </w:pPr>
      <w:rPr>
        <w:rFonts w:ascii="Symbol" w:hAnsi="Symbol" w:hint="default"/>
      </w:rPr>
    </w:lvl>
    <w:lvl w:ilvl="4" w:tplc="04160003" w:tentative="1">
      <w:start w:val="1"/>
      <w:numFmt w:val="bullet"/>
      <w:lvlText w:val="o"/>
      <w:lvlJc w:val="left"/>
      <w:pPr>
        <w:ind w:left="3917" w:hanging="360"/>
      </w:pPr>
      <w:rPr>
        <w:rFonts w:ascii="Courier New" w:hAnsi="Courier New" w:cs="Courier New" w:hint="default"/>
      </w:rPr>
    </w:lvl>
    <w:lvl w:ilvl="5" w:tplc="04160005" w:tentative="1">
      <w:start w:val="1"/>
      <w:numFmt w:val="bullet"/>
      <w:lvlText w:val=""/>
      <w:lvlJc w:val="left"/>
      <w:pPr>
        <w:ind w:left="4637" w:hanging="360"/>
      </w:pPr>
      <w:rPr>
        <w:rFonts w:ascii="Wingdings" w:hAnsi="Wingdings" w:hint="default"/>
      </w:rPr>
    </w:lvl>
    <w:lvl w:ilvl="6" w:tplc="04160001" w:tentative="1">
      <w:start w:val="1"/>
      <w:numFmt w:val="bullet"/>
      <w:lvlText w:val=""/>
      <w:lvlJc w:val="left"/>
      <w:pPr>
        <w:ind w:left="5357" w:hanging="360"/>
      </w:pPr>
      <w:rPr>
        <w:rFonts w:ascii="Symbol" w:hAnsi="Symbol" w:hint="default"/>
      </w:rPr>
    </w:lvl>
    <w:lvl w:ilvl="7" w:tplc="04160003" w:tentative="1">
      <w:start w:val="1"/>
      <w:numFmt w:val="bullet"/>
      <w:lvlText w:val="o"/>
      <w:lvlJc w:val="left"/>
      <w:pPr>
        <w:ind w:left="6077" w:hanging="360"/>
      </w:pPr>
      <w:rPr>
        <w:rFonts w:ascii="Courier New" w:hAnsi="Courier New" w:cs="Courier New" w:hint="default"/>
      </w:rPr>
    </w:lvl>
    <w:lvl w:ilvl="8" w:tplc="04160005" w:tentative="1">
      <w:start w:val="1"/>
      <w:numFmt w:val="bullet"/>
      <w:lvlText w:val=""/>
      <w:lvlJc w:val="left"/>
      <w:pPr>
        <w:ind w:left="6797" w:hanging="360"/>
      </w:pPr>
      <w:rPr>
        <w:rFonts w:ascii="Wingdings" w:hAnsi="Wingdings" w:hint="default"/>
      </w:rPr>
    </w:lvl>
  </w:abstractNum>
  <w:abstractNum w:abstractNumId="59" w15:restartNumberingAfterBreak="0">
    <w:nsid w:val="7BF527AD"/>
    <w:multiLevelType w:val="hybridMultilevel"/>
    <w:tmpl w:val="B22013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1"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2" w15:restartNumberingAfterBreak="0">
    <w:nsid w:val="7F291500"/>
    <w:multiLevelType w:val="hybridMultilevel"/>
    <w:tmpl w:val="160E58E0"/>
    <w:lvl w:ilvl="0" w:tplc="0B200C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15:restartNumberingAfterBreak="0">
    <w:nsid w:val="7F8D279B"/>
    <w:multiLevelType w:val="hybridMultilevel"/>
    <w:tmpl w:val="A866CF26"/>
    <w:lvl w:ilvl="0" w:tplc="4B5ECCEA">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5953202">
    <w:abstractNumId w:val="44"/>
  </w:num>
  <w:num w:numId="2" w16cid:durableId="274487923">
    <w:abstractNumId w:val="10"/>
  </w:num>
  <w:num w:numId="3" w16cid:durableId="1310478200">
    <w:abstractNumId w:val="6"/>
  </w:num>
  <w:num w:numId="4" w16cid:durableId="781724609">
    <w:abstractNumId w:val="63"/>
  </w:num>
  <w:num w:numId="5" w16cid:durableId="114567551">
    <w:abstractNumId w:val="7"/>
  </w:num>
  <w:num w:numId="6" w16cid:durableId="1643074702">
    <w:abstractNumId w:val="16"/>
  </w:num>
  <w:num w:numId="7" w16cid:durableId="2025355466">
    <w:abstractNumId w:val="37"/>
  </w:num>
  <w:num w:numId="8" w16cid:durableId="341930523">
    <w:abstractNumId w:val="29"/>
  </w:num>
  <w:num w:numId="9" w16cid:durableId="1896547674">
    <w:abstractNumId w:val="59"/>
  </w:num>
  <w:num w:numId="10" w16cid:durableId="2028676454">
    <w:abstractNumId w:val="8"/>
  </w:num>
  <w:num w:numId="11" w16cid:durableId="335235045">
    <w:abstractNumId w:val="32"/>
  </w:num>
  <w:num w:numId="12" w16cid:durableId="15450978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3286162">
    <w:abstractNumId w:val="53"/>
  </w:num>
  <w:num w:numId="14" w16cid:durableId="853224777">
    <w:abstractNumId w:val="60"/>
  </w:num>
  <w:num w:numId="15" w16cid:durableId="15161136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4285502">
    <w:abstractNumId w:val="21"/>
  </w:num>
  <w:num w:numId="17" w16cid:durableId="409890079">
    <w:abstractNumId w:val="2"/>
  </w:num>
  <w:num w:numId="18" w16cid:durableId="784891034">
    <w:abstractNumId w:val="56"/>
  </w:num>
  <w:num w:numId="19" w16cid:durableId="1244220185">
    <w:abstractNumId w:val="23"/>
  </w:num>
  <w:num w:numId="20" w16cid:durableId="1202861752">
    <w:abstractNumId w:val="5"/>
  </w:num>
  <w:num w:numId="21" w16cid:durableId="176505621">
    <w:abstractNumId w:val="15"/>
  </w:num>
  <w:num w:numId="22" w16cid:durableId="1905942472">
    <w:abstractNumId w:val="48"/>
  </w:num>
  <w:num w:numId="23" w16cid:durableId="1147017541">
    <w:abstractNumId w:val="47"/>
  </w:num>
  <w:num w:numId="24" w16cid:durableId="1224487878">
    <w:abstractNumId w:val="61"/>
  </w:num>
  <w:num w:numId="25" w16cid:durableId="1954433329">
    <w:abstractNumId w:val="3"/>
  </w:num>
  <w:num w:numId="26" w16cid:durableId="890386156">
    <w:abstractNumId w:val="40"/>
  </w:num>
  <w:num w:numId="27" w16cid:durableId="92940336">
    <w:abstractNumId w:val="1"/>
  </w:num>
  <w:num w:numId="28" w16cid:durableId="1463695506">
    <w:abstractNumId w:val="4"/>
  </w:num>
  <w:num w:numId="29" w16cid:durableId="36392623">
    <w:abstractNumId w:val="0"/>
  </w:num>
  <w:num w:numId="30" w16cid:durableId="774206270">
    <w:abstractNumId w:val="31"/>
  </w:num>
  <w:num w:numId="31" w16cid:durableId="1969965212">
    <w:abstractNumId w:val="25"/>
  </w:num>
  <w:num w:numId="32" w16cid:durableId="1069186424">
    <w:abstractNumId w:val="13"/>
  </w:num>
  <w:num w:numId="33" w16cid:durableId="894388749">
    <w:abstractNumId w:val="36"/>
  </w:num>
  <w:num w:numId="34" w16cid:durableId="1160583667">
    <w:abstractNumId w:val="26"/>
  </w:num>
  <w:num w:numId="35" w16cid:durableId="18507612">
    <w:abstractNumId w:val="35"/>
  </w:num>
  <w:num w:numId="36" w16cid:durableId="1462378404">
    <w:abstractNumId w:val="62"/>
  </w:num>
  <w:num w:numId="37" w16cid:durableId="933516518">
    <w:abstractNumId w:val="27"/>
  </w:num>
  <w:num w:numId="38" w16cid:durableId="587006422">
    <w:abstractNumId w:val="57"/>
  </w:num>
  <w:num w:numId="39" w16cid:durableId="1910462567">
    <w:abstractNumId w:val="18"/>
  </w:num>
  <w:num w:numId="40" w16cid:durableId="908075283">
    <w:abstractNumId w:val="45"/>
  </w:num>
  <w:num w:numId="41" w16cid:durableId="20824366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5794084">
    <w:abstractNumId w:val="11"/>
  </w:num>
  <w:num w:numId="43" w16cid:durableId="1268390984">
    <w:abstractNumId w:val="9"/>
  </w:num>
  <w:num w:numId="44" w16cid:durableId="1250120289">
    <w:abstractNumId w:val="52"/>
  </w:num>
  <w:num w:numId="45" w16cid:durableId="1482043177">
    <w:abstractNumId w:val="19"/>
  </w:num>
  <w:num w:numId="46" w16cid:durableId="1506244691">
    <w:abstractNumId w:val="42"/>
  </w:num>
  <w:num w:numId="47" w16cid:durableId="926688883">
    <w:abstractNumId w:val="28"/>
  </w:num>
  <w:num w:numId="48" w16cid:durableId="2146270182">
    <w:abstractNumId w:val="30"/>
  </w:num>
  <w:num w:numId="49" w16cid:durableId="72239976">
    <w:abstractNumId w:val="49"/>
  </w:num>
  <w:num w:numId="50" w16cid:durableId="698356891">
    <w:abstractNumId w:val="33"/>
  </w:num>
  <w:num w:numId="51" w16cid:durableId="828059587">
    <w:abstractNumId w:val="12"/>
  </w:num>
  <w:num w:numId="52" w16cid:durableId="1459182956">
    <w:abstractNumId w:val="41"/>
  </w:num>
  <w:num w:numId="53" w16cid:durableId="1954167275">
    <w:abstractNumId w:val="51"/>
  </w:num>
  <w:num w:numId="54" w16cid:durableId="1620382126">
    <w:abstractNumId w:val="50"/>
  </w:num>
  <w:num w:numId="55" w16cid:durableId="1514958123">
    <w:abstractNumId w:val="38"/>
  </w:num>
  <w:num w:numId="56" w16cid:durableId="346492075">
    <w:abstractNumId w:val="39"/>
  </w:num>
  <w:num w:numId="57" w16cid:durableId="10970968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01295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8556244">
    <w:abstractNumId w:val="55"/>
  </w:num>
  <w:num w:numId="60" w16cid:durableId="1702433847">
    <w:abstractNumId w:val="24"/>
  </w:num>
  <w:num w:numId="61" w16cid:durableId="2093356467">
    <w:abstractNumId w:val="54"/>
  </w:num>
  <w:num w:numId="62" w16cid:durableId="776170930">
    <w:abstractNumId w:val="34"/>
  </w:num>
  <w:num w:numId="63" w16cid:durableId="201141212">
    <w:abstractNumId w:val="14"/>
  </w:num>
  <w:num w:numId="64" w16cid:durableId="249196217">
    <w:abstractNumId w:val="58"/>
  </w:num>
  <w:num w:numId="65" w16cid:durableId="172439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es-ES" w:vendorID="64" w:dllVersion="0" w:nlCheck="1" w:checkStyle="0"/>
  <w:activeWritingStyle w:appName="MSWord" w:lang="en-GB" w:vendorID="64" w:dllVersion="0" w:nlCheck="1" w:checkStyle="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623380"/>
    <w:rsid w:val="0000023F"/>
    <w:rsid w:val="00000C27"/>
    <w:rsid w:val="00003E17"/>
    <w:rsid w:val="00003E98"/>
    <w:rsid w:val="00004258"/>
    <w:rsid w:val="00004806"/>
    <w:rsid w:val="00004BCB"/>
    <w:rsid w:val="000058BA"/>
    <w:rsid w:val="000069A9"/>
    <w:rsid w:val="00007148"/>
    <w:rsid w:val="00007643"/>
    <w:rsid w:val="0000768F"/>
    <w:rsid w:val="00007700"/>
    <w:rsid w:val="00010275"/>
    <w:rsid w:val="000104D8"/>
    <w:rsid w:val="00010A6C"/>
    <w:rsid w:val="000111F8"/>
    <w:rsid w:val="000127FC"/>
    <w:rsid w:val="00012828"/>
    <w:rsid w:val="000129CE"/>
    <w:rsid w:val="000130B4"/>
    <w:rsid w:val="00013619"/>
    <w:rsid w:val="00014050"/>
    <w:rsid w:val="000148A5"/>
    <w:rsid w:val="00014BC3"/>
    <w:rsid w:val="00014EAF"/>
    <w:rsid w:val="00014F83"/>
    <w:rsid w:val="0001513A"/>
    <w:rsid w:val="00015433"/>
    <w:rsid w:val="00015659"/>
    <w:rsid w:val="00015747"/>
    <w:rsid w:val="0001588C"/>
    <w:rsid w:val="000174F6"/>
    <w:rsid w:val="0002121B"/>
    <w:rsid w:val="00021418"/>
    <w:rsid w:val="0002255F"/>
    <w:rsid w:val="0002363B"/>
    <w:rsid w:val="00023F38"/>
    <w:rsid w:val="000240C5"/>
    <w:rsid w:val="000252D8"/>
    <w:rsid w:val="0002532D"/>
    <w:rsid w:val="00025BF4"/>
    <w:rsid w:val="0002688C"/>
    <w:rsid w:val="000276E8"/>
    <w:rsid w:val="00030258"/>
    <w:rsid w:val="00030DF1"/>
    <w:rsid w:val="00031799"/>
    <w:rsid w:val="0003211F"/>
    <w:rsid w:val="000333DC"/>
    <w:rsid w:val="000335D7"/>
    <w:rsid w:val="0003426E"/>
    <w:rsid w:val="000349C5"/>
    <w:rsid w:val="000351C5"/>
    <w:rsid w:val="00035738"/>
    <w:rsid w:val="00035C86"/>
    <w:rsid w:val="00036B25"/>
    <w:rsid w:val="00036F9C"/>
    <w:rsid w:val="0003743A"/>
    <w:rsid w:val="00037A94"/>
    <w:rsid w:val="00040871"/>
    <w:rsid w:val="00040AE7"/>
    <w:rsid w:val="00041896"/>
    <w:rsid w:val="00041C6F"/>
    <w:rsid w:val="00042553"/>
    <w:rsid w:val="00042D4E"/>
    <w:rsid w:val="00044667"/>
    <w:rsid w:val="00044A68"/>
    <w:rsid w:val="000452DC"/>
    <w:rsid w:val="00045D79"/>
    <w:rsid w:val="00046DBB"/>
    <w:rsid w:val="00050BDA"/>
    <w:rsid w:val="00050D50"/>
    <w:rsid w:val="00051395"/>
    <w:rsid w:val="00051BAC"/>
    <w:rsid w:val="00052435"/>
    <w:rsid w:val="00052E5D"/>
    <w:rsid w:val="0005300F"/>
    <w:rsid w:val="00053473"/>
    <w:rsid w:val="00053946"/>
    <w:rsid w:val="00054220"/>
    <w:rsid w:val="00055182"/>
    <w:rsid w:val="00055964"/>
    <w:rsid w:val="000562FF"/>
    <w:rsid w:val="0005630C"/>
    <w:rsid w:val="0005641C"/>
    <w:rsid w:val="00056F6B"/>
    <w:rsid w:val="00057893"/>
    <w:rsid w:val="00060DB2"/>
    <w:rsid w:val="00060DCB"/>
    <w:rsid w:val="00061237"/>
    <w:rsid w:val="00061848"/>
    <w:rsid w:val="00062877"/>
    <w:rsid w:val="0006352D"/>
    <w:rsid w:val="00065549"/>
    <w:rsid w:val="00065751"/>
    <w:rsid w:val="00065973"/>
    <w:rsid w:val="00065D1B"/>
    <w:rsid w:val="00065E90"/>
    <w:rsid w:val="0006675A"/>
    <w:rsid w:val="00066C4F"/>
    <w:rsid w:val="000671C4"/>
    <w:rsid w:val="000676A6"/>
    <w:rsid w:val="00067DC0"/>
    <w:rsid w:val="000702BE"/>
    <w:rsid w:val="0007301F"/>
    <w:rsid w:val="00074B47"/>
    <w:rsid w:val="000755E3"/>
    <w:rsid w:val="00075933"/>
    <w:rsid w:val="00075F1D"/>
    <w:rsid w:val="000762AD"/>
    <w:rsid w:val="0007699E"/>
    <w:rsid w:val="00076F6E"/>
    <w:rsid w:val="0008028F"/>
    <w:rsid w:val="000814D4"/>
    <w:rsid w:val="0008249B"/>
    <w:rsid w:val="0008260C"/>
    <w:rsid w:val="0008272F"/>
    <w:rsid w:val="000837F9"/>
    <w:rsid w:val="00083AC2"/>
    <w:rsid w:val="000840BC"/>
    <w:rsid w:val="000848FE"/>
    <w:rsid w:val="00084DC0"/>
    <w:rsid w:val="00085204"/>
    <w:rsid w:val="0008593C"/>
    <w:rsid w:val="00086AAF"/>
    <w:rsid w:val="00086E15"/>
    <w:rsid w:val="00086E9D"/>
    <w:rsid w:val="00087181"/>
    <w:rsid w:val="00087A05"/>
    <w:rsid w:val="00087A85"/>
    <w:rsid w:val="00090336"/>
    <w:rsid w:val="0009164C"/>
    <w:rsid w:val="00092770"/>
    <w:rsid w:val="00092FAE"/>
    <w:rsid w:val="000934BB"/>
    <w:rsid w:val="00093CE5"/>
    <w:rsid w:val="00094E8F"/>
    <w:rsid w:val="000953BF"/>
    <w:rsid w:val="00095670"/>
    <w:rsid w:val="00095DE7"/>
    <w:rsid w:val="000962C2"/>
    <w:rsid w:val="00096582"/>
    <w:rsid w:val="00096640"/>
    <w:rsid w:val="000970FD"/>
    <w:rsid w:val="00097579"/>
    <w:rsid w:val="00097C51"/>
    <w:rsid w:val="000A097A"/>
    <w:rsid w:val="000A1210"/>
    <w:rsid w:val="000A2A80"/>
    <w:rsid w:val="000A36FF"/>
    <w:rsid w:val="000A4B9E"/>
    <w:rsid w:val="000A4BBA"/>
    <w:rsid w:val="000A535F"/>
    <w:rsid w:val="000A562B"/>
    <w:rsid w:val="000B1346"/>
    <w:rsid w:val="000B1684"/>
    <w:rsid w:val="000B2247"/>
    <w:rsid w:val="000B24E0"/>
    <w:rsid w:val="000B4030"/>
    <w:rsid w:val="000B4F17"/>
    <w:rsid w:val="000B5396"/>
    <w:rsid w:val="000B5475"/>
    <w:rsid w:val="000B5DAC"/>
    <w:rsid w:val="000B6002"/>
    <w:rsid w:val="000B6328"/>
    <w:rsid w:val="000B7F82"/>
    <w:rsid w:val="000C1B2D"/>
    <w:rsid w:val="000C5A4E"/>
    <w:rsid w:val="000C644A"/>
    <w:rsid w:val="000C6B0A"/>
    <w:rsid w:val="000C7620"/>
    <w:rsid w:val="000C7981"/>
    <w:rsid w:val="000C7E60"/>
    <w:rsid w:val="000D000B"/>
    <w:rsid w:val="000D1A44"/>
    <w:rsid w:val="000D249B"/>
    <w:rsid w:val="000D2540"/>
    <w:rsid w:val="000D2649"/>
    <w:rsid w:val="000D27D6"/>
    <w:rsid w:val="000D64D3"/>
    <w:rsid w:val="000D6D95"/>
    <w:rsid w:val="000E26DE"/>
    <w:rsid w:val="000E3C38"/>
    <w:rsid w:val="000E3F6F"/>
    <w:rsid w:val="000E4727"/>
    <w:rsid w:val="000E4785"/>
    <w:rsid w:val="000E4C28"/>
    <w:rsid w:val="000E533A"/>
    <w:rsid w:val="000E5362"/>
    <w:rsid w:val="000E55AA"/>
    <w:rsid w:val="000E58D5"/>
    <w:rsid w:val="000E6DC9"/>
    <w:rsid w:val="000E721D"/>
    <w:rsid w:val="000E7457"/>
    <w:rsid w:val="000E75BD"/>
    <w:rsid w:val="000E77BD"/>
    <w:rsid w:val="000F05A2"/>
    <w:rsid w:val="000F0C9B"/>
    <w:rsid w:val="000F2412"/>
    <w:rsid w:val="000F24FB"/>
    <w:rsid w:val="000F3094"/>
    <w:rsid w:val="000F3899"/>
    <w:rsid w:val="000F552D"/>
    <w:rsid w:val="000F56A8"/>
    <w:rsid w:val="000F6703"/>
    <w:rsid w:val="000F7D74"/>
    <w:rsid w:val="000F7F0F"/>
    <w:rsid w:val="00102947"/>
    <w:rsid w:val="00102B63"/>
    <w:rsid w:val="0010370A"/>
    <w:rsid w:val="00103E52"/>
    <w:rsid w:val="00104090"/>
    <w:rsid w:val="00104BC0"/>
    <w:rsid w:val="0010529B"/>
    <w:rsid w:val="0010628A"/>
    <w:rsid w:val="001064E2"/>
    <w:rsid w:val="00107072"/>
    <w:rsid w:val="001105B7"/>
    <w:rsid w:val="00110A2C"/>
    <w:rsid w:val="00110DD7"/>
    <w:rsid w:val="0011131B"/>
    <w:rsid w:val="00111C20"/>
    <w:rsid w:val="00111CA4"/>
    <w:rsid w:val="001125FF"/>
    <w:rsid w:val="00112B1B"/>
    <w:rsid w:val="001146AA"/>
    <w:rsid w:val="00115495"/>
    <w:rsid w:val="001155EA"/>
    <w:rsid w:val="00116067"/>
    <w:rsid w:val="001164B5"/>
    <w:rsid w:val="001164E6"/>
    <w:rsid w:val="001166A2"/>
    <w:rsid w:val="00116D52"/>
    <w:rsid w:val="00117509"/>
    <w:rsid w:val="001208AF"/>
    <w:rsid w:val="00120D22"/>
    <w:rsid w:val="00121403"/>
    <w:rsid w:val="00121753"/>
    <w:rsid w:val="001217E2"/>
    <w:rsid w:val="00121885"/>
    <w:rsid w:val="00122383"/>
    <w:rsid w:val="00122C4E"/>
    <w:rsid w:val="0012353E"/>
    <w:rsid w:val="001235AB"/>
    <w:rsid w:val="001250C5"/>
    <w:rsid w:val="0012539E"/>
    <w:rsid w:val="00126206"/>
    <w:rsid w:val="001263DE"/>
    <w:rsid w:val="00126960"/>
    <w:rsid w:val="00126A71"/>
    <w:rsid w:val="0013063A"/>
    <w:rsid w:val="001327F4"/>
    <w:rsid w:val="00133101"/>
    <w:rsid w:val="001333EB"/>
    <w:rsid w:val="0013354E"/>
    <w:rsid w:val="00133CDE"/>
    <w:rsid w:val="00134680"/>
    <w:rsid w:val="00136454"/>
    <w:rsid w:val="0013660D"/>
    <w:rsid w:val="001367D9"/>
    <w:rsid w:val="00136C77"/>
    <w:rsid w:val="00136C7B"/>
    <w:rsid w:val="00140962"/>
    <w:rsid w:val="00140AF4"/>
    <w:rsid w:val="00142311"/>
    <w:rsid w:val="00143D4A"/>
    <w:rsid w:val="001442CC"/>
    <w:rsid w:val="0014441E"/>
    <w:rsid w:val="0014497F"/>
    <w:rsid w:val="00146D19"/>
    <w:rsid w:val="0014701B"/>
    <w:rsid w:val="001473CD"/>
    <w:rsid w:val="00152A79"/>
    <w:rsid w:val="0015355A"/>
    <w:rsid w:val="00153650"/>
    <w:rsid w:val="00153CF5"/>
    <w:rsid w:val="00154C42"/>
    <w:rsid w:val="00155FF6"/>
    <w:rsid w:val="001560CE"/>
    <w:rsid w:val="001569E7"/>
    <w:rsid w:val="00160D2A"/>
    <w:rsid w:val="00163DE7"/>
    <w:rsid w:val="0016459D"/>
    <w:rsid w:val="0016469B"/>
    <w:rsid w:val="00165D44"/>
    <w:rsid w:val="00166047"/>
    <w:rsid w:val="00166917"/>
    <w:rsid w:val="00167765"/>
    <w:rsid w:val="00167A24"/>
    <w:rsid w:val="001701FA"/>
    <w:rsid w:val="0017034F"/>
    <w:rsid w:val="00171B32"/>
    <w:rsid w:val="00172A84"/>
    <w:rsid w:val="00172F9E"/>
    <w:rsid w:val="001754B8"/>
    <w:rsid w:val="0017587C"/>
    <w:rsid w:val="00175FC2"/>
    <w:rsid w:val="001760A3"/>
    <w:rsid w:val="00177141"/>
    <w:rsid w:val="00181956"/>
    <w:rsid w:val="00183017"/>
    <w:rsid w:val="001838B0"/>
    <w:rsid w:val="00184069"/>
    <w:rsid w:val="00184F92"/>
    <w:rsid w:val="0018543D"/>
    <w:rsid w:val="00185A57"/>
    <w:rsid w:val="00186606"/>
    <w:rsid w:val="00190671"/>
    <w:rsid w:val="00192C11"/>
    <w:rsid w:val="00192DCE"/>
    <w:rsid w:val="00192E46"/>
    <w:rsid w:val="001939CC"/>
    <w:rsid w:val="00193A21"/>
    <w:rsid w:val="00193ACB"/>
    <w:rsid w:val="00194149"/>
    <w:rsid w:val="001952CB"/>
    <w:rsid w:val="0019533E"/>
    <w:rsid w:val="00196C23"/>
    <w:rsid w:val="001A0E1F"/>
    <w:rsid w:val="001A1BA7"/>
    <w:rsid w:val="001A2838"/>
    <w:rsid w:val="001A3501"/>
    <w:rsid w:val="001A3B98"/>
    <w:rsid w:val="001A4BB4"/>
    <w:rsid w:val="001A5D4F"/>
    <w:rsid w:val="001A6042"/>
    <w:rsid w:val="001A6999"/>
    <w:rsid w:val="001A6B6D"/>
    <w:rsid w:val="001A76C3"/>
    <w:rsid w:val="001A7939"/>
    <w:rsid w:val="001B02AE"/>
    <w:rsid w:val="001B219D"/>
    <w:rsid w:val="001B2F64"/>
    <w:rsid w:val="001B3116"/>
    <w:rsid w:val="001B4217"/>
    <w:rsid w:val="001B4C54"/>
    <w:rsid w:val="001B504B"/>
    <w:rsid w:val="001B50D8"/>
    <w:rsid w:val="001B5D09"/>
    <w:rsid w:val="001B6225"/>
    <w:rsid w:val="001B722D"/>
    <w:rsid w:val="001B7BCA"/>
    <w:rsid w:val="001C0179"/>
    <w:rsid w:val="001C047D"/>
    <w:rsid w:val="001C0918"/>
    <w:rsid w:val="001C18A5"/>
    <w:rsid w:val="001C232E"/>
    <w:rsid w:val="001C5CCA"/>
    <w:rsid w:val="001C5F2E"/>
    <w:rsid w:val="001C6017"/>
    <w:rsid w:val="001C64CC"/>
    <w:rsid w:val="001C698C"/>
    <w:rsid w:val="001C6B0D"/>
    <w:rsid w:val="001C7FF9"/>
    <w:rsid w:val="001D000C"/>
    <w:rsid w:val="001D04DD"/>
    <w:rsid w:val="001D150D"/>
    <w:rsid w:val="001D2DE6"/>
    <w:rsid w:val="001D2F28"/>
    <w:rsid w:val="001D32DE"/>
    <w:rsid w:val="001D36C5"/>
    <w:rsid w:val="001D3727"/>
    <w:rsid w:val="001D424F"/>
    <w:rsid w:val="001D571E"/>
    <w:rsid w:val="001D5EFE"/>
    <w:rsid w:val="001D7971"/>
    <w:rsid w:val="001D7EA1"/>
    <w:rsid w:val="001E2515"/>
    <w:rsid w:val="001E2A7F"/>
    <w:rsid w:val="001E2BF9"/>
    <w:rsid w:val="001E411C"/>
    <w:rsid w:val="001E4584"/>
    <w:rsid w:val="001E4C56"/>
    <w:rsid w:val="001E53FD"/>
    <w:rsid w:val="001E5999"/>
    <w:rsid w:val="001E5B7F"/>
    <w:rsid w:val="001E5F3D"/>
    <w:rsid w:val="001F0DEF"/>
    <w:rsid w:val="001F0E61"/>
    <w:rsid w:val="001F138E"/>
    <w:rsid w:val="001F1F28"/>
    <w:rsid w:val="001F23D1"/>
    <w:rsid w:val="001F2698"/>
    <w:rsid w:val="001F2FB7"/>
    <w:rsid w:val="001F39A8"/>
    <w:rsid w:val="001F473A"/>
    <w:rsid w:val="001F4C18"/>
    <w:rsid w:val="001F6BDB"/>
    <w:rsid w:val="001F73E2"/>
    <w:rsid w:val="0020027D"/>
    <w:rsid w:val="00200A98"/>
    <w:rsid w:val="00200D90"/>
    <w:rsid w:val="002013AC"/>
    <w:rsid w:val="002028AA"/>
    <w:rsid w:val="002030E3"/>
    <w:rsid w:val="00203CBF"/>
    <w:rsid w:val="00203E14"/>
    <w:rsid w:val="0020433F"/>
    <w:rsid w:val="00204520"/>
    <w:rsid w:val="00204D59"/>
    <w:rsid w:val="00205769"/>
    <w:rsid w:val="00206282"/>
    <w:rsid w:val="00206814"/>
    <w:rsid w:val="00210B56"/>
    <w:rsid w:val="0021213D"/>
    <w:rsid w:val="00212E57"/>
    <w:rsid w:val="002131B9"/>
    <w:rsid w:val="00213415"/>
    <w:rsid w:val="00214EF3"/>
    <w:rsid w:val="00214F4E"/>
    <w:rsid w:val="0021591C"/>
    <w:rsid w:val="0021702C"/>
    <w:rsid w:val="002171F3"/>
    <w:rsid w:val="00220B86"/>
    <w:rsid w:val="002217F3"/>
    <w:rsid w:val="002222A6"/>
    <w:rsid w:val="002222F8"/>
    <w:rsid w:val="00222380"/>
    <w:rsid w:val="00222523"/>
    <w:rsid w:val="002238DE"/>
    <w:rsid w:val="0022493C"/>
    <w:rsid w:val="00225163"/>
    <w:rsid w:val="00225984"/>
    <w:rsid w:val="002274BA"/>
    <w:rsid w:val="00227CB8"/>
    <w:rsid w:val="00230C18"/>
    <w:rsid w:val="00230E24"/>
    <w:rsid w:val="002315DD"/>
    <w:rsid w:val="00232C4B"/>
    <w:rsid w:val="0023362B"/>
    <w:rsid w:val="0023451D"/>
    <w:rsid w:val="0023646D"/>
    <w:rsid w:val="00236493"/>
    <w:rsid w:val="00237429"/>
    <w:rsid w:val="00237825"/>
    <w:rsid w:val="00237AAA"/>
    <w:rsid w:val="002403ED"/>
    <w:rsid w:val="002408DC"/>
    <w:rsid w:val="00241360"/>
    <w:rsid w:val="00243F7B"/>
    <w:rsid w:val="0024439C"/>
    <w:rsid w:val="002443C6"/>
    <w:rsid w:val="00244CAC"/>
    <w:rsid w:val="002463CA"/>
    <w:rsid w:val="00246602"/>
    <w:rsid w:val="00246CA3"/>
    <w:rsid w:val="00247531"/>
    <w:rsid w:val="002477B1"/>
    <w:rsid w:val="0024798B"/>
    <w:rsid w:val="00247F3A"/>
    <w:rsid w:val="002518F2"/>
    <w:rsid w:val="00251F6F"/>
    <w:rsid w:val="00252805"/>
    <w:rsid w:val="002529BE"/>
    <w:rsid w:val="00252AB9"/>
    <w:rsid w:val="00252B5A"/>
    <w:rsid w:val="00253734"/>
    <w:rsid w:val="002544EB"/>
    <w:rsid w:val="00254900"/>
    <w:rsid w:val="00254A5A"/>
    <w:rsid w:val="0025507C"/>
    <w:rsid w:val="002572C9"/>
    <w:rsid w:val="00260D35"/>
    <w:rsid w:val="0026119B"/>
    <w:rsid w:val="00262436"/>
    <w:rsid w:val="00262D32"/>
    <w:rsid w:val="002633C0"/>
    <w:rsid w:val="00263451"/>
    <w:rsid w:val="00263B80"/>
    <w:rsid w:val="00265A9F"/>
    <w:rsid w:val="00265E37"/>
    <w:rsid w:val="00267536"/>
    <w:rsid w:val="00267562"/>
    <w:rsid w:val="00267CA9"/>
    <w:rsid w:val="00270431"/>
    <w:rsid w:val="00271A5A"/>
    <w:rsid w:val="00271AA4"/>
    <w:rsid w:val="00271B40"/>
    <w:rsid w:val="00273192"/>
    <w:rsid w:val="00274CB5"/>
    <w:rsid w:val="002753FF"/>
    <w:rsid w:val="0027554D"/>
    <w:rsid w:val="002772F9"/>
    <w:rsid w:val="0028051F"/>
    <w:rsid w:val="0028090A"/>
    <w:rsid w:val="0028123C"/>
    <w:rsid w:val="002815F9"/>
    <w:rsid w:val="00282FD8"/>
    <w:rsid w:val="0028309A"/>
    <w:rsid w:val="002840AB"/>
    <w:rsid w:val="00284928"/>
    <w:rsid w:val="002849BF"/>
    <w:rsid w:val="0028550A"/>
    <w:rsid w:val="00285CF2"/>
    <w:rsid w:val="00285F38"/>
    <w:rsid w:val="00286037"/>
    <w:rsid w:val="002869AE"/>
    <w:rsid w:val="00287916"/>
    <w:rsid w:val="00291305"/>
    <w:rsid w:val="0029248D"/>
    <w:rsid w:val="002936FF"/>
    <w:rsid w:val="0029433A"/>
    <w:rsid w:val="00295409"/>
    <w:rsid w:val="002956E6"/>
    <w:rsid w:val="002968AF"/>
    <w:rsid w:val="00296C17"/>
    <w:rsid w:val="00296C28"/>
    <w:rsid w:val="00297080"/>
    <w:rsid w:val="00297F4C"/>
    <w:rsid w:val="002A027C"/>
    <w:rsid w:val="002A04EF"/>
    <w:rsid w:val="002A1875"/>
    <w:rsid w:val="002A2092"/>
    <w:rsid w:val="002A2289"/>
    <w:rsid w:val="002A2697"/>
    <w:rsid w:val="002A2AA8"/>
    <w:rsid w:val="002A2DBD"/>
    <w:rsid w:val="002A2FDD"/>
    <w:rsid w:val="002A35B7"/>
    <w:rsid w:val="002A3D14"/>
    <w:rsid w:val="002A3EAA"/>
    <w:rsid w:val="002A47A7"/>
    <w:rsid w:val="002A4966"/>
    <w:rsid w:val="002A4E79"/>
    <w:rsid w:val="002A53D5"/>
    <w:rsid w:val="002A54AD"/>
    <w:rsid w:val="002A68A7"/>
    <w:rsid w:val="002A734B"/>
    <w:rsid w:val="002A7FA7"/>
    <w:rsid w:val="002B003A"/>
    <w:rsid w:val="002B07AD"/>
    <w:rsid w:val="002B0ABE"/>
    <w:rsid w:val="002B1072"/>
    <w:rsid w:val="002B1AFE"/>
    <w:rsid w:val="002B255F"/>
    <w:rsid w:val="002B3559"/>
    <w:rsid w:val="002B35A8"/>
    <w:rsid w:val="002B375F"/>
    <w:rsid w:val="002B396D"/>
    <w:rsid w:val="002B3F85"/>
    <w:rsid w:val="002B4BCF"/>
    <w:rsid w:val="002B5FFC"/>
    <w:rsid w:val="002B613E"/>
    <w:rsid w:val="002B63E7"/>
    <w:rsid w:val="002B766F"/>
    <w:rsid w:val="002B77A2"/>
    <w:rsid w:val="002C0FCD"/>
    <w:rsid w:val="002C1311"/>
    <w:rsid w:val="002C1A90"/>
    <w:rsid w:val="002C273C"/>
    <w:rsid w:val="002C359C"/>
    <w:rsid w:val="002C393B"/>
    <w:rsid w:val="002C39B5"/>
    <w:rsid w:val="002C406F"/>
    <w:rsid w:val="002C5ECB"/>
    <w:rsid w:val="002C65F4"/>
    <w:rsid w:val="002C77AD"/>
    <w:rsid w:val="002C7DAE"/>
    <w:rsid w:val="002D226A"/>
    <w:rsid w:val="002D259B"/>
    <w:rsid w:val="002D3071"/>
    <w:rsid w:val="002D311D"/>
    <w:rsid w:val="002D36D1"/>
    <w:rsid w:val="002D3B31"/>
    <w:rsid w:val="002D47E5"/>
    <w:rsid w:val="002D4D1F"/>
    <w:rsid w:val="002D4EB8"/>
    <w:rsid w:val="002D5344"/>
    <w:rsid w:val="002D5BFF"/>
    <w:rsid w:val="002D7247"/>
    <w:rsid w:val="002D7B96"/>
    <w:rsid w:val="002D7E81"/>
    <w:rsid w:val="002E0455"/>
    <w:rsid w:val="002E0C39"/>
    <w:rsid w:val="002E193E"/>
    <w:rsid w:val="002E25DC"/>
    <w:rsid w:val="002E35B7"/>
    <w:rsid w:val="002E37D6"/>
    <w:rsid w:val="002E3EA1"/>
    <w:rsid w:val="002E41A0"/>
    <w:rsid w:val="002E44F0"/>
    <w:rsid w:val="002E5448"/>
    <w:rsid w:val="002E6BC9"/>
    <w:rsid w:val="002E72C4"/>
    <w:rsid w:val="002E7A7E"/>
    <w:rsid w:val="002F017E"/>
    <w:rsid w:val="002F043E"/>
    <w:rsid w:val="002F0EC1"/>
    <w:rsid w:val="002F1F27"/>
    <w:rsid w:val="002F2307"/>
    <w:rsid w:val="002F2E71"/>
    <w:rsid w:val="002F3318"/>
    <w:rsid w:val="002F34AC"/>
    <w:rsid w:val="002F3716"/>
    <w:rsid w:val="002F4465"/>
    <w:rsid w:val="002F4A60"/>
    <w:rsid w:val="002F59CD"/>
    <w:rsid w:val="002F635C"/>
    <w:rsid w:val="002F76B7"/>
    <w:rsid w:val="002F7A8C"/>
    <w:rsid w:val="002F7CC0"/>
    <w:rsid w:val="00300B7F"/>
    <w:rsid w:val="00301592"/>
    <w:rsid w:val="0030164A"/>
    <w:rsid w:val="00301C40"/>
    <w:rsid w:val="00303CA5"/>
    <w:rsid w:val="00305CE9"/>
    <w:rsid w:val="00306A70"/>
    <w:rsid w:val="00307517"/>
    <w:rsid w:val="00310053"/>
    <w:rsid w:val="00310208"/>
    <w:rsid w:val="003110E9"/>
    <w:rsid w:val="003118EB"/>
    <w:rsid w:val="00311E38"/>
    <w:rsid w:val="0031272C"/>
    <w:rsid w:val="00312E92"/>
    <w:rsid w:val="00313105"/>
    <w:rsid w:val="00313335"/>
    <w:rsid w:val="00313621"/>
    <w:rsid w:val="00315143"/>
    <w:rsid w:val="0031549D"/>
    <w:rsid w:val="003158FF"/>
    <w:rsid w:val="003165A4"/>
    <w:rsid w:val="0031716B"/>
    <w:rsid w:val="00320B14"/>
    <w:rsid w:val="00320C2F"/>
    <w:rsid w:val="003214EB"/>
    <w:rsid w:val="00322105"/>
    <w:rsid w:val="00322135"/>
    <w:rsid w:val="003222E1"/>
    <w:rsid w:val="00322A5E"/>
    <w:rsid w:val="003234FA"/>
    <w:rsid w:val="00323D6A"/>
    <w:rsid w:val="00324263"/>
    <w:rsid w:val="00324813"/>
    <w:rsid w:val="003256B0"/>
    <w:rsid w:val="00325D19"/>
    <w:rsid w:val="0032636D"/>
    <w:rsid w:val="00326C3F"/>
    <w:rsid w:val="00327ABD"/>
    <w:rsid w:val="0033050E"/>
    <w:rsid w:val="00330645"/>
    <w:rsid w:val="00330B9F"/>
    <w:rsid w:val="00331849"/>
    <w:rsid w:val="00331DDA"/>
    <w:rsid w:val="00332E4F"/>
    <w:rsid w:val="003337CF"/>
    <w:rsid w:val="00333E7C"/>
    <w:rsid w:val="0033412E"/>
    <w:rsid w:val="00334856"/>
    <w:rsid w:val="003376FD"/>
    <w:rsid w:val="00340203"/>
    <w:rsid w:val="0034243C"/>
    <w:rsid w:val="00343B37"/>
    <w:rsid w:val="00343F19"/>
    <w:rsid w:val="003443F3"/>
    <w:rsid w:val="00344607"/>
    <w:rsid w:val="00345BF4"/>
    <w:rsid w:val="00346771"/>
    <w:rsid w:val="00347240"/>
    <w:rsid w:val="003472F0"/>
    <w:rsid w:val="00347665"/>
    <w:rsid w:val="003508BF"/>
    <w:rsid w:val="00352324"/>
    <w:rsid w:val="003526AE"/>
    <w:rsid w:val="00353099"/>
    <w:rsid w:val="003546E2"/>
    <w:rsid w:val="00354BDF"/>
    <w:rsid w:val="00354E8A"/>
    <w:rsid w:val="00355B78"/>
    <w:rsid w:val="00356A98"/>
    <w:rsid w:val="00356E7F"/>
    <w:rsid w:val="00357050"/>
    <w:rsid w:val="003578BE"/>
    <w:rsid w:val="0036125C"/>
    <w:rsid w:val="0036235E"/>
    <w:rsid w:val="00362450"/>
    <w:rsid w:val="00362805"/>
    <w:rsid w:val="0036353F"/>
    <w:rsid w:val="00364A22"/>
    <w:rsid w:val="00364B05"/>
    <w:rsid w:val="00364C04"/>
    <w:rsid w:val="0036505B"/>
    <w:rsid w:val="00365499"/>
    <w:rsid w:val="00365978"/>
    <w:rsid w:val="00365D43"/>
    <w:rsid w:val="0036601A"/>
    <w:rsid w:val="003664EA"/>
    <w:rsid w:val="0036668D"/>
    <w:rsid w:val="00370587"/>
    <w:rsid w:val="00371107"/>
    <w:rsid w:val="0037234B"/>
    <w:rsid w:val="00372B8C"/>
    <w:rsid w:val="003736F8"/>
    <w:rsid w:val="00373EA5"/>
    <w:rsid w:val="00375652"/>
    <w:rsid w:val="003762B2"/>
    <w:rsid w:val="0038018B"/>
    <w:rsid w:val="0038022B"/>
    <w:rsid w:val="00380417"/>
    <w:rsid w:val="00380C70"/>
    <w:rsid w:val="0038193D"/>
    <w:rsid w:val="00381F0F"/>
    <w:rsid w:val="00383250"/>
    <w:rsid w:val="00384465"/>
    <w:rsid w:val="003844E4"/>
    <w:rsid w:val="00384595"/>
    <w:rsid w:val="00384880"/>
    <w:rsid w:val="00384EAB"/>
    <w:rsid w:val="003859A5"/>
    <w:rsid w:val="00385ED1"/>
    <w:rsid w:val="00387268"/>
    <w:rsid w:val="00387B26"/>
    <w:rsid w:val="0039029D"/>
    <w:rsid w:val="00390DAA"/>
    <w:rsid w:val="00391157"/>
    <w:rsid w:val="003925E1"/>
    <w:rsid w:val="00392824"/>
    <w:rsid w:val="003928F4"/>
    <w:rsid w:val="003935A9"/>
    <w:rsid w:val="00393630"/>
    <w:rsid w:val="00393661"/>
    <w:rsid w:val="00393B93"/>
    <w:rsid w:val="00394856"/>
    <w:rsid w:val="00394CC3"/>
    <w:rsid w:val="0039537F"/>
    <w:rsid w:val="003965CB"/>
    <w:rsid w:val="003975F5"/>
    <w:rsid w:val="003A0907"/>
    <w:rsid w:val="003A0BE0"/>
    <w:rsid w:val="003A1E18"/>
    <w:rsid w:val="003A2CF8"/>
    <w:rsid w:val="003A383E"/>
    <w:rsid w:val="003A5498"/>
    <w:rsid w:val="003A54B5"/>
    <w:rsid w:val="003A6F90"/>
    <w:rsid w:val="003A7C27"/>
    <w:rsid w:val="003B0FE4"/>
    <w:rsid w:val="003B32BE"/>
    <w:rsid w:val="003B3DF5"/>
    <w:rsid w:val="003B3FDE"/>
    <w:rsid w:val="003B4751"/>
    <w:rsid w:val="003B58B3"/>
    <w:rsid w:val="003B61F4"/>
    <w:rsid w:val="003B6251"/>
    <w:rsid w:val="003B7006"/>
    <w:rsid w:val="003B701A"/>
    <w:rsid w:val="003B74F4"/>
    <w:rsid w:val="003B78BE"/>
    <w:rsid w:val="003C086B"/>
    <w:rsid w:val="003C0E2D"/>
    <w:rsid w:val="003C256B"/>
    <w:rsid w:val="003C2C3D"/>
    <w:rsid w:val="003C31B1"/>
    <w:rsid w:val="003C3711"/>
    <w:rsid w:val="003C4750"/>
    <w:rsid w:val="003C4916"/>
    <w:rsid w:val="003C4F2E"/>
    <w:rsid w:val="003C5079"/>
    <w:rsid w:val="003C6823"/>
    <w:rsid w:val="003C79AD"/>
    <w:rsid w:val="003C7CD1"/>
    <w:rsid w:val="003C7EBB"/>
    <w:rsid w:val="003C7F26"/>
    <w:rsid w:val="003D0003"/>
    <w:rsid w:val="003D003B"/>
    <w:rsid w:val="003D010F"/>
    <w:rsid w:val="003D0A2F"/>
    <w:rsid w:val="003D20BF"/>
    <w:rsid w:val="003D229A"/>
    <w:rsid w:val="003D24D3"/>
    <w:rsid w:val="003D6BCF"/>
    <w:rsid w:val="003D6C77"/>
    <w:rsid w:val="003D7D66"/>
    <w:rsid w:val="003E04B0"/>
    <w:rsid w:val="003E1A23"/>
    <w:rsid w:val="003E1F3C"/>
    <w:rsid w:val="003E25E0"/>
    <w:rsid w:val="003E286D"/>
    <w:rsid w:val="003E2ED6"/>
    <w:rsid w:val="003E3536"/>
    <w:rsid w:val="003E3D7A"/>
    <w:rsid w:val="003E405D"/>
    <w:rsid w:val="003E46D1"/>
    <w:rsid w:val="003E50FD"/>
    <w:rsid w:val="003E59B8"/>
    <w:rsid w:val="003E5EAE"/>
    <w:rsid w:val="003E6FAD"/>
    <w:rsid w:val="003F03A4"/>
    <w:rsid w:val="003F0436"/>
    <w:rsid w:val="003F08C3"/>
    <w:rsid w:val="003F0D40"/>
    <w:rsid w:val="003F0F4D"/>
    <w:rsid w:val="003F1B30"/>
    <w:rsid w:val="003F1E05"/>
    <w:rsid w:val="003F1EA4"/>
    <w:rsid w:val="003F2BA5"/>
    <w:rsid w:val="003F2D2E"/>
    <w:rsid w:val="003F33B3"/>
    <w:rsid w:val="003F36EB"/>
    <w:rsid w:val="003F3E1B"/>
    <w:rsid w:val="003F4641"/>
    <w:rsid w:val="003F6E7B"/>
    <w:rsid w:val="003F72C7"/>
    <w:rsid w:val="003F72C9"/>
    <w:rsid w:val="0040187B"/>
    <w:rsid w:val="004038BF"/>
    <w:rsid w:val="00403EE6"/>
    <w:rsid w:val="0040408A"/>
    <w:rsid w:val="00404513"/>
    <w:rsid w:val="0040632A"/>
    <w:rsid w:val="00406A2C"/>
    <w:rsid w:val="00406CE8"/>
    <w:rsid w:val="00411140"/>
    <w:rsid w:val="004115E5"/>
    <w:rsid w:val="00411890"/>
    <w:rsid w:val="00411D5A"/>
    <w:rsid w:val="00412BBC"/>
    <w:rsid w:val="00412FD5"/>
    <w:rsid w:val="004136B6"/>
    <w:rsid w:val="00414264"/>
    <w:rsid w:val="004144E2"/>
    <w:rsid w:val="00416D6B"/>
    <w:rsid w:val="0041776D"/>
    <w:rsid w:val="00417DC0"/>
    <w:rsid w:val="00421403"/>
    <w:rsid w:val="00421A30"/>
    <w:rsid w:val="00421EA0"/>
    <w:rsid w:val="00423B9F"/>
    <w:rsid w:val="00424B95"/>
    <w:rsid w:val="004253A0"/>
    <w:rsid w:val="004253C3"/>
    <w:rsid w:val="00425B31"/>
    <w:rsid w:val="004273E4"/>
    <w:rsid w:val="0042750B"/>
    <w:rsid w:val="00431E51"/>
    <w:rsid w:val="0043229C"/>
    <w:rsid w:val="00432934"/>
    <w:rsid w:val="00432B5A"/>
    <w:rsid w:val="004338EE"/>
    <w:rsid w:val="00433CC4"/>
    <w:rsid w:val="00433E30"/>
    <w:rsid w:val="004340C9"/>
    <w:rsid w:val="004340EF"/>
    <w:rsid w:val="00435191"/>
    <w:rsid w:val="00435745"/>
    <w:rsid w:val="00435C16"/>
    <w:rsid w:val="0043653B"/>
    <w:rsid w:val="0043692B"/>
    <w:rsid w:val="00436ABC"/>
    <w:rsid w:val="0043705D"/>
    <w:rsid w:val="00437F72"/>
    <w:rsid w:val="00440763"/>
    <w:rsid w:val="00440A09"/>
    <w:rsid w:val="0044104C"/>
    <w:rsid w:val="00442222"/>
    <w:rsid w:val="00442532"/>
    <w:rsid w:val="00442869"/>
    <w:rsid w:val="00442DB3"/>
    <w:rsid w:val="00443413"/>
    <w:rsid w:val="00443592"/>
    <w:rsid w:val="0044367E"/>
    <w:rsid w:val="00443683"/>
    <w:rsid w:val="00443794"/>
    <w:rsid w:val="004439EC"/>
    <w:rsid w:val="00443FBA"/>
    <w:rsid w:val="00445A96"/>
    <w:rsid w:val="004460D4"/>
    <w:rsid w:val="00446B39"/>
    <w:rsid w:val="004471E7"/>
    <w:rsid w:val="00447C23"/>
    <w:rsid w:val="00447F93"/>
    <w:rsid w:val="0045189E"/>
    <w:rsid w:val="00452B3E"/>
    <w:rsid w:val="00453325"/>
    <w:rsid w:val="004534CF"/>
    <w:rsid w:val="00453DDA"/>
    <w:rsid w:val="00454831"/>
    <w:rsid w:val="00454A07"/>
    <w:rsid w:val="004553E2"/>
    <w:rsid w:val="00455783"/>
    <w:rsid w:val="0045581E"/>
    <w:rsid w:val="00456176"/>
    <w:rsid w:val="004571E2"/>
    <w:rsid w:val="004577E3"/>
    <w:rsid w:val="00457C2B"/>
    <w:rsid w:val="00457FD0"/>
    <w:rsid w:val="00460162"/>
    <w:rsid w:val="004605FF"/>
    <w:rsid w:val="00460AE6"/>
    <w:rsid w:val="00460CEE"/>
    <w:rsid w:val="00461C5E"/>
    <w:rsid w:val="00462C9A"/>
    <w:rsid w:val="00463929"/>
    <w:rsid w:val="0046566D"/>
    <w:rsid w:val="00466CCB"/>
    <w:rsid w:val="00466EC7"/>
    <w:rsid w:val="00467245"/>
    <w:rsid w:val="00467420"/>
    <w:rsid w:val="004708C0"/>
    <w:rsid w:val="00471054"/>
    <w:rsid w:val="00471190"/>
    <w:rsid w:val="00471B0A"/>
    <w:rsid w:val="004725AE"/>
    <w:rsid w:val="00473E61"/>
    <w:rsid w:val="004741FC"/>
    <w:rsid w:val="004758A9"/>
    <w:rsid w:val="00475A78"/>
    <w:rsid w:val="00477D52"/>
    <w:rsid w:val="004800A5"/>
    <w:rsid w:val="0048010D"/>
    <w:rsid w:val="0048035E"/>
    <w:rsid w:val="004812F8"/>
    <w:rsid w:val="004817E1"/>
    <w:rsid w:val="0048226D"/>
    <w:rsid w:val="0048328F"/>
    <w:rsid w:val="004845E0"/>
    <w:rsid w:val="004856AB"/>
    <w:rsid w:val="00485757"/>
    <w:rsid w:val="00485890"/>
    <w:rsid w:val="00486324"/>
    <w:rsid w:val="00486BF8"/>
    <w:rsid w:val="004924D1"/>
    <w:rsid w:val="00492574"/>
    <w:rsid w:val="004937D6"/>
    <w:rsid w:val="00493884"/>
    <w:rsid w:val="004958D9"/>
    <w:rsid w:val="00495CD1"/>
    <w:rsid w:val="00495F99"/>
    <w:rsid w:val="00496BF3"/>
    <w:rsid w:val="0049778B"/>
    <w:rsid w:val="004A0AFC"/>
    <w:rsid w:val="004A0DA0"/>
    <w:rsid w:val="004A1009"/>
    <w:rsid w:val="004A19B3"/>
    <w:rsid w:val="004A24D2"/>
    <w:rsid w:val="004A3418"/>
    <w:rsid w:val="004A43A0"/>
    <w:rsid w:val="004A4B54"/>
    <w:rsid w:val="004A4FAC"/>
    <w:rsid w:val="004A5533"/>
    <w:rsid w:val="004A67E6"/>
    <w:rsid w:val="004A6970"/>
    <w:rsid w:val="004A6F77"/>
    <w:rsid w:val="004A7F5F"/>
    <w:rsid w:val="004B05FD"/>
    <w:rsid w:val="004B3784"/>
    <w:rsid w:val="004B3BF3"/>
    <w:rsid w:val="004B3CAB"/>
    <w:rsid w:val="004B4C09"/>
    <w:rsid w:val="004B5A3E"/>
    <w:rsid w:val="004B6614"/>
    <w:rsid w:val="004B70CE"/>
    <w:rsid w:val="004C0E00"/>
    <w:rsid w:val="004C1B30"/>
    <w:rsid w:val="004C2A2C"/>
    <w:rsid w:val="004C3B52"/>
    <w:rsid w:val="004C67AA"/>
    <w:rsid w:val="004C6DAF"/>
    <w:rsid w:val="004C72F1"/>
    <w:rsid w:val="004C7A6D"/>
    <w:rsid w:val="004D12BC"/>
    <w:rsid w:val="004D26F0"/>
    <w:rsid w:val="004D2AA5"/>
    <w:rsid w:val="004D2AC7"/>
    <w:rsid w:val="004D307B"/>
    <w:rsid w:val="004D3576"/>
    <w:rsid w:val="004D3761"/>
    <w:rsid w:val="004D3EFE"/>
    <w:rsid w:val="004D6231"/>
    <w:rsid w:val="004D64A9"/>
    <w:rsid w:val="004E0588"/>
    <w:rsid w:val="004E0599"/>
    <w:rsid w:val="004E08E5"/>
    <w:rsid w:val="004E130D"/>
    <w:rsid w:val="004E1B1A"/>
    <w:rsid w:val="004E4961"/>
    <w:rsid w:val="004E4AB1"/>
    <w:rsid w:val="004E50CA"/>
    <w:rsid w:val="004E531C"/>
    <w:rsid w:val="004E5F25"/>
    <w:rsid w:val="004E603D"/>
    <w:rsid w:val="004E6771"/>
    <w:rsid w:val="004E751E"/>
    <w:rsid w:val="004E7828"/>
    <w:rsid w:val="004E7EEF"/>
    <w:rsid w:val="004F00F4"/>
    <w:rsid w:val="004F178C"/>
    <w:rsid w:val="004F2D16"/>
    <w:rsid w:val="004F3152"/>
    <w:rsid w:val="004F3BB1"/>
    <w:rsid w:val="004F4A04"/>
    <w:rsid w:val="004F6E5C"/>
    <w:rsid w:val="004F70B4"/>
    <w:rsid w:val="004F7569"/>
    <w:rsid w:val="004F7586"/>
    <w:rsid w:val="004F7CF0"/>
    <w:rsid w:val="00501EA7"/>
    <w:rsid w:val="00505420"/>
    <w:rsid w:val="0050582E"/>
    <w:rsid w:val="00506AA2"/>
    <w:rsid w:val="00507360"/>
    <w:rsid w:val="00510B0B"/>
    <w:rsid w:val="00511060"/>
    <w:rsid w:val="00511106"/>
    <w:rsid w:val="00511310"/>
    <w:rsid w:val="005115F5"/>
    <w:rsid w:val="0051315C"/>
    <w:rsid w:val="00514B33"/>
    <w:rsid w:val="00515130"/>
    <w:rsid w:val="005179A3"/>
    <w:rsid w:val="00517E3E"/>
    <w:rsid w:val="00517FDA"/>
    <w:rsid w:val="0052001D"/>
    <w:rsid w:val="005207E6"/>
    <w:rsid w:val="005211FE"/>
    <w:rsid w:val="0052155F"/>
    <w:rsid w:val="005215C8"/>
    <w:rsid w:val="00521D36"/>
    <w:rsid w:val="00522880"/>
    <w:rsid w:val="00522CD1"/>
    <w:rsid w:val="00522D41"/>
    <w:rsid w:val="00522E88"/>
    <w:rsid w:val="00522FB7"/>
    <w:rsid w:val="005237C6"/>
    <w:rsid w:val="0052380B"/>
    <w:rsid w:val="00523819"/>
    <w:rsid w:val="005240E8"/>
    <w:rsid w:val="00524B30"/>
    <w:rsid w:val="00525267"/>
    <w:rsid w:val="00526255"/>
    <w:rsid w:val="00527540"/>
    <w:rsid w:val="005277EE"/>
    <w:rsid w:val="00530F16"/>
    <w:rsid w:val="00531558"/>
    <w:rsid w:val="0053254B"/>
    <w:rsid w:val="0053280C"/>
    <w:rsid w:val="005339CA"/>
    <w:rsid w:val="005340FF"/>
    <w:rsid w:val="00534901"/>
    <w:rsid w:val="00534FC8"/>
    <w:rsid w:val="00536366"/>
    <w:rsid w:val="00536AB1"/>
    <w:rsid w:val="00536F49"/>
    <w:rsid w:val="00537168"/>
    <w:rsid w:val="005374FD"/>
    <w:rsid w:val="00537727"/>
    <w:rsid w:val="00537969"/>
    <w:rsid w:val="0054089D"/>
    <w:rsid w:val="0054097F"/>
    <w:rsid w:val="00541624"/>
    <w:rsid w:val="005428F8"/>
    <w:rsid w:val="005440F6"/>
    <w:rsid w:val="0054462D"/>
    <w:rsid w:val="00544F46"/>
    <w:rsid w:val="00545AE0"/>
    <w:rsid w:val="00546443"/>
    <w:rsid w:val="00547612"/>
    <w:rsid w:val="00547CA2"/>
    <w:rsid w:val="0055346A"/>
    <w:rsid w:val="00553EB3"/>
    <w:rsid w:val="005543A8"/>
    <w:rsid w:val="00554E73"/>
    <w:rsid w:val="005555F7"/>
    <w:rsid w:val="00555A60"/>
    <w:rsid w:val="00556ADF"/>
    <w:rsid w:val="00556DD5"/>
    <w:rsid w:val="0056003D"/>
    <w:rsid w:val="00560AD1"/>
    <w:rsid w:val="00560E25"/>
    <w:rsid w:val="00560F83"/>
    <w:rsid w:val="005618A3"/>
    <w:rsid w:val="00563938"/>
    <w:rsid w:val="00563993"/>
    <w:rsid w:val="00565C36"/>
    <w:rsid w:val="00570B01"/>
    <w:rsid w:val="0057180D"/>
    <w:rsid w:val="00572547"/>
    <w:rsid w:val="0057432F"/>
    <w:rsid w:val="005773EA"/>
    <w:rsid w:val="00577962"/>
    <w:rsid w:val="00580E9E"/>
    <w:rsid w:val="00581123"/>
    <w:rsid w:val="00581388"/>
    <w:rsid w:val="00581626"/>
    <w:rsid w:val="00582746"/>
    <w:rsid w:val="00582F30"/>
    <w:rsid w:val="00583EFF"/>
    <w:rsid w:val="005843FD"/>
    <w:rsid w:val="00584B77"/>
    <w:rsid w:val="00585711"/>
    <w:rsid w:val="00590A04"/>
    <w:rsid w:val="005911FD"/>
    <w:rsid w:val="0059222A"/>
    <w:rsid w:val="00592383"/>
    <w:rsid w:val="00592564"/>
    <w:rsid w:val="00592D2F"/>
    <w:rsid w:val="00593A62"/>
    <w:rsid w:val="005944E1"/>
    <w:rsid w:val="00595211"/>
    <w:rsid w:val="00595D02"/>
    <w:rsid w:val="00596027"/>
    <w:rsid w:val="00596107"/>
    <w:rsid w:val="00596772"/>
    <w:rsid w:val="00596B86"/>
    <w:rsid w:val="00596D16"/>
    <w:rsid w:val="00597725"/>
    <w:rsid w:val="005A05A0"/>
    <w:rsid w:val="005A0B69"/>
    <w:rsid w:val="005A198F"/>
    <w:rsid w:val="005A1E1B"/>
    <w:rsid w:val="005A24EC"/>
    <w:rsid w:val="005A3025"/>
    <w:rsid w:val="005A322A"/>
    <w:rsid w:val="005A37D1"/>
    <w:rsid w:val="005A47E2"/>
    <w:rsid w:val="005A4EE8"/>
    <w:rsid w:val="005A5A54"/>
    <w:rsid w:val="005A5AF3"/>
    <w:rsid w:val="005A66AA"/>
    <w:rsid w:val="005A6901"/>
    <w:rsid w:val="005A6DBE"/>
    <w:rsid w:val="005A7062"/>
    <w:rsid w:val="005A77D2"/>
    <w:rsid w:val="005A79BB"/>
    <w:rsid w:val="005B097D"/>
    <w:rsid w:val="005B09D2"/>
    <w:rsid w:val="005B0A85"/>
    <w:rsid w:val="005B0C2B"/>
    <w:rsid w:val="005B11B1"/>
    <w:rsid w:val="005B1320"/>
    <w:rsid w:val="005B2FB7"/>
    <w:rsid w:val="005B3DD3"/>
    <w:rsid w:val="005B3E3D"/>
    <w:rsid w:val="005B5583"/>
    <w:rsid w:val="005B5CD0"/>
    <w:rsid w:val="005B5D3E"/>
    <w:rsid w:val="005B6541"/>
    <w:rsid w:val="005B6A27"/>
    <w:rsid w:val="005B7267"/>
    <w:rsid w:val="005C01B2"/>
    <w:rsid w:val="005C07A9"/>
    <w:rsid w:val="005C1628"/>
    <w:rsid w:val="005C261B"/>
    <w:rsid w:val="005C2A94"/>
    <w:rsid w:val="005C30E7"/>
    <w:rsid w:val="005C33C4"/>
    <w:rsid w:val="005C381D"/>
    <w:rsid w:val="005C5A08"/>
    <w:rsid w:val="005C5A87"/>
    <w:rsid w:val="005C7569"/>
    <w:rsid w:val="005C7ED3"/>
    <w:rsid w:val="005D00CA"/>
    <w:rsid w:val="005D1D5C"/>
    <w:rsid w:val="005D1F6B"/>
    <w:rsid w:val="005D40FE"/>
    <w:rsid w:val="005D4EEE"/>
    <w:rsid w:val="005D5901"/>
    <w:rsid w:val="005D5A57"/>
    <w:rsid w:val="005D622C"/>
    <w:rsid w:val="005D6A2B"/>
    <w:rsid w:val="005D7316"/>
    <w:rsid w:val="005E1D8B"/>
    <w:rsid w:val="005E3682"/>
    <w:rsid w:val="005E3F82"/>
    <w:rsid w:val="005E4AB2"/>
    <w:rsid w:val="005E5592"/>
    <w:rsid w:val="005E592A"/>
    <w:rsid w:val="005E6ACC"/>
    <w:rsid w:val="005E6B18"/>
    <w:rsid w:val="005E6EA4"/>
    <w:rsid w:val="005E6F51"/>
    <w:rsid w:val="005E72D0"/>
    <w:rsid w:val="005E7382"/>
    <w:rsid w:val="005F0BBB"/>
    <w:rsid w:val="005F11DA"/>
    <w:rsid w:val="005F1C05"/>
    <w:rsid w:val="005F306B"/>
    <w:rsid w:val="005F3EA0"/>
    <w:rsid w:val="005F4E99"/>
    <w:rsid w:val="005F5A44"/>
    <w:rsid w:val="005F5C87"/>
    <w:rsid w:val="005F651C"/>
    <w:rsid w:val="005F78AB"/>
    <w:rsid w:val="006006DF"/>
    <w:rsid w:val="00601014"/>
    <w:rsid w:val="00602581"/>
    <w:rsid w:val="00602931"/>
    <w:rsid w:val="00602DDF"/>
    <w:rsid w:val="0060329C"/>
    <w:rsid w:val="0060356C"/>
    <w:rsid w:val="006037DF"/>
    <w:rsid w:val="00603E92"/>
    <w:rsid w:val="00604222"/>
    <w:rsid w:val="006059EB"/>
    <w:rsid w:val="00606684"/>
    <w:rsid w:val="0060691F"/>
    <w:rsid w:val="006073EB"/>
    <w:rsid w:val="006106A6"/>
    <w:rsid w:val="006106ED"/>
    <w:rsid w:val="00611261"/>
    <w:rsid w:val="006112D0"/>
    <w:rsid w:val="006114A8"/>
    <w:rsid w:val="0061288F"/>
    <w:rsid w:val="00612924"/>
    <w:rsid w:val="00614907"/>
    <w:rsid w:val="00614968"/>
    <w:rsid w:val="0061518D"/>
    <w:rsid w:val="00615327"/>
    <w:rsid w:val="00616E31"/>
    <w:rsid w:val="00620FB0"/>
    <w:rsid w:val="006212D8"/>
    <w:rsid w:val="00621AB3"/>
    <w:rsid w:val="00621B9D"/>
    <w:rsid w:val="00622362"/>
    <w:rsid w:val="00622B51"/>
    <w:rsid w:val="00622B87"/>
    <w:rsid w:val="00623380"/>
    <w:rsid w:val="00624721"/>
    <w:rsid w:val="00624741"/>
    <w:rsid w:val="00624A1E"/>
    <w:rsid w:val="006266C2"/>
    <w:rsid w:val="00626B33"/>
    <w:rsid w:val="006273FC"/>
    <w:rsid w:val="0062741F"/>
    <w:rsid w:val="00627CC1"/>
    <w:rsid w:val="00630A17"/>
    <w:rsid w:val="006321DF"/>
    <w:rsid w:val="00632267"/>
    <w:rsid w:val="006326A6"/>
    <w:rsid w:val="00632E48"/>
    <w:rsid w:val="00632EEB"/>
    <w:rsid w:val="00632FC9"/>
    <w:rsid w:val="00633074"/>
    <w:rsid w:val="00633118"/>
    <w:rsid w:val="006345BE"/>
    <w:rsid w:val="00634E66"/>
    <w:rsid w:val="0063598E"/>
    <w:rsid w:val="00636B71"/>
    <w:rsid w:val="0063750A"/>
    <w:rsid w:val="0063762C"/>
    <w:rsid w:val="00637FA6"/>
    <w:rsid w:val="00637FCD"/>
    <w:rsid w:val="00640EE6"/>
    <w:rsid w:val="00641FE8"/>
    <w:rsid w:val="00642A78"/>
    <w:rsid w:val="00642E46"/>
    <w:rsid w:val="00642F81"/>
    <w:rsid w:val="0064335D"/>
    <w:rsid w:val="00643659"/>
    <w:rsid w:val="00646254"/>
    <w:rsid w:val="006465B8"/>
    <w:rsid w:val="00646C53"/>
    <w:rsid w:val="00646CBD"/>
    <w:rsid w:val="006478E0"/>
    <w:rsid w:val="00650AD0"/>
    <w:rsid w:val="00652326"/>
    <w:rsid w:val="006533EE"/>
    <w:rsid w:val="00653CA3"/>
    <w:rsid w:val="0065465B"/>
    <w:rsid w:val="0065510C"/>
    <w:rsid w:val="006551CA"/>
    <w:rsid w:val="0065583F"/>
    <w:rsid w:val="00655BFD"/>
    <w:rsid w:val="006564AA"/>
    <w:rsid w:val="00663A9A"/>
    <w:rsid w:val="00663AA4"/>
    <w:rsid w:val="00664523"/>
    <w:rsid w:val="0066495E"/>
    <w:rsid w:val="00664AE8"/>
    <w:rsid w:val="00665617"/>
    <w:rsid w:val="00666485"/>
    <w:rsid w:val="00666C58"/>
    <w:rsid w:val="00666D1B"/>
    <w:rsid w:val="00667757"/>
    <w:rsid w:val="00670F64"/>
    <w:rsid w:val="006716FE"/>
    <w:rsid w:val="006718CB"/>
    <w:rsid w:val="00671F3A"/>
    <w:rsid w:val="006720B7"/>
    <w:rsid w:val="00673788"/>
    <w:rsid w:val="00674DAF"/>
    <w:rsid w:val="0067546B"/>
    <w:rsid w:val="00675684"/>
    <w:rsid w:val="00675A2A"/>
    <w:rsid w:val="00675CAE"/>
    <w:rsid w:val="0067612D"/>
    <w:rsid w:val="00676A53"/>
    <w:rsid w:val="00676D17"/>
    <w:rsid w:val="00677217"/>
    <w:rsid w:val="00677D12"/>
    <w:rsid w:val="00677DB2"/>
    <w:rsid w:val="00680158"/>
    <w:rsid w:val="00680680"/>
    <w:rsid w:val="006807AB"/>
    <w:rsid w:val="00681203"/>
    <w:rsid w:val="00681938"/>
    <w:rsid w:val="00681DE1"/>
    <w:rsid w:val="0068252F"/>
    <w:rsid w:val="006825EF"/>
    <w:rsid w:val="0068340F"/>
    <w:rsid w:val="0068358B"/>
    <w:rsid w:val="006836CE"/>
    <w:rsid w:val="00684562"/>
    <w:rsid w:val="006857F0"/>
    <w:rsid w:val="00687D2F"/>
    <w:rsid w:val="00690305"/>
    <w:rsid w:val="0069038D"/>
    <w:rsid w:val="00691913"/>
    <w:rsid w:val="00691A48"/>
    <w:rsid w:val="006920C2"/>
    <w:rsid w:val="00692367"/>
    <w:rsid w:val="00693722"/>
    <w:rsid w:val="0069376E"/>
    <w:rsid w:val="006937D4"/>
    <w:rsid w:val="006949E9"/>
    <w:rsid w:val="00695206"/>
    <w:rsid w:val="00695909"/>
    <w:rsid w:val="00695BD6"/>
    <w:rsid w:val="00695DEA"/>
    <w:rsid w:val="00696B17"/>
    <w:rsid w:val="006976ED"/>
    <w:rsid w:val="006A1675"/>
    <w:rsid w:val="006A3AA3"/>
    <w:rsid w:val="006A45C0"/>
    <w:rsid w:val="006A5953"/>
    <w:rsid w:val="006A6E4C"/>
    <w:rsid w:val="006A742F"/>
    <w:rsid w:val="006B04BD"/>
    <w:rsid w:val="006B0868"/>
    <w:rsid w:val="006B0DD7"/>
    <w:rsid w:val="006B1012"/>
    <w:rsid w:val="006B10AF"/>
    <w:rsid w:val="006B1C68"/>
    <w:rsid w:val="006B29D1"/>
    <w:rsid w:val="006B3C81"/>
    <w:rsid w:val="006B4B6F"/>
    <w:rsid w:val="006B515A"/>
    <w:rsid w:val="006B5AE6"/>
    <w:rsid w:val="006B640A"/>
    <w:rsid w:val="006C035B"/>
    <w:rsid w:val="006C06A3"/>
    <w:rsid w:val="006C06F7"/>
    <w:rsid w:val="006C0CCD"/>
    <w:rsid w:val="006C1FEF"/>
    <w:rsid w:val="006C24CE"/>
    <w:rsid w:val="006C48CA"/>
    <w:rsid w:val="006C5714"/>
    <w:rsid w:val="006C710E"/>
    <w:rsid w:val="006C7607"/>
    <w:rsid w:val="006D248F"/>
    <w:rsid w:val="006D2522"/>
    <w:rsid w:val="006D28D3"/>
    <w:rsid w:val="006D2A10"/>
    <w:rsid w:val="006D469D"/>
    <w:rsid w:val="006D5476"/>
    <w:rsid w:val="006D549A"/>
    <w:rsid w:val="006D5ABA"/>
    <w:rsid w:val="006D6851"/>
    <w:rsid w:val="006D6C1F"/>
    <w:rsid w:val="006D6CD8"/>
    <w:rsid w:val="006D7750"/>
    <w:rsid w:val="006D790D"/>
    <w:rsid w:val="006D7CCF"/>
    <w:rsid w:val="006E00F7"/>
    <w:rsid w:val="006E03E5"/>
    <w:rsid w:val="006E0486"/>
    <w:rsid w:val="006E0B32"/>
    <w:rsid w:val="006E14D2"/>
    <w:rsid w:val="006E17FB"/>
    <w:rsid w:val="006E1853"/>
    <w:rsid w:val="006E189A"/>
    <w:rsid w:val="006E31A6"/>
    <w:rsid w:val="006E3782"/>
    <w:rsid w:val="006E3D5A"/>
    <w:rsid w:val="006E4ACE"/>
    <w:rsid w:val="006E54BA"/>
    <w:rsid w:val="006E5E01"/>
    <w:rsid w:val="006E74C1"/>
    <w:rsid w:val="006E7795"/>
    <w:rsid w:val="006E78C1"/>
    <w:rsid w:val="006F0104"/>
    <w:rsid w:val="006F0619"/>
    <w:rsid w:val="006F07B0"/>
    <w:rsid w:val="006F07D5"/>
    <w:rsid w:val="006F0B11"/>
    <w:rsid w:val="006F0CCE"/>
    <w:rsid w:val="006F0D43"/>
    <w:rsid w:val="006F10E6"/>
    <w:rsid w:val="006F192E"/>
    <w:rsid w:val="006F1B13"/>
    <w:rsid w:val="006F1FE1"/>
    <w:rsid w:val="006F3D7B"/>
    <w:rsid w:val="006F5339"/>
    <w:rsid w:val="006F6B63"/>
    <w:rsid w:val="006F7473"/>
    <w:rsid w:val="006F7F62"/>
    <w:rsid w:val="00700E0A"/>
    <w:rsid w:val="00701BBB"/>
    <w:rsid w:val="007021B7"/>
    <w:rsid w:val="0070273E"/>
    <w:rsid w:val="00704A4B"/>
    <w:rsid w:val="007050F8"/>
    <w:rsid w:val="00705DEB"/>
    <w:rsid w:val="007060CC"/>
    <w:rsid w:val="00706170"/>
    <w:rsid w:val="00706F27"/>
    <w:rsid w:val="0070752E"/>
    <w:rsid w:val="0071001D"/>
    <w:rsid w:val="00710690"/>
    <w:rsid w:val="00710E12"/>
    <w:rsid w:val="00711E1D"/>
    <w:rsid w:val="00713970"/>
    <w:rsid w:val="00714203"/>
    <w:rsid w:val="007156B7"/>
    <w:rsid w:val="00715B30"/>
    <w:rsid w:val="007164CF"/>
    <w:rsid w:val="00716DCD"/>
    <w:rsid w:val="007176AA"/>
    <w:rsid w:val="007177A5"/>
    <w:rsid w:val="007202B8"/>
    <w:rsid w:val="00720B65"/>
    <w:rsid w:val="00720C31"/>
    <w:rsid w:val="00720FDF"/>
    <w:rsid w:val="007215F1"/>
    <w:rsid w:val="007226F9"/>
    <w:rsid w:val="00723C66"/>
    <w:rsid w:val="00723E76"/>
    <w:rsid w:val="00723FCF"/>
    <w:rsid w:val="00724407"/>
    <w:rsid w:val="0072454C"/>
    <w:rsid w:val="007250D1"/>
    <w:rsid w:val="00725EAA"/>
    <w:rsid w:val="00727210"/>
    <w:rsid w:val="00727C27"/>
    <w:rsid w:val="0073007D"/>
    <w:rsid w:val="00730409"/>
    <w:rsid w:val="00733525"/>
    <w:rsid w:val="00733DC7"/>
    <w:rsid w:val="00734429"/>
    <w:rsid w:val="00734532"/>
    <w:rsid w:val="00734925"/>
    <w:rsid w:val="00734989"/>
    <w:rsid w:val="00735347"/>
    <w:rsid w:val="00735866"/>
    <w:rsid w:val="00735C38"/>
    <w:rsid w:val="0073638C"/>
    <w:rsid w:val="00736A96"/>
    <w:rsid w:val="00736C19"/>
    <w:rsid w:val="00736D3E"/>
    <w:rsid w:val="00736D6E"/>
    <w:rsid w:val="00737D4F"/>
    <w:rsid w:val="00740078"/>
    <w:rsid w:val="007415CB"/>
    <w:rsid w:val="00741CB1"/>
    <w:rsid w:val="007423A9"/>
    <w:rsid w:val="007444C3"/>
    <w:rsid w:val="007447C0"/>
    <w:rsid w:val="007449E4"/>
    <w:rsid w:val="00744C04"/>
    <w:rsid w:val="00744C9A"/>
    <w:rsid w:val="00745C4D"/>
    <w:rsid w:val="00745E58"/>
    <w:rsid w:val="00746AC3"/>
    <w:rsid w:val="0075069C"/>
    <w:rsid w:val="007517E9"/>
    <w:rsid w:val="007519D1"/>
    <w:rsid w:val="00751E80"/>
    <w:rsid w:val="00752642"/>
    <w:rsid w:val="00752868"/>
    <w:rsid w:val="0075443F"/>
    <w:rsid w:val="007555B6"/>
    <w:rsid w:val="00755DBD"/>
    <w:rsid w:val="007562B1"/>
    <w:rsid w:val="00756859"/>
    <w:rsid w:val="00762A95"/>
    <w:rsid w:val="00762D08"/>
    <w:rsid w:val="007638F5"/>
    <w:rsid w:val="007638F9"/>
    <w:rsid w:val="00763EC6"/>
    <w:rsid w:val="00764845"/>
    <w:rsid w:val="007648FD"/>
    <w:rsid w:val="00765680"/>
    <w:rsid w:val="00765E90"/>
    <w:rsid w:val="00770A28"/>
    <w:rsid w:val="00771195"/>
    <w:rsid w:val="00772ECA"/>
    <w:rsid w:val="00773207"/>
    <w:rsid w:val="00773825"/>
    <w:rsid w:val="00774966"/>
    <w:rsid w:val="00774DA7"/>
    <w:rsid w:val="007751A9"/>
    <w:rsid w:val="007759CF"/>
    <w:rsid w:val="00775C37"/>
    <w:rsid w:val="0077716E"/>
    <w:rsid w:val="00777C06"/>
    <w:rsid w:val="00777D86"/>
    <w:rsid w:val="00777DF1"/>
    <w:rsid w:val="00777F33"/>
    <w:rsid w:val="00780C71"/>
    <w:rsid w:val="007818DB"/>
    <w:rsid w:val="007825B0"/>
    <w:rsid w:val="00782B37"/>
    <w:rsid w:val="007830FB"/>
    <w:rsid w:val="00783D72"/>
    <w:rsid w:val="007846AB"/>
    <w:rsid w:val="00784CF1"/>
    <w:rsid w:val="00785741"/>
    <w:rsid w:val="007858B1"/>
    <w:rsid w:val="00786F56"/>
    <w:rsid w:val="00786F65"/>
    <w:rsid w:val="0079120F"/>
    <w:rsid w:val="00792052"/>
    <w:rsid w:val="00792513"/>
    <w:rsid w:val="0079283D"/>
    <w:rsid w:val="00792E7D"/>
    <w:rsid w:val="007938DE"/>
    <w:rsid w:val="007939CD"/>
    <w:rsid w:val="00793BFF"/>
    <w:rsid w:val="007940E1"/>
    <w:rsid w:val="00794159"/>
    <w:rsid w:val="0079612B"/>
    <w:rsid w:val="00796E72"/>
    <w:rsid w:val="00797125"/>
    <w:rsid w:val="00797FE7"/>
    <w:rsid w:val="007A01C4"/>
    <w:rsid w:val="007A0EE6"/>
    <w:rsid w:val="007A2930"/>
    <w:rsid w:val="007A2CAF"/>
    <w:rsid w:val="007A3FAC"/>
    <w:rsid w:val="007A3FD8"/>
    <w:rsid w:val="007A4762"/>
    <w:rsid w:val="007A4ADF"/>
    <w:rsid w:val="007A7160"/>
    <w:rsid w:val="007A746C"/>
    <w:rsid w:val="007A74A6"/>
    <w:rsid w:val="007A7C31"/>
    <w:rsid w:val="007B24E0"/>
    <w:rsid w:val="007B2A6B"/>
    <w:rsid w:val="007B2B02"/>
    <w:rsid w:val="007B2CA6"/>
    <w:rsid w:val="007B37BB"/>
    <w:rsid w:val="007B4AFA"/>
    <w:rsid w:val="007B6791"/>
    <w:rsid w:val="007C018F"/>
    <w:rsid w:val="007C084C"/>
    <w:rsid w:val="007C1068"/>
    <w:rsid w:val="007C1207"/>
    <w:rsid w:val="007C2E8E"/>
    <w:rsid w:val="007C3507"/>
    <w:rsid w:val="007C39C1"/>
    <w:rsid w:val="007C3B2D"/>
    <w:rsid w:val="007C47B3"/>
    <w:rsid w:val="007C4D66"/>
    <w:rsid w:val="007C5914"/>
    <w:rsid w:val="007C799A"/>
    <w:rsid w:val="007C7B9E"/>
    <w:rsid w:val="007D0059"/>
    <w:rsid w:val="007D1410"/>
    <w:rsid w:val="007D16F1"/>
    <w:rsid w:val="007D1A11"/>
    <w:rsid w:val="007D335F"/>
    <w:rsid w:val="007D3F3F"/>
    <w:rsid w:val="007D41D6"/>
    <w:rsid w:val="007D4AB0"/>
    <w:rsid w:val="007D5325"/>
    <w:rsid w:val="007E0AD1"/>
    <w:rsid w:val="007E1728"/>
    <w:rsid w:val="007E1F5C"/>
    <w:rsid w:val="007E26E9"/>
    <w:rsid w:val="007E4A08"/>
    <w:rsid w:val="007E4B67"/>
    <w:rsid w:val="007E61E9"/>
    <w:rsid w:val="007E6AE4"/>
    <w:rsid w:val="007E6D4C"/>
    <w:rsid w:val="007E7D89"/>
    <w:rsid w:val="007F062C"/>
    <w:rsid w:val="007F0A83"/>
    <w:rsid w:val="007F153B"/>
    <w:rsid w:val="007F1816"/>
    <w:rsid w:val="007F1AB4"/>
    <w:rsid w:val="007F2DB6"/>
    <w:rsid w:val="007F344F"/>
    <w:rsid w:val="007F3D39"/>
    <w:rsid w:val="007F491F"/>
    <w:rsid w:val="007F580C"/>
    <w:rsid w:val="007F6E44"/>
    <w:rsid w:val="007F7935"/>
    <w:rsid w:val="007F79AB"/>
    <w:rsid w:val="0080025F"/>
    <w:rsid w:val="00801C87"/>
    <w:rsid w:val="00801E1D"/>
    <w:rsid w:val="00801E69"/>
    <w:rsid w:val="00801E80"/>
    <w:rsid w:val="00802492"/>
    <w:rsid w:val="00802790"/>
    <w:rsid w:val="00803E89"/>
    <w:rsid w:val="0080455D"/>
    <w:rsid w:val="008045B5"/>
    <w:rsid w:val="00804D07"/>
    <w:rsid w:val="008051FB"/>
    <w:rsid w:val="00805536"/>
    <w:rsid w:val="0080565B"/>
    <w:rsid w:val="008067F4"/>
    <w:rsid w:val="00806FA8"/>
    <w:rsid w:val="008104B8"/>
    <w:rsid w:val="008105F5"/>
    <w:rsid w:val="00812310"/>
    <w:rsid w:val="00812863"/>
    <w:rsid w:val="00813784"/>
    <w:rsid w:val="008142A5"/>
    <w:rsid w:val="008149A8"/>
    <w:rsid w:val="008166C5"/>
    <w:rsid w:val="00816703"/>
    <w:rsid w:val="008207D2"/>
    <w:rsid w:val="0082155F"/>
    <w:rsid w:val="00821A0B"/>
    <w:rsid w:val="008221F7"/>
    <w:rsid w:val="00822480"/>
    <w:rsid w:val="00822D4D"/>
    <w:rsid w:val="00823384"/>
    <w:rsid w:val="008235C2"/>
    <w:rsid w:val="00823791"/>
    <w:rsid w:val="00823C50"/>
    <w:rsid w:val="0082461B"/>
    <w:rsid w:val="008249F8"/>
    <w:rsid w:val="00825B07"/>
    <w:rsid w:val="00827C36"/>
    <w:rsid w:val="0083031F"/>
    <w:rsid w:val="008318ED"/>
    <w:rsid w:val="00831D29"/>
    <w:rsid w:val="00831F4C"/>
    <w:rsid w:val="0083458A"/>
    <w:rsid w:val="00834885"/>
    <w:rsid w:val="00834B6E"/>
    <w:rsid w:val="008353DA"/>
    <w:rsid w:val="00835A8D"/>
    <w:rsid w:val="00835C78"/>
    <w:rsid w:val="00836D83"/>
    <w:rsid w:val="0083713D"/>
    <w:rsid w:val="0083718E"/>
    <w:rsid w:val="008400CF"/>
    <w:rsid w:val="0084166D"/>
    <w:rsid w:val="0084183E"/>
    <w:rsid w:val="008435B7"/>
    <w:rsid w:val="00844647"/>
    <w:rsid w:val="00845961"/>
    <w:rsid w:val="00846567"/>
    <w:rsid w:val="0084701E"/>
    <w:rsid w:val="008502C8"/>
    <w:rsid w:val="00850B1C"/>
    <w:rsid w:val="00850E12"/>
    <w:rsid w:val="008522E1"/>
    <w:rsid w:val="008524B7"/>
    <w:rsid w:val="008526F2"/>
    <w:rsid w:val="0085301B"/>
    <w:rsid w:val="00853593"/>
    <w:rsid w:val="0085518F"/>
    <w:rsid w:val="0085521B"/>
    <w:rsid w:val="00856086"/>
    <w:rsid w:val="008560ED"/>
    <w:rsid w:val="00856C73"/>
    <w:rsid w:val="008575C3"/>
    <w:rsid w:val="008579C2"/>
    <w:rsid w:val="00857AD9"/>
    <w:rsid w:val="0086027A"/>
    <w:rsid w:val="00861366"/>
    <w:rsid w:val="00862EE8"/>
    <w:rsid w:val="008637B2"/>
    <w:rsid w:val="00864065"/>
    <w:rsid w:val="00864824"/>
    <w:rsid w:val="00865D2F"/>
    <w:rsid w:val="00866813"/>
    <w:rsid w:val="00867765"/>
    <w:rsid w:val="00867A66"/>
    <w:rsid w:val="00870646"/>
    <w:rsid w:val="008708F7"/>
    <w:rsid w:val="00871A7A"/>
    <w:rsid w:val="00872740"/>
    <w:rsid w:val="008727CE"/>
    <w:rsid w:val="008729AF"/>
    <w:rsid w:val="00874714"/>
    <w:rsid w:val="008747BF"/>
    <w:rsid w:val="0087609F"/>
    <w:rsid w:val="00876FEC"/>
    <w:rsid w:val="0087701E"/>
    <w:rsid w:val="008805FD"/>
    <w:rsid w:val="00882126"/>
    <w:rsid w:val="00882F16"/>
    <w:rsid w:val="0088371F"/>
    <w:rsid w:val="008847B0"/>
    <w:rsid w:val="00885649"/>
    <w:rsid w:val="00886A23"/>
    <w:rsid w:val="00887957"/>
    <w:rsid w:val="00887A05"/>
    <w:rsid w:val="00887DE1"/>
    <w:rsid w:val="00891063"/>
    <w:rsid w:val="0089167A"/>
    <w:rsid w:val="008922C9"/>
    <w:rsid w:val="00894244"/>
    <w:rsid w:val="008960F1"/>
    <w:rsid w:val="00896E10"/>
    <w:rsid w:val="00896FAF"/>
    <w:rsid w:val="00897DE3"/>
    <w:rsid w:val="008A1299"/>
    <w:rsid w:val="008A1658"/>
    <w:rsid w:val="008A25BD"/>
    <w:rsid w:val="008A262B"/>
    <w:rsid w:val="008A2A7F"/>
    <w:rsid w:val="008A31B8"/>
    <w:rsid w:val="008A3636"/>
    <w:rsid w:val="008A4130"/>
    <w:rsid w:val="008A6050"/>
    <w:rsid w:val="008A632B"/>
    <w:rsid w:val="008A6FAA"/>
    <w:rsid w:val="008A7549"/>
    <w:rsid w:val="008A770B"/>
    <w:rsid w:val="008A78B6"/>
    <w:rsid w:val="008B0C41"/>
    <w:rsid w:val="008B1643"/>
    <w:rsid w:val="008B16DD"/>
    <w:rsid w:val="008B2E1F"/>
    <w:rsid w:val="008B5BBC"/>
    <w:rsid w:val="008B6917"/>
    <w:rsid w:val="008B6C06"/>
    <w:rsid w:val="008B73BE"/>
    <w:rsid w:val="008B7B7A"/>
    <w:rsid w:val="008B7BEC"/>
    <w:rsid w:val="008C0C39"/>
    <w:rsid w:val="008C1E6E"/>
    <w:rsid w:val="008C27B2"/>
    <w:rsid w:val="008C3D1F"/>
    <w:rsid w:val="008C41A4"/>
    <w:rsid w:val="008C4435"/>
    <w:rsid w:val="008C46B8"/>
    <w:rsid w:val="008C4E9A"/>
    <w:rsid w:val="008C73C0"/>
    <w:rsid w:val="008C7561"/>
    <w:rsid w:val="008C7E8F"/>
    <w:rsid w:val="008D0CE2"/>
    <w:rsid w:val="008D0FDB"/>
    <w:rsid w:val="008D14BA"/>
    <w:rsid w:val="008D1832"/>
    <w:rsid w:val="008D3539"/>
    <w:rsid w:val="008D369E"/>
    <w:rsid w:val="008D3A11"/>
    <w:rsid w:val="008D501E"/>
    <w:rsid w:val="008D5EB6"/>
    <w:rsid w:val="008D693B"/>
    <w:rsid w:val="008D6E31"/>
    <w:rsid w:val="008E103C"/>
    <w:rsid w:val="008E1C0F"/>
    <w:rsid w:val="008E26B2"/>
    <w:rsid w:val="008E3596"/>
    <w:rsid w:val="008E38A9"/>
    <w:rsid w:val="008E5512"/>
    <w:rsid w:val="008E603F"/>
    <w:rsid w:val="008E63BC"/>
    <w:rsid w:val="008E65B8"/>
    <w:rsid w:val="008E6846"/>
    <w:rsid w:val="008E6AF0"/>
    <w:rsid w:val="008E6F46"/>
    <w:rsid w:val="008E7101"/>
    <w:rsid w:val="008E7751"/>
    <w:rsid w:val="008F0C0F"/>
    <w:rsid w:val="008F0E5C"/>
    <w:rsid w:val="008F1DD9"/>
    <w:rsid w:val="008F1E39"/>
    <w:rsid w:val="008F30F3"/>
    <w:rsid w:val="008F3537"/>
    <w:rsid w:val="008F545B"/>
    <w:rsid w:val="008F765D"/>
    <w:rsid w:val="008F76B1"/>
    <w:rsid w:val="008F7A84"/>
    <w:rsid w:val="0090217C"/>
    <w:rsid w:val="00903B9C"/>
    <w:rsid w:val="0090480D"/>
    <w:rsid w:val="009048C7"/>
    <w:rsid w:val="00905D75"/>
    <w:rsid w:val="00906825"/>
    <w:rsid w:val="00907040"/>
    <w:rsid w:val="0090765C"/>
    <w:rsid w:val="00910581"/>
    <w:rsid w:val="00910DA0"/>
    <w:rsid w:val="00910EA1"/>
    <w:rsid w:val="00911067"/>
    <w:rsid w:val="0091110F"/>
    <w:rsid w:val="00914875"/>
    <w:rsid w:val="009150C8"/>
    <w:rsid w:val="009157D2"/>
    <w:rsid w:val="00915E07"/>
    <w:rsid w:val="009161A3"/>
    <w:rsid w:val="009168CD"/>
    <w:rsid w:val="00917023"/>
    <w:rsid w:val="009177CD"/>
    <w:rsid w:val="00917939"/>
    <w:rsid w:val="009213B8"/>
    <w:rsid w:val="009221AB"/>
    <w:rsid w:val="00923633"/>
    <w:rsid w:val="00923D27"/>
    <w:rsid w:val="0092460A"/>
    <w:rsid w:val="00924DAB"/>
    <w:rsid w:val="00925765"/>
    <w:rsid w:val="00926226"/>
    <w:rsid w:val="0092782E"/>
    <w:rsid w:val="00927F94"/>
    <w:rsid w:val="009302CD"/>
    <w:rsid w:val="00931005"/>
    <w:rsid w:val="00931158"/>
    <w:rsid w:val="00931377"/>
    <w:rsid w:val="0093142A"/>
    <w:rsid w:val="0093183B"/>
    <w:rsid w:val="00931C01"/>
    <w:rsid w:val="00932604"/>
    <w:rsid w:val="0093285D"/>
    <w:rsid w:val="009335F0"/>
    <w:rsid w:val="00933E37"/>
    <w:rsid w:val="0093745D"/>
    <w:rsid w:val="00940C19"/>
    <w:rsid w:val="00941436"/>
    <w:rsid w:val="009415A1"/>
    <w:rsid w:val="00941BBE"/>
    <w:rsid w:val="00942767"/>
    <w:rsid w:val="00942896"/>
    <w:rsid w:val="009429A3"/>
    <w:rsid w:val="009429B5"/>
    <w:rsid w:val="00942AD1"/>
    <w:rsid w:val="009431A9"/>
    <w:rsid w:val="00943850"/>
    <w:rsid w:val="00945142"/>
    <w:rsid w:val="00945B32"/>
    <w:rsid w:val="00945D64"/>
    <w:rsid w:val="00946C69"/>
    <w:rsid w:val="0094716B"/>
    <w:rsid w:val="0094791F"/>
    <w:rsid w:val="00947B87"/>
    <w:rsid w:val="00947FBB"/>
    <w:rsid w:val="0095120B"/>
    <w:rsid w:val="0095144D"/>
    <w:rsid w:val="00951AC3"/>
    <w:rsid w:val="00951E0F"/>
    <w:rsid w:val="00952482"/>
    <w:rsid w:val="009528AD"/>
    <w:rsid w:val="00952D3B"/>
    <w:rsid w:val="0095384A"/>
    <w:rsid w:val="0095396D"/>
    <w:rsid w:val="00953F72"/>
    <w:rsid w:val="00954240"/>
    <w:rsid w:val="00954386"/>
    <w:rsid w:val="009566E2"/>
    <w:rsid w:val="00957E60"/>
    <w:rsid w:val="00957F06"/>
    <w:rsid w:val="00960E2D"/>
    <w:rsid w:val="00963283"/>
    <w:rsid w:val="009634F3"/>
    <w:rsid w:val="00964739"/>
    <w:rsid w:val="00965928"/>
    <w:rsid w:val="00966483"/>
    <w:rsid w:val="009674F0"/>
    <w:rsid w:val="00967570"/>
    <w:rsid w:val="00970664"/>
    <w:rsid w:val="00970837"/>
    <w:rsid w:val="009708A8"/>
    <w:rsid w:val="00970F14"/>
    <w:rsid w:val="009712C7"/>
    <w:rsid w:val="0097138E"/>
    <w:rsid w:val="00971AE9"/>
    <w:rsid w:val="00973FC0"/>
    <w:rsid w:val="00974626"/>
    <w:rsid w:val="009748B9"/>
    <w:rsid w:val="009755DB"/>
    <w:rsid w:val="0097747B"/>
    <w:rsid w:val="00977577"/>
    <w:rsid w:val="00977739"/>
    <w:rsid w:val="00977FFB"/>
    <w:rsid w:val="0098004D"/>
    <w:rsid w:val="00980494"/>
    <w:rsid w:val="0098175E"/>
    <w:rsid w:val="00981DEE"/>
    <w:rsid w:val="00981E5F"/>
    <w:rsid w:val="00981ED3"/>
    <w:rsid w:val="00982491"/>
    <w:rsid w:val="00982ED1"/>
    <w:rsid w:val="00983E1B"/>
    <w:rsid w:val="00984258"/>
    <w:rsid w:val="009846C5"/>
    <w:rsid w:val="00990155"/>
    <w:rsid w:val="0099042F"/>
    <w:rsid w:val="00990E86"/>
    <w:rsid w:val="00991497"/>
    <w:rsid w:val="00993104"/>
    <w:rsid w:val="009932E1"/>
    <w:rsid w:val="00994E38"/>
    <w:rsid w:val="0099667E"/>
    <w:rsid w:val="00997110"/>
    <w:rsid w:val="009A03C3"/>
    <w:rsid w:val="009A03F2"/>
    <w:rsid w:val="009A0CB0"/>
    <w:rsid w:val="009A10F0"/>
    <w:rsid w:val="009A21D5"/>
    <w:rsid w:val="009A221A"/>
    <w:rsid w:val="009A2B43"/>
    <w:rsid w:val="009A2DBC"/>
    <w:rsid w:val="009A30A8"/>
    <w:rsid w:val="009A3458"/>
    <w:rsid w:val="009A4B53"/>
    <w:rsid w:val="009A4B6D"/>
    <w:rsid w:val="009A5213"/>
    <w:rsid w:val="009A54AD"/>
    <w:rsid w:val="009A59BD"/>
    <w:rsid w:val="009A6305"/>
    <w:rsid w:val="009A7088"/>
    <w:rsid w:val="009A7667"/>
    <w:rsid w:val="009A7D4C"/>
    <w:rsid w:val="009A7E7D"/>
    <w:rsid w:val="009B25B6"/>
    <w:rsid w:val="009B36E6"/>
    <w:rsid w:val="009B3BF3"/>
    <w:rsid w:val="009B3E1E"/>
    <w:rsid w:val="009B3F6E"/>
    <w:rsid w:val="009B4325"/>
    <w:rsid w:val="009B4EB1"/>
    <w:rsid w:val="009B5625"/>
    <w:rsid w:val="009B6604"/>
    <w:rsid w:val="009B7127"/>
    <w:rsid w:val="009B79AE"/>
    <w:rsid w:val="009B7FF3"/>
    <w:rsid w:val="009C0472"/>
    <w:rsid w:val="009C1E92"/>
    <w:rsid w:val="009C2FE8"/>
    <w:rsid w:val="009C478C"/>
    <w:rsid w:val="009C49F4"/>
    <w:rsid w:val="009C5081"/>
    <w:rsid w:val="009C5BD4"/>
    <w:rsid w:val="009C66FD"/>
    <w:rsid w:val="009C6813"/>
    <w:rsid w:val="009C7852"/>
    <w:rsid w:val="009D0A4F"/>
    <w:rsid w:val="009D146A"/>
    <w:rsid w:val="009D1A43"/>
    <w:rsid w:val="009D2BB3"/>
    <w:rsid w:val="009D2BCB"/>
    <w:rsid w:val="009D378F"/>
    <w:rsid w:val="009D3DB7"/>
    <w:rsid w:val="009D66DD"/>
    <w:rsid w:val="009D6FE5"/>
    <w:rsid w:val="009E110B"/>
    <w:rsid w:val="009E1A2C"/>
    <w:rsid w:val="009E308D"/>
    <w:rsid w:val="009E30B6"/>
    <w:rsid w:val="009E42F6"/>
    <w:rsid w:val="009E4703"/>
    <w:rsid w:val="009E474F"/>
    <w:rsid w:val="009E4A06"/>
    <w:rsid w:val="009E4F94"/>
    <w:rsid w:val="009E5890"/>
    <w:rsid w:val="009E75C7"/>
    <w:rsid w:val="009E77D3"/>
    <w:rsid w:val="009F07B9"/>
    <w:rsid w:val="009F0F4A"/>
    <w:rsid w:val="009F16DB"/>
    <w:rsid w:val="009F4976"/>
    <w:rsid w:val="009F5E60"/>
    <w:rsid w:val="009F6116"/>
    <w:rsid w:val="009F69F8"/>
    <w:rsid w:val="009F6D43"/>
    <w:rsid w:val="009F72B1"/>
    <w:rsid w:val="009F77B2"/>
    <w:rsid w:val="009F7B14"/>
    <w:rsid w:val="00A00E94"/>
    <w:rsid w:val="00A00F4F"/>
    <w:rsid w:val="00A01B7F"/>
    <w:rsid w:val="00A01FFB"/>
    <w:rsid w:val="00A023F3"/>
    <w:rsid w:val="00A02B57"/>
    <w:rsid w:val="00A0389A"/>
    <w:rsid w:val="00A03DCE"/>
    <w:rsid w:val="00A04108"/>
    <w:rsid w:val="00A0436B"/>
    <w:rsid w:val="00A063DD"/>
    <w:rsid w:val="00A068DB"/>
    <w:rsid w:val="00A06DA1"/>
    <w:rsid w:val="00A07895"/>
    <w:rsid w:val="00A10272"/>
    <w:rsid w:val="00A10BA7"/>
    <w:rsid w:val="00A10DFF"/>
    <w:rsid w:val="00A11F43"/>
    <w:rsid w:val="00A131E5"/>
    <w:rsid w:val="00A136CE"/>
    <w:rsid w:val="00A14004"/>
    <w:rsid w:val="00A1436D"/>
    <w:rsid w:val="00A14773"/>
    <w:rsid w:val="00A14B9F"/>
    <w:rsid w:val="00A14F90"/>
    <w:rsid w:val="00A150AB"/>
    <w:rsid w:val="00A150CD"/>
    <w:rsid w:val="00A154A1"/>
    <w:rsid w:val="00A1672C"/>
    <w:rsid w:val="00A168F7"/>
    <w:rsid w:val="00A17313"/>
    <w:rsid w:val="00A175F5"/>
    <w:rsid w:val="00A2025B"/>
    <w:rsid w:val="00A2071B"/>
    <w:rsid w:val="00A20ADD"/>
    <w:rsid w:val="00A214BD"/>
    <w:rsid w:val="00A21964"/>
    <w:rsid w:val="00A21D68"/>
    <w:rsid w:val="00A2227F"/>
    <w:rsid w:val="00A22598"/>
    <w:rsid w:val="00A2281A"/>
    <w:rsid w:val="00A232BE"/>
    <w:rsid w:val="00A239E8"/>
    <w:rsid w:val="00A23B92"/>
    <w:rsid w:val="00A23CEF"/>
    <w:rsid w:val="00A247EC"/>
    <w:rsid w:val="00A24DEF"/>
    <w:rsid w:val="00A25C90"/>
    <w:rsid w:val="00A263BB"/>
    <w:rsid w:val="00A2708C"/>
    <w:rsid w:val="00A31700"/>
    <w:rsid w:val="00A3224B"/>
    <w:rsid w:val="00A3224E"/>
    <w:rsid w:val="00A32778"/>
    <w:rsid w:val="00A337F4"/>
    <w:rsid w:val="00A34DC3"/>
    <w:rsid w:val="00A34F0F"/>
    <w:rsid w:val="00A34FAD"/>
    <w:rsid w:val="00A3518B"/>
    <w:rsid w:val="00A35328"/>
    <w:rsid w:val="00A358CB"/>
    <w:rsid w:val="00A36B41"/>
    <w:rsid w:val="00A36C68"/>
    <w:rsid w:val="00A37417"/>
    <w:rsid w:val="00A411DA"/>
    <w:rsid w:val="00A42534"/>
    <w:rsid w:val="00A43131"/>
    <w:rsid w:val="00A44679"/>
    <w:rsid w:val="00A44F39"/>
    <w:rsid w:val="00A467C5"/>
    <w:rsid w:val="00A469CE"/>
    <w:rsid w:val="00A46E25"/>
    <w:rsid w:val="00A50100"/>
    <w:rsid w:val="00A51A23"/>
    <w:rsid w:val="00A52698"/>
    <w:rsid w:val="00A52FF2"/>
    <w:rsid w:val="00A53193"/>
    <w:rsid w:val="00A539FD"/>
    <w:rsid w:val="00A558EF"/>
    <w:rsid w:val="00A55B7F"/>
    <w:rsid w:val="00A55E79"/>
    <w:rsid w:val="00A5657E"/>
    <w:rsid w:val="00A60209"/>
    <w:rsid w:val="00A60314"/>
    <w:rsid w:val="00A60BE9"/>
    <w:rsid w:val="00A61403"/>
    <w:rsid w:val="00A61B52"/>
    <w:rsid w:val="00A61F92"/>
    <w:rsid w:val="00A62326"/>
    <w:rsid w:val="00A63EB3"/>
    <w:rsid w:val="00A64081"/>
    <w:rsid w:val="00A64B0A"/>
    <w:rsid w:val="00A65081"/>
    <w:rsid w:val="00A65E45"/>
    <w:rsid w:val="00A70417"/>
    <w:rsid w:val="00A71375"/>
    <w:rsid w:val="00A73B15"/>
    <w:rsid w:val="00A774EB"/>
    <w:rsid w:val="00A77912"/>
    <w:rsid w:val="00A80C38"/>
    <w:rsid w:val="00A814D2"/>
    <w:rsid w:val="00A82610"/>
    <w:rsid w:val="00A83124"/>
    <w:rsid w:val="00A83EC6"/>
    <w:rsid w:val="00A84274"/>
    <w:rsid w:val="00A846A2"/>
    <w:rsid w:val="00A84E3D"/>
    <w:rsid w:val="00A84F40"/>
    <w:rsid w:val="00A859E3"/>
    <w:rsid w:val="00A85AA9"/>
    <w:rsid w:val="00A867F1"/>
    <w:rsid w:val="00A87559"/>
    <w:rsid w:val="00A90799"/>
    <w:rsid w:val="00A9188F"/>
    <w:rsid w:val="00A919B1"/>
    <w:rsid w:val="00A91C29"/>
    <w:rsid w:val="00A91D21"/>
    <w:rsid w:val="00A931F6"/>
    <w:rsid w:val="00A93B94"/>
    <w:rsid w:val="00A93ED8"/>
    <w:rsid w:val="00A9439A"/>
    <w:rsid w:val="00A950E4"/>
    <w:rsid w:val="00A97C49"/>
    <w:rsid w:val="00A97CCA"/>
    <w:rsid w:val="00AA0060"/>
    <w:rsid w:val="00AA0106"/>
    <w:rsid w:val="00AA0332"/>
    <w:rsid w:val="00AA1F39"/>
    <w:rsid w:val="00AA2BDF"/>
    <w:rsid w:val="00AA2C85"/>
    <w:rsid w:val="00AA3146"/>
    <w:rsid w:val="00AA38C1"/>
    <w:rsid w:val="00AA4BD3"/>
    <w:rsid w:val="00AA4F53"/>
    <w:rsid w:val="00AA67F2"/>
    <w:rsid w:val="00AA6C61"/>
    <w:rsid w:val="00AA6DB8"/>
    <w:rsid w:val="00AA6E52"/>
    <w:rsid w:val="00AA7976"/>
    <w:rsid w:val="00AA7CB6"/>
    <w:rsid w:val="00AB0921"/>
    <w:rsid w:val="00AB0B07"/>
    <w:rsid w:val="00AB0E9F"/>
    <w:rsid w:val="00AB209C"/>
    <w:rsid w:val="00AB3B02"/>
    <w:rsid w:val="00AB5255"/>
    <w:rsid w:val="00AB565C"/>
    <w:rsid w:val="00AB57F4"/>
    <w:rsid w:val="00AB59AB"/>
    <w:rsid w:val="00AB6D0F"/>
    <w:rsid w:val="00AB6D99"/>
    <w:rsid w:val="00AB7018"/>
    <w:rsid w:val="00AB7866"/>
    <w:rsid w:val="00AB7911"/>
    <w:rsid w:val="00AC0C7C"/>
    <w:rsid w:val="00AC1AC7"/>
    <w:rsid w:val="00AC3CE6"/>
    <w:rsid w:val="00AC431F"/>
    <w:rsid w:val="00AC463C"/>
    <w:rsid w:val="00AC58D7"/>
    <w:rsid w:val="00AC58E0"/>
    <w:rsid w:val="00AC5A85"/>
    <w:rsid w:val="00AC5FBC"/>
    <w:rsid w:val="00AC6453"/>
    <w:rsid w:val="00AC657E"/>
    <w:rsid w:val="00AC6A95"/>
    <w:rsid w:val="00AC7A09"/>
    <w:rsid w:val="00AD027C"/>
    <w:rsid w:val="00AD0B92"/>
    <w:rsid w:val="00AD173D"/>
    <w:rsid w:val="00AD2483"/>
    <w:rsid w:val="00AD26B0"/>
    <w:rsid w:val="00AD2722"/>
    <w:rsid w:val="00AD28B8"/>
    <w:rsid w:val="00AD313D"/>
    <w:rsid w:val="00AD321C"/>
    <w:rsid w:val="00AD343E"/>
    <w:rsid w:val="00AD3614"/>
    <w:rsid w:val="00AD491E"/>
    <w:rsid w:val="00AD52A1"/>
    <w:rsid w:val="00AD5542"/>
    <w:rsid w:val="00AD5996"/>
    <w:rsid w:val="00AD5A4F"/>
    <w:rsid w:val="00AD5BF6"/>
    <w:rsid w:val="00AD624C"/>
    <w:rsid w:val="00AD68D6"/>
    <w:rsid w:val="00AD69E8"/>
    <w:rsid w:val="00AD6E2D"/>
    <w:rsid w:val="00AD70F4"/>
    <w:rsid w:val="00AD77DB"/>
    <w:rsid w:val="00AD78BB"/>
    <w:rsid w:val="00AD7EBE"/>
    <w:rsid w:val="00AE04C5"/>
    <w:rsid w:val="00AE2E96"/>
    <w:rsid w:val="00AE5CDE"/>
    <w:rsid w:val="00AE6E3B"/>
    <w:rsid w:val="00AE7A8F"/>
    <w:rsid w:val="00AF20BB"/>
    <w:rsid w:val="00AF262F"/>
    <w:rsid w:val="00AF27BE"/>
    <w:rsid w:val="00AF334C"/>
    <w:rsid w:val="00AF3607"/>
    <w:rsid w:val="00AF3FDE"/>
    <w:rsid w:val="00AF43E8"/>
    <w:rsid w:val="00AF59B7"/>
    <w:rsid w:val="00AF7849"/>
    <w:rsid w:val="00B01BA1"/>
    <w:rsid w:val="00B01D5E"/>
    <w:rsid w:val="00B02AE8"/>
    <w:rsid w:val="00B02B8E"/>
    <w:rsid w:val="00B02CE1"/>
    <w:rsid w:val="00B03186"/>
    <w:rsid w:val="00B0371D"/>
    <w:rsid w:val="00B04604"/>
    <w:rsid w:val="00B04AD2"/>
    <w:rsid w:val="00B05489"/>
    <w:rsid w:val="00B05693"/>
    <w:rsid w:val="00B05AD9"/>
    <w:rsid w:val="00B05CCE"/>
    <w:rsid w:val="00B05FCA"/>
    <w:rsid w:val="00B068DD"/>
    <w:rsid w:val="00B06F4E"/>
    <w:rsid w:val="00B071A3"/>
    <w:rsid w:val="00B10E8E"/>
    <w:rsid w:val="00B10FC1"/>
    <w:rsid w:val="00B11A9E"/>
    <w:rsid w:val="00B120A6"/>
    <w:rsid w:val="00B13298"/>
    <w:rsid w:val="00B13A68"/>
    <w:rsid w:val="00B1407F"/>
    <w:rsid w:val="00B14338"/>
    <w:rsid w:val="00B148C8"/>
    <w:rsid w:val="00B14B13"/>
    <w:rsid w:val="00B16AA4"/>
    <w:rsid w:val="00B173C4"/>
    <w:rsid w:val="00B206E7"/>
    <w:rsid w:val="00B20B06"/>
    <w:rsid w:val="00B20FEB"/>
    <w:rsid w:val="00B21351"/>
    <w:rsid w:val="00B21517"/>
    <w:rsid w:val="00B2281D"/>
    <w:rsid w:val="00B22871"/>
    <w:rsid w:val="00B246E2"/>
    <w:rsid w:val="00B24CC8"/>
    <w:rsid w:val="00B24D64"/>
    <w:rsid w:val="00B259D8"/>
    <w:rsid w:val="00B26B92"/>
    <w:rsid w:val="00B26D44"/>
    <w:rsid w:val="00B272D2"/>
    <w:rsid w:val="00B3013E"/>
    <w:rsid w:val="00B31A55"/>
    <w:rsid w:val="00B32C50"/>
    <w:rsid w:val="00B3309B"/>
    <w:rsid w:val="00B33628"/>
    <w:rsid w:val="00B34771"/>
    <w:rsid w:val="00B34C37"/>
    <w:rsid w:val="00B35B28"/>
    <w:rsid w:val="00B376E0"/>
    <w:rsid w:val="00B40740"/>
    <w:rsid w:val="00B41C20"/>
    <w:rsid w:val="00B421B7"/>
    <w:rsid w:val="00B430CB"/>
    <w:rsid w:val="00B43A0F"/>
    <w:rsid w:val="00B441BF"/>
    <w:rsid w:val="00B4537C"/>
    <w:rsid w:val="00B45A3F"/>
    <w:rsid w:val="00B45F03"/>
    <w:rsid w:val="00B465F2"/>
    <w:rsid w:val="00B46F35"/>
    <w:rsid w:val="00B4743B"/>
    <w:rsid w:val="00B50808"/>
    <w:rsid w:val="00B50CC0"/>
    <w:rsid w:val="00B51523"/>
    <w:rsid w:val="00B516F8"/>
    <w:rsid w:val="00B525E6"/>
    <w:rsid w:val="00B53F7C"/>
    <w:rsid w:val="00B5410C"/>
    <w:rsid w:val="00B54E0F"/>
    <w:rsid w:val="00B55BF3"/>
    <w:rsid w:val="00B563A1"/>
    <w:rsid w:val="00B57190"/>
    <w:rsid w:val="00B579DC"/>
    <w:rsid w:val="00B600D5"/>
    <w:rsid w:val="00B61367"/>
    <w:rsid w:val="00B62060"/>
    <w:rsid w:val="00B63418"/>
    <w:rsid w:val="00B63F8F"/>
    <w:rsid w:val="00B644AB"/>
    <w:rsid w:val="00B66E80"/>
    <w:rsid w:val="00B674A0"/>
    <w:rsid w:val="00B67D88"/>
    <w:rsid w:val="00B700D4"/>
    <w:rsid w:val="00B71759"/>
    <w:rsid w:val="00B71AC5"/>
    <w:rsid w:val="00B73865"/>
    <w:rsid w:val="00B7491D"/>
    <w:rsid w:val="00B75126"/>
    <w:rsid w:val="00B75976"/>
    <w:rsid w:val="00B760BC"/>
    <w:rsid w:val="00B7684B"/>
    <w:rsid w:val="00B81606"/>
    <w:rsid w:val="00B81C43"/>
    <w:rsid w:val="00B81F1F"/>
    <w:rsid w:val="00B8271B"/>
    <w:rsid w:val="00B829B3"/>
    <w:rsid w:val="00B8507B"/>
    <w:rsid w:val="00B85C12"/>
    <w:rsid w:val="00B85C69"/>
    <w:rsid w:val="00B86B98"/>
    <w:rsid w:val="00B87610"/>
    <w:rsid w:val="00B87A2D"/>
    <w:rsid w:val="00B904D1"/>
    <w:rsid w:val="00B90E78"/>
    <w:rsid w:val="00B9143F"/>
    <w:rsid w:val="00B92D3B"/>
    <w:rsid w:val="00B950F4"/>
    <w:rsid w:val="00B961B6"/>
    <w:rsid w:val="00B975C8"/>
    <w:rsid w:val="00B9794B"/>
    <w:rsid w:val="00B97CC0"/>
    <w:rsid w:val="00B97F52"/>
    <w:rsid w:val="00BA049B"/>
    <w:rsid w:val="00BA0612"/>
    <w:rsid w:val="00BA07D9"/>
    <w:rsid w:val="00BA083C"/>
    <w:rsid w:val="00BA2204"/>
    <w:rsid w:val="00BA2E52"/>
    <w:rsid w:val="00BA3AF9"/>
    <w:rsid w:val="00BA42D4"/>
    <w:rsid w:val="00BA4E4D"/>
    <w:rsid w:val="00BA5B77"/>
    <w:rsid w:val="00BA5BD5"/>
    <w:rsid w:val="00BA6715"/>
    <w:rsid w:val="00BA6BAF"/>
    <w:rsid w:val="00BA72A7"/>
    <w:rsid w:val="00BA7557"/>
    <w:rsid w:val="00BB0B0A"/>
    <w:rsid w:val="00BB114C"/>
    <w:rsid w:val="00BB16D2"/>
    <w:rsid w:val="00BB2268"/>
    <w:rsid w:val="00BB28B7"/>
    <w:rsid w:val="00BB28C8"/>
    <w:rsid w:val="00BB4572"/>
    <w:rsid w:val="00BB5CC6"/>
    <w:rsid w:val="00BB5DB0"/>
    <w:rsid w:val="00BB7696"/>
    <w:rsid w:val="00BC09D5"/>
    <w:rsid w:val="00BC14AB"/>
    <w:rsid w:val="00BC318C"/>
    <w:rsid w:val="00BC31A6"/>
    <w:rsid w:val="00BC3BB0"/>
    <w:rsid w:val="00BC3F54"/>
    <w:rsid w:val="00BC66CD"/>
    <w:rsid w:val="00BD006F"/>
    <w:rsid w:val="00BD029C"/>
    <w:rsid w:val="00BD02E1"/>
    <w:rsid w:val="00BD104B"/>
    <w:rsid w:val="00BD1900"/>
    <w:rsid w:val="00BD268F"/>
    <w:rsid w:val="00BD2C3A"/>
    <w:rsid w:val="00BD5EBA"/>
    <w:rsid w:val="00BD67EC"/>
    <w:rsid w:val="00BD6A49"/>
    <w:rsid w:val="00BD7381"/>
    <w:rsid w:val="00BD75C1"/>
    <w:rsid w:val="00BD77A4"/>
    <w:rsid w:val="00BD78BC"/>
    <w:rsid w:val="00BE0387"/>
    <w:rsid w:val="00BE0889"/>
    <w:rsid w:val="00BE0A8B"/>
    <w:rsid w:val="00BE0DF4"/>
    <w:rsid w:val="00BE1F76"/>
    <w:rsid w:val="00BE2CA7"/>
    <w:rsid w:val="00BE3AC3"/>
    <w:rsid w:val="00BE3C65"/>
    <w:rsid w:val="00BE494A"/>
    <w:rsid w:val="00BE4B31"/>
    <w:rsid w:val="00BE599C"/>
    <w:rsid w:val="00BE6E65"/>
    <w:rsid w:val="00BF010E"/>
    <w:rsid w:val="00BF1000"/>
    <w:rsid w:val="00BF168C"/>
    <w:rsid w:val="00BF1EDD"/>
    <w:rsid w:val="00BF5027"/>
    <w:rsid w:val="00BF5E57"/>
    <w:rsid w:val="00BF6C09"/>
    <w:rsid w:val="00BF6CF2"/>
    <w:rsid w:val="00BF7E2D"/>
    <w:rsid w:val="00C0162D"/>
    <w:rsid w:val="00C01FA8"/>
    <w:rsid w:val="00C01FCA"/>
    <w:rsid w:val="00C02A72"/>
    <w:rsid w:val="00C03699"/>
    <w:rsid w:val="00C041F3"/>
    <w:rsid w:val="00C05B6F"/>
    <w:rsid w:val="00C05C50"/>
    <w:rsid w:val="00C0657D"/>
    <w:rsid w:val="00C070ED"/>
    <w:rsid w:val="00C07751"/>
    <w:rsid w:val="00C07905"/>
    <w:rsid w:val="00C1007A"/>
    <w:rsid w:val="00C117D6"/>
    <w:rsid w:val="00C1182F"/>
    <w:rsid w:val="00C11DFE"/>
    <w:rsid w:val="00C12593"/>
    <w:rsid w:val="00C12D3B"/>
    <w:rsid w:val="00C12F80"/>
    <w:rsid w:val="00C13043"/>
    <w:rsid w:val="00C14681"/>
    <w:rsid w:val="00C16840"/>
    <w:rsid w:val="00C174A8"/>
    <w:rsid w:val="00C17C06"/>
    <w:rsid w:val="00C20130"/>
    <w:rsid w:val="00C201A5"/>
    <w:rsid w:val="00C234D0"/>
    <w:rsid w:val="00C2410D"/>
    <w:rsid w:val="00C257D7"/>
    <w:rsid w:val="00C25D19"/>
    <w:rsid w:val="00C26349"/>
    <w:rsid w:val="00C26993"/>
    <w:rsid w:val="00C26F3A"/>
    <w:rsid w:val="00C31A3E"/>
    <w:rsid w:val="00C31E1F"/>
    <w:rsid w:val="00C327AF"/>
    <w:rsid w:val="00C33607"/>
    <w:rsid w:val="00C33B49"/>
    <w:rsid w:val="00C34664"/>
    <w:rsid w:val="00C35B2D"/>
    <w:rsid w:val="00C35BA9"/>
    <w:rsid w:val="00C35D53"/>
    <w:rsid w:val="00C36F3A"/>
    <w:rsid w:val="00C37CC2"/>
    <w:rsid w:val="00C37F01"/>
    <w:rsid w:val="00C409D6"/>
    <w:rsid w:val="00C44307"/>
    <w:rsid w:val="00C46883"/>
    <w:rsid w:val="00C46C1F"/>
    <w:rsid w:val="00C4756C"/>
    <w:rsid w:val="00C4760A"/>
    <w:rsid w:val="00C4761F"/>
    <w:rsid w:val="00C47B82"/>
    <w:rsid w:val="00C5044B"/>
    <w:rsid w:val="00C50631"/>
    <w:rsid w:val="00C519DE"/>
    <w:rsid w:val="00C52168"/>
    <w:rsid w:val="00C52E75"/>
    <w:rsid w:val="00C530C7"/>
    <w:rsid w:val="00C54E9F"/>
    <w:rsid w:val="00C552D1"/>
    <w:rsid w:val="00C553EE"/>
    <w:rsid w:val="00C56F4A"/>
    <w:rsid w:val="00C578BB"/>
    <w:rsid w:val="00C60191"/>
    <w:rsid w:val="00C610DF"/>
    <w:rsid w:val="00C61BEF"/>
    <w:rsid w:val="00C628C9"/>
    <w:rsid w:val="00C629DC"/>
    <w:rsid w:val="00C63E51"/>
    <w:rsid w:val="00C65779"/>
    <w:rsid w:val="00C65A64"/>
    <w:rsid w:val="00C65AFF"/>
    <w:rsid w:val="00C6731D"/>
    <w:rsid w:val="00C71225"/>
    <w:rsid w:val="00C71D3D"/>
    <w:rsid w:val="00C71E5D"/>
    <w:rsid w:val="00C7220F"/>
    <w:rsid w:val="00C7292F"/>
    <w:rsid w:val="00C74D4A"/>
    <w:rsid w:val="00C74E2B"/>
    <w:rsid w:val="00C75826"/>
    <w:rsid w:val="00C775AC"/>
    <w:rsid w:val="00C77AE2"/>
    <w:rsid w:val="00C77DA7"/>
    <w:rsid w:val="00C809E6"/>
    <w:rsid w:val="00C80E96"/>
    <w:rsid w:val="00C8158B"/>
    <w:rsid w:val="00C81C5F"/>
    <w:rsid w:val="00C82C46"/>
    <w:rsid w:val="00C833A8"/>
    <w:rsid w:val="00C83C0A"/>
    <w:rsid w:val="00C8424D"/>
    <w:rsid w:val="00C84282"/>
    <w:rsid w:val="00C84443"/>
    <w:rsid w:val="00C85A15"/>
    <w:rsid w:val="00C85EB4"/>
    <w:rsid w:val="00C868B9"/>
    <w:rsid w:val="00C868FD"/>
    <w:rsid w:val="00C86FAE"/>
    <w:rsid w:val="00C9005F"/>
    <w:rsid w:val="00C90A53"/>
    <w:rsid w:val="00C90A8D"/>
    <w:rsid w:val="00C91241"/>
    <w:rsid w:val="00C92C18"/>
    <w:rsid w:val="00C93012"/>
    <w:rsid w:val="00C943C6"/>
    <w:rsid w:val="00C9459C"/>
    <w:rsid w:val="00C94B44"/>
    <w:rsid w:val="00C9544E"/>
    <w:rsid w:val="00C958BA"/>
    <w:rsid w:val="00C966F0"/>
    <w:rsid w:val="00C96AF8"/>
    <w:rsid w:val="00C97457"/>
    <w:rsid w:val="00CA017B"/>
    <w:rsid w:val="00CA0590"/>
    <w:rsid w:val="00CA09D8"/>
    <w:rsid w:val="00CA13F2"/>
    <w:rsid w:val="00CA2868"/>
    <w:rsid w:val="00CA29DA"/>
    <w:rsid w:val="00CA29E0"/>
    <w:rsid w:val="00CA318A"/>
    <w:rsid w:val="00CA3241"/>
    <w:rsid w:val="00CA3604"/>
    <w:rsid w:val="00CA3FED"/>
    <w:rsid w:val="00CA484C"/>
    <w:rsid w:val="00CA4BAB"/>
    <w:rsid w:val="00CA4BDA"/>
    <w:rsid w:val="00CA5AAA"/>
    <w:rsid w:val="00CA6376"/>
    <w:rsid w:val="00CB0588"/>
    <w:rsid w:val="00CB0D08"/>
    <w:rsid w:val="00CB13A2"/>
    <w:rsid w:val="00CB42ED"/>
    <w:rsid w:val="00CB6FB4"/>
    <w:rsid w:val="00CC07AB"/>
    <w:rsid w:val="00CC27F2"/>
    <w:rsid w:val="00CC311D"/>
    <w:rsid w:val="00CC39B4"/>
    <w:rsid w:val="00CC3C17"/>
    <w:rsid w:val="00CC3EEB"/>
    <w:rsid w:val="00CC41E8"/>
    <w:rsid w:val="00CC484F"/>
    <w:rsid w:val="00CC4DCB"/>
    <w:rsid w:val="00CC664E"/>
    <w:rsid w:val="00CC78F7"/>
    <w:rsid w:val="00CC79C3"/>
    <w:rsid w:val="00CD0529"/>
    <w:rsid w:val="00CD0548"/>
    <w:rsid w:val="00CD0CA5"/>
    <w:rsid w:val="00CD0FEE"/>
    <w:rsid w:val="00CD192B"/>
    <w:rsid w:val="00CD291C"/>
    <w:rsid w:val="00CD2E6B"/>
    <w:rsid w:val="00CD3817"/>
    <w:rsid w:val="00CD39BF"/>
    <w:rsid w:val="00CD4834"/>
    <w:rsid w:val="00CD58B5"/>
    <w:rsid w:val="00CD69E6"/>
    <w:rsid w:val="00CD6ABA"/>
    <w:rsid w:val="00CD7261"/>
    <w:rsid w:val="00CE00BC"/>
    <w:rsid w:val="00CE0757"/>
    <w:rsid w:val="00CE2797"/>
    <w:rsid w:val="00CE2D30"/>
    <w:rsid w:val="00CE376B"/>
    <w:rsid w:val="00CE5014"/>
    <w:rsid w:val="00CE506E"/>
    <w:rsid w:val="00CE5D4F"/>
    <w:rsid w:val="00CE6BB1"/>
    <w:rsid w:val="00CE6FF0"/>
    <w:rsid w:val="00CE7EDB"/>
    <w:rsid w:val="00CF0D93"/>
    <w:rsid w:val="00CF16A3"/>
    <w:rsid w:val="00CF1996"/>
    <w:rsid w:val="00CF1B8F"/>
    <w:rsid w:val="00CF480A"/>
    <w:rsid w:val="00CF4E41"/>
    <w:rsid w:val="00CF5D7D"/>
    <w:rsid w:val="00CF62F5"/>
    <w:rsid w:val="00CF6C95"/>
    <w:rsid w:val="00CF6DC9"/>
    <w:rsid w:val="00CF72BC"/>
    <w:rsid w:val="00CF7480"/>
    <w:rsid w:val="00CF774E"/>
    <w:rsid w:val="00CF77D1"/>
    <w:rsid w:val="00CF7830"/>
    <w:rsid w:val="00CF78DB"/>
    <w:rsid w:val="00CF7C7A"/>
    <w:rsid w:val="00D0032C"/>
    <w:rsid w:val="00D013E7"/>
    <w:rsid w:val="00D0194D"/>
    <w:rsid w:val="00D01DB8"/>
    <w:rsid w:val="00D0288B"/>
    <w:rsid w:val="00D029DC"/>
    <w:rsid w:val="00D02C8A"/>
    <w:rsid w:val="00D02E0E"/>
    <w:rsid w:val="00D03E31"/>
    <w:rsid w:val="00D05E7A"/>
    <w:rsid w:val="00D06D00"/>
    <w:rsid w:val="00D11173"/>
    <w:rsid w:val="00D11DC9"/>
    <w:rsid w:val="00D12188"/>
    <w:rsid w:val="00D121CA"/>
    <w:rsid w:val="00D12556"/>
    <w:rsid w:val="00D12F45"/>
    <w:rsid w:val="00D12F49"/>
    <w:rsid w:val="00D14487"/>
    <w:rsid w:val="00D151A9"/>
    <w:rsid w:val="00D1594C"/>
    <w:rsid w:val="00D15C35"/>
    <w:rsid w:val="00D16938"/>
    <w:rsid w:val="00D204F4"/>
    <w:rsid w:val="00D20538"/>
    <w:rsid w:val="00D209E0"/>
    <w:rsid w:val="00D20E56"/>
    <w:rsid w:val="00D21335"/>
    <w:rsid w:val="00D2155A"/>
    <w:rsid w:val="00D2176E"/>
    <w:rsid w:val="00D23FC6"/>
    <w:rsid w:val="00D2425B"/>
    <w:rsid w:val="00D24AAC"/>
    <w:rsid w:val="00D25588"/>
    <w:rsid w:val="00D27E1F"/>
    <w:rsid w:val="00D27E86"/>
    <w:rsid w:val="00D31EBE"/>
    <w:rsid w:val="00D3256A"/>
    <w:rsid w:val="00D3369B"/>
    <w:rsid w:val="00D337EC"/>
    <w:rsid w:val="00D33F9A"/>
    <w:rsid w:val="00D34F08"/>
    <w:rsid w:val="00D35B57"/>
    <w:rsid w:val="00D36209"/>
    <w:rsid w:val="00D379DD"/>
    <w:rsid w:val="00D40496"/>
    <w:rsid w:val="00D415D0"/>
    <w:rsid w:val="00D41FB9"/>
    <w:rsid w:val="00D421EC"/>
    <w:rsid w:val="00D43EBB"/>
    <w:rsid w:val="00D4453B"/>
    <w:rsid w:val="00D473F9"/>
    <w:rsid w:val="00D47BF4"/>
    <w:rsid w:val="00D47D92"/>
    <w:rsid w:val="00D50ABF"/>
    <w:rsid w:val="00D50B25"/>
    <w:rsid w:val="00D51514"/>
    <w:rsid w:val="00D522F8"/>
    <w:rsid w:val="00D523BA"/>
    <w:rsid w:val="00D529C5"/>
    <w:rsid w:val="00D529D3"/>
    <w:rsid w:val="00D52C03"/>
    <w:rsid w:val="00D52C3C"/>
    <w:rsid w:val="00D52D38"/>
    <w:rsid w:val="00D53185"/>
    <w:rsid w:val="00D5365B"/>
    <w:rsid w:val="00D53A1B"/>
    <w:rsid w:val="00D53C7B"/>
    <w:rsid w:val="00D54A40"/>
    <w:rsid w:val="00D55A36"/>
    <w:rsid w:val="00D55E48"/>
    <w:rsid w:val="00D56461"/>
    <w:rsid w:val="00D565DC"/>
    <w:rsid w:val="00D61A90"/>
    <w:rsid w:val="00D62D38"/>
    <w:rsid w:val="00D64587"/>
    <w:rsid w:val="00D65A2D"/>
    <w:rsid w:val="00D66926"/>
    <w:rsid w:val="00D67997"/>
    <w:rsid w:val="00D700B7"/>
    <w:rsid w:val="00D7133F"/>
    <w:rsid w:val="00D719C0"/>
    <w:rsid w:val="00D724D5"/>
    <w:rsid w:val="00D730AF"/>
    <w:rsid w:val="00D730DF"/>
    <w:rsid w:val="00D737E8"/>
    <w:rsid w:val="00D73BD2"/>
    <w:rsid w:val="00D74995"/>
    <w:rsid w:val="00D74AD3"/>
    <w:rsid w:val="00D75E6D"/>
    <w:rsid w:val="00D770A6"/>
    <w:rsid w:val="00D7727A"/>
    <w:rsid w:val="00D77A33"/>
    <w:rsid w:val="00D77C39"/>
    <w:rsid w:val="00D8018B"/>
    <w:rsid w:val="00D808D6"/>
    <w:rsid w:val="00D80F8A"/>
    <w:rsid w:val="00D81260"/>
    <w:rsid w:val="00D820E9"/>
    <w:rsid w:val="00D829DE"/>
    <w:rsid w:val="00D83396"/>
    <w:rsid w:val="00D83994"/>
    <w:rsid w:val="00D83DD6"/>
    <w:rsid w:val="00D840E0"/>
    <w:rsid w:val="00D85AE1"/>
    <w:rsid w:val="00D85D2A"/>
    <w:rsid w:val="00D86CCD"/>
    <w:rsid w:val="00D86D27"/>
    <w:rsid w:val="00D92233"/>
    <w:rsid w:val="00D922B6"/>
    <w:rsid w:val="00D926C1"/>
    <w:rsid w:val="00D92CF5"/>
    <w:rsid w:val="00D931CF"/>
    <w:rsid w:val="00D93281"/>
    <w:rsid w:val="00D96432"/>
    <w:rsid w:val="00D964A2"/>
    <w:rsid w:val="00D97586"/>
    <w:rsid w:val="00DA0318"/>
    <w:rsid w:val="00DA21F4"/>
    <w:rsid w:val="00DA29FF"/>
    <w:rsid w:val="00DA31EC"/>
    <w:rsid w:val="00DA3334"/>
    <w:rsid w:val="00DA3829"/>
    <w:rsid w:val="00DA4044"/>
    <w:rsid w:val="00DA445C"/>
    <w:rsid w:val="00DA452F"/>
    <w:rsid w:val="00DA4775"/>
    <w:rsid w:val="00DA498A"/>
    <w:rsid w:val="00DA4BAD"/>
    <w:rsid w:val="00DA4C37"/>
    <w:rsid w:val="00DA4F84"/>
    <w:rsid w:val="00DA5345"/>
    <w:rsid w:val="00DA5823"/>
    <w:rsid w:val="00DA7825"/>
    <w:rsid w:val="00DB02F2"/>
    <w:rsid w:val="00DB23EF"/>
    <w:rsid w:val="00DB3055"/>
    <w:rsid w:val="00DB33B0"/>
    <w:rsid w:val="00DB33C9"/>
    <w:rsid w:val="00DB4B29"/>
    <w:rsid w:val="00DB6F67"/>
    <w:rsid w:val="00DB772E"/>
    <w:rsid w:val="00DB7FEF"/>
    <w:rsid w:val="00DC0CAC"/>
    <w:rsid w:val="00DC1097"/>
    <w:rsid w:val="00DC2236"/>
    <w:rsid w:val="00DC243C"/>
    <w:rsid w:val="00DC27F0"/>
    <w:rsid w:val="00DC3F58"/>
    <w:rsid w:val="00DC4822"/>
    <w:rsid w:val="00DC5E04"/>
    <w:rsid w:val="00DC6846"/>
    <w:rsid w:val="00DC78D2"/>
    <w:rsid w:val="00DD0050"/>
    <w:rsid w:val="00DD0F13"/>
    <w:rsid w:val="00DD16B9"/>
    <w:rsid w:val="00DD1A74"/>
    <w:rsid w:val="00DD4238"/>
    <w:rsid w:val="00DD7284"/>
    <w:rsid w:val="00DD7F5C"/>
    <w:rsid w:val="00DD7FA3"/>
    <w:rsid w:val="00DE0F01"/>
    <w:rsid w:val="00DE118E"/>
    <w:rsid w:val="00DE2082"/>
    <w:rsid w:val="00DE25D1"/>
    <w:rsid w:val="00DE3459"/>
    <w:rsid w:val="00DE3DF5"/>
    <w:rsid w:val="00DE3FCF"/>
    <w:rsid w:val="00DE4744"/>
    <w:rsid w:val="00DE4986"/>
    <w:rsid w:val="00DE574D"/>
    <w:rsid w:val="00DE59D3"/>
    <w:rsid w:val="00DE665A"/>
    <w:rsid w:val="00DE666B"/>
    <w:rsid w:val="00DE6733"/>
    <w:rsid w:val="00DE74EC"/>
    <w:rsid w:val="00DF02F7"/>
    <w:rsid w:val="00DF2B47"/>
    <w:rsid w:val="00DF2C19"/>
    <w:rsid w:val="00DF30F3"/>
    <w:rsid w:val="00DF42D8"/>
    <w:rsid w:val="00DF4526"/>
    <w:rsid w:val="00DF60ED"/>
    <w:rsid w:val="00DF6750"/>
    <w:rsid w:val="00DF79E5"/>
    <w:rsid w:val="00E00474"/>
    <w:rsid w:val="00E00A26"/>
    <w:rsid w:val="00E01DD6"/>
    <w:rsid w:val="00E023E5"/>
    <w:rsid w:val="00E02EEC"/>
    <w:rsid w:val="00E0301B"/>
    <w:rsid w:val="00E04404"/>
    <w:rsid w:val="00E044D3"/>
    <w:rsid w:val="00E0690B"/>
    <w:rsid w:val="00E078B0"/>
    <w:rsid w:val="00E07E97"/>
    <w:rsid w:val="00E10316"/>
    <w:rsid w:val="00E107B9"/>
    <w:rsid w:val="00E11D57"/>
    <w:rsid w:val="00E134A3"/>
    <w:rsid w:val="00E14B2F"/>
    <w:rsid w:val="00E157E1"/>
    <w:rsid w:val="00E1588D"/>
    <w:rsid w:val="00E15DBA"/>
    <w:rsid w:val="00E16B8F"/>
    <w:rsid w:val="00E17777"/>
    <w:rsid w:val="00E22B3F"/>
    <w:rsid w:val="00E23690"/>
    <w:rsid w:val="00E239DF"/>
    <w:rsid w:val="00E23EFD"/>
    <w:rsid w:val="00E25613"/>
    <w:rsid w:val="00E25B79"/>
    <w:rsid w:val="00E263AD"/>
    <w:rsid w:val="00E26970"/>
    <w:rsid w:val="00E30C88"/>
    <w:rsid w:val="00E30ECE"/>
    <w:rsid w:val="00E31A44"/>
    <w:rsid w:val="00E33A8E"/>
    <w:rsid w:val="00E343AF"/>
    <w:rsid w:val="00E34E2E"/>
    <w:rsid w:val="00E34E9B"/>
    <w:rsid w:val="00E36406"/>
    <w:rsid w:val="00E4264C"/>
    <w:rsid w:val="00E42C68"/>
    <w:rsid w:val="00E44163"/>
    <w:rsid w:val="00E4458F"/>
    <w:rsid w:val="00E4534D"/>
    <w:rsid w:val="00E45CAF"/>
    <w:rsid w:val="00E46D10"/>
    <w:rsid w:val="00E51747"/>
    <w:rsid w:val="00E52A57"/>
    <w:rsid w:val="00E531E5"/>
    <w:rsid w:val="00E55138"/>
    <w:rsid w:val="00E553ED"/>
    <w:rsid w:val="00E5571C"/>
    <w:rsid w:val="00E56505"/>
    <w:rsid w:val="00E574B1"/>
    <w:rsid w:val="00E57E92"/>
    <w:rsid w:val="00E57F13"/>
    <w:rsid w:val="00E61546"/>
    <w:rsid w:val="00E626AD"/>
    <w:rsid w:val="00E627E3"/>
    <w:rsid w:val="00E62E91"/>
    <w:rsid w:val="00E63952"/>
    <w:rsid w:val="00E63A44"/>
    <w:rsid w:val="00E647BA"/>
    <w:rsid w:val="00E64A18"/>
    <w:rsid w:val="00E64EF2"/>
    <w:rsid w:val="00E66AB0"/>
    <w:rsid w:val="00E677E9"/>
    <w:rsid w:val="00E7026E"/>
    <w:rsid w:val="00E70443"/>
    <w:rsid w:val="00E70469"/>
    <w:rsid w:val="00E7084E"/>
    <w:rsid w:val="00E72025"/>
    <w:rsid w:val="00E72EEF"/>
    <w:rsid w:val="00E73AF3"/>
    <w:rsid w:val="00E74591"/>
    <w:rsid w:val="00E747F9"/>
    <w:rsid w:val="00E76580"/>
    <w:rsid w:val="00E76C32"/>
    <w:rsid w:val="00E77366"/>
    <w:rsid w:val="00E77DFF"/>
    <w:rsid w:val="00E8079D"/>
    <w:rsid w:val="00E81007"/>
    <w:rsid w:val="00E81D9D"/>
    <w:rsid w:val="00E82250"/>
    <w:rsid w:val="00E823E3"/>
    <w:rsid w:val="00E8261A"/>
    <w:rsid w:val="00E83620"/>
    <w:rsid w:val="00E845A5"/>
    <w:rsid w:val="00E8486B"/>
    <w:rsid w:val="00E85A29"/>
    <w:rsid w:val="00E85C95"/>
    <w:rsid w:val="00E86300"/>
    <w:rsid w:val="00E8668E"/>
    <w:rsid w:val="00E869E1"/>
    <w:rsid w:val="00E873B1"/>
    <w:rsid w:val="00E87D4F"/>
    <w:rsid w:val="00E90A09"/>
    <w:rsid w:val="00E90A0F"/>
    <w:rsid w:val="00E90A53"/>
    <w:rsid w:val="00E9188B"/>
    <w:rsid w:val="00E9242B"/>
    <w:rsid w:val="00E9357C"/>
    <w:rsid w:val="00E94EBE"/>
    <w:rsid w:val="00E973EB"/>
    <w:rsid w:val="00E97591"/>
    <w:rsid w:val="00EA11D6"/>
    <w:rsid w:val="00EA16BC"/>
    <w:rsid w:val="00EA18EB"/>
    <w:rsid w:val="00EA20F9"/>
    <w:rsid w:val="00EA2870"/>
    <w:rsid w:val="00EA2B19"/>
    <w:rsid w:val="00EA2B89"/>
    <w:rsid w:val="00EA342D"/>
    <w:rsid w:val="00EA3B8F"/>
    <w:rsid w:val="00EA4D5D"/>
    <w:rsid w:val="00EA62FE"/>
    <w:rsid w:val="00EA652D"/>
    <w:rsid w:val="00EA67E8"/>
    <w:rsid w:val="00EB169B"/>
    <w:rsid w:val="00EB17F9"/>
    <w:rsid w:val="00EB1A5E"/>
    <w:rsid w:val="00EB24FF"/>
    <w:rsid w:val="00EB2FB2"/>
    <w:rsid w:val="00EB3CAC"/>
    <w:rsid w:val="00EB511E"/>
    <w:rsid w:val="00EB566D"/>
    <w:rsid w:val="00EB6424"/>
    <w:rsid w:val="00EB66D5"/>
    <w:rsid w:val="00EB769E"/>
    <w:rsid w:val="00EB79C0"/>
    <w:rsid w:val="00EC0BFC"/>
    <w:rsid w:val="00EC0E50"/>
    <w:rsid w:val="00EC0F95"/>
    <w:rsid w:val="00EC1479"/>
    <w:rsid w:val="00EC14F3"/>
    <w:rsid w:val="00EC1FB3"/>
    <w:rsid w:val="00EC335E"/>
    <w:rsid w:val="00EC3A05"/>
    <w:rsid w:val="00EC5D74"/>
    <w:rsid w:val="00EC61C2"/>
    <w:rsid w:val="00EC63D4"/>
    <w:rsid w:val="00ED0BF9"/>
    <w:rsid w:val="00ED1DD9"/>
    <w:rsid w:val="00ED280C"/>
    <w:rsid w:val="00ED37F1"/>
    <w:rsid w:val="00ED3B51"/>
    <w:rsid w:val="00ED51DA"/>
    <w:rsid w:val="00ED532F"/>
    <w:rsid w:val="00ED622F"/>
    <w:rsid w:val="00ED6846"/>
    <w:rsid w:val="00EE0204"/>
    <w:rsid w:val="00EE077D"/>
    <w:rsid w:val="00EE0C0B"/>
    <w:rsid w:val="00EE1638"/>
    <w:rsid w:val="00EE21CD"/>
    <w:rsid w:val="00EE2EC3"/>
    <w:rsid w:val="00EE35E1"/>
    <w:rsid w:val="00EE4837"/>
    <w:rsid w:val="00EE50D7"/>
    <w:rsid w:val="00EE5372"/>
    <w:rsid w:val="00EE600F"/>
    <w:rsid w:val="00EE6729"/>
    <w:rsid w:val="00EF0A35"/>
    <w:rsid w:val="00EF0B96"/>
    <w:rsid w:val="00EF0BCB"/>
    <w:rsid w:val="00EF0D82"/>
    <w:rsid w:val="00EF0EF3"/>
    <w:rsid w:val="00EF0FA5"/>
    <w:rsid w:val="00EF2536"/>
    <w:rsid w:val="00EF25FE"/>
    <w:rsid w:val="00EF292F"/>
    <w:rsid w:val="00EF47D9"/>
    <w:rsid w:val="00EF650B"/>
    <w:rsid w:val="00EF7FC8"/>
    <w:rsid w:val="00F00E96"/>
    <w:rsid w:val="00F0125D"/>
    <w:rsid w:val="00F01BB9"/>
    <w:rsid w:val="00F01DFE"/>
    <w:rsid w:val="00F01E5D"/>
    <w:rsid w:val="00F024FC"/>
    <w:rsid w:val="00F025EF"/>
    <w:rsid w:val="00F02AFD"/>
    <w:rsid w:val="00F035DC"/>
    <w:rsid w:val="00F039E2"/>
    <w:rsid w:val="00F03CF1"/>
    <w:rsid w:val="00F03F8C"/>
    <w:rsid w:val="00F05119"/>
    <w:rsid w:val="00F0513C"/>
    <w:rsid w:val="00F05663"/>
    <w:rsid w:val="00F0602F"/>
    <w:rsid w:val="00F0641F"/>
    <w:rsid w:val="00F0708B"/>
    <w:rsid w:val="00F07A50"/>
    <w:rsid w:val="00F10193"/>
    <w:rsid w:val="00F1145C"/>
    <w:rsid w:val="00F12629"/>
    <w:rsid w:val="00F13605"/>
    <w:rsid w:val="00F13BEB"/>
    <w:rsid w:val="00F13D66"/>
    <w:rsid w:val="00F146D9"/>
    <w:rsid w:val="00F147EA"/>
    <w:rsid w:val="00F153D3"/>
    <w:rsid w:val="00F21C1D"/>
    <w:rsid w:val="00F21FBA"/>
    <w:rsid w:val="00F220C7"/>
    <w:rsid w:val="00F22724"/>
    <w:rsid w:val="00F22C71"/>
    <w:rsid w:val="00F2367E"/>
    <w:rsid w:val="00F23719"/>
    <w:rsid w:val="00F239EE"/>
    <w:rsid w:val="00F239F4"/>
    <w:rsid w:val="00F23F5E"/>
    <w:rsid w:val="00F30CAE"/>
    <w:rsid w:val="00F30FB2"/>
    <w:rsid w:val="00F32349"/>
    <w:rsid w:val="00F334C0"/>
    <w:rsid w:val="00F341D0"/>
    <w:rsid w:val="00F35303"/>
    <w:rsid w:val="00F365A2"/>
    <w:rsid w:val="00F36794"/>
    <w:rsid w:val="00F36C88"/>
    <w:rsid w:val="00F36CB6"/>
    <w:rsid w:val="00F37B03"/>
    <w:rsid w:val="00F37D28"/>
    <w:rsid w:val="00F37F5F"/>
    <w:rsid w:val="00F37F65"/>
    <w:rsid w:val="00F426B6"/>
    <w:rsid w:val="00F4373E"/>
    <w:rsid w:val="00F44272"/>
    <w:rsid w:val="00F44765"/>
    <w:rsid w:val="00F44D22"/>
    <w:rsid w:val="00F45092"/>
    <w:rsid w:val="00F45E7D"/>
    <w:rsid w:val="00F47190"/>
    <w:rsid w:val="00F47719"/>
    <w:rsid w:val="00F47C97"/>
    <w:rsid w:val="00F5090D"/>
    <w:rsid w:val="00F5092C"/>
    <w:rsid w:val="00F5111A"/>
    <w:rsid w:val="00F5281D"/>
    <w:rsid w:val="00F528D9"/>
    <w:rsid w:val="00F52F3A"/>
    <w:rsid w:val="00F5367D"/>
    <w:rsid w:val="00F545A7"/>
    <w:rsid w:val="00F5462A"/>
    <w:rsid w:val="00F55B6B"/>
    <w:rsid w:val="00F55F17"/>
    <w:rsid w:val="00F562D6"/>
    <w:rsid w:val="00F5657C"/>
    <w:rsid w:val="00F56E62"/>
    <w:rsid w:val="00F5724A"/>
    <w:rsid w:val="00F577FD"/>
    <w:rsid w:val="00F60279"/>
    <w:rsid w:val="00F60439"/>
    <w:rsid w:val="00F6124C"/>
    <w:rsid w:val="00F6133D"/>
    <w:rsid w:val="00F613B6"/>
    <w:rsid w:val="00F620E6"/>
    <w:rsid w:val="00F6254A"/>
    <w:rsid w:val="00F6277C"/>
    <w:rsid w:val="00F6371A"/>
    <w:rsid w:val="00F642CD"/>
    <w:rsid w:val="00F64627"/>
    <w:rsid w:val="00F65CF9"/>
    <w:rsid w:val="00F6606B"/>
    <w:rsid w:val="00F66DD7"/>
    <w:rsid w:val="00F703E1"/>
    <w:rsid w:val="00F71FDB"/>
    <w:rsid w:val="00F751DF"/>
    <w:rsid w:val="00F76459"/>
    <w:rsid w:val="00F7665D"/>
    <w:rsid w:val="00F77507"/>
    <w:rsid w:val="00F80432"/>
    <w:rsid w:val="00F804BC"/>
    <w:rsid w:val="00F809EC"/>
    <w:rsid w:val="00F81E26"/>
    <w:rsid w:val="00F83F4B"/>
    <w:rsid w:val="00F8411C"/>
    <w:rsid w:val="00F845B2"/>
    <w:rsid w:val="00F84897"/>
    <w:rsid w:val="00F869FF"/>
    <w:rsid w:val="00F91BA3"/>
    <w:rsid w:val="00F9465C"/>
    <w:rsid w:val="00F96E10"/>
    <w:rsid w:val="00F97AD6"/>
    <w:rsid w:val="00FA1065"/>
    <w:rsid w:val="00FA121E"/>
    <w:rsid w:val="00FA1853"/>
    <w:rsid w:val="00FA2C41"/>
    <w:rsid w:val="00FA30E9"/>
    <w:rsid w:val="00FA473F"/>
    <w:rsid w:val="00FA5081"/>
    <w:rsid w:val="00FA57E4"/>
    <w:rsid w:val="00FA6308"/>
    <w:rsid w:val="00FA6390"/>
    <w:rsid w:val="00FA6E7F"/>
    <w:rsid w:val="00FA7AE0"/>
    <w:rsid w:val="00FB05ED"/>
    <w:rsid w:val="00FB07AF"/>
    <w:rsid w:val="00FB0A48"/>
    <w:rsid w:val="00FB2212"/>
    <w:rsid w:val="00FB2953"/>
    <w:rsid w:val="00FB2A5C"/>
    <w:rsid w:val="00FB3B4F"/>
    <w:rsid w:val="00FB66D8"/>
    <w:rsid w:val="00FB72C1"/>
    <w:rsid w:val="00FB76CA"/>
    <w:rsid w:val="00FB7E97"/>
    <w:rsid w:val="00FC1052"/>
    <w:rsid w:val="00FC2760"/>
    <w:rsid w:val="00FC36D7"/>
    <w:rsid w:val="00FC3A65"/>
    <w:rsid w:val="00FC5259"/>
    <w:rsid w:val="00FC5995"/>
    <w:rsid w:val="00FC5BDC"/>
    <w:rsid w:val="00FC678B"/>
    <w:rsid w:val="00FC7007"/>
    <w:rsid w:val="00FC718C"/>
    <w:rsid w:val="00FC71C8"/>
    <w:rsid w:val="00FC7C3D"/>
    <w:rsid w:val="00FD098F"/>
    <w:rsid w:val="00FD0995"/>
    <w:rsid w:val="00FD0B2D"/>
    <w:rsid w:val="00FD0F55"/>
    <w:rsid w:val="00FD10F6"/>
    <w:rsid w:val="00FD1BA1"/>
    <w:rsid w:val="00FD1CBE"/>
    <w:rsid w:val="00FD2160"/>
    <w:rsid w:val="00FD4226"/>
    <w:rsid w:val="00FD4BBB"/>
    <w:rsid w:val="00FE0458"/>
    <w:rsid w:val="00FE0C8D"/>
    <w:rsid w:val="00FE10EC"/>
    <w:rsid w:val="00FE1B8B"/>
    <w:rsid w:val="00FE1FEF"/>
    <w:rsid w:val="00FE3DAC"/>
    <w:rsid w:val="00FE4134"/>
    <w:rsid w:val="00FE46E6"/>
    <w:rsid w:val="00FE5674"/>
    <w:rsid w:val="00FE5C61"/>
    <w:rsid w:val="00FE6A9D"/>
    <w:rsid w:val="00FF0083"/>
    <w:rsid w:val="00FF0483"/>
    <w:rsid w:val="00FF1523"/>
    <w:rsid w:val="00FF1644"/>
    <w:rsid w:val="00FF19C6"/>
    <w:rsid w:val="00FF1F1D"/>
    <w:rsid w:val="00FF29E4"/>
    <w:rsid w:val="00FF2A8C"/>
    <w:rsid w:val="00FF2CE1"/>
    <w:rsid w:val="00FF3554"/>
    <w:rsid w:val="00FF3C9C"/>
    <w:rsid w:val="00FF4531"/>
    <w:rsid w:val="00FF5FDC"/>
    <w:rsid w:val="00FF64FD"/>
    <w:rsid w:val="00FF6516"/>
    <w:rsid w:val="00FF6923"/>
    <w:rsid w:val="00FF7461"/>
    <w:rsid w:val="00FF765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E41E"/>
  <w15:chartTrackingRefBased/>
  <w15:docId w15:val="{1900690A-A773-4C8F-B695-EA76BB91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pt-B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B"/>
  </w:style>
  <w:style w:type="paragraph" w:styleId="Ttulo1">
    <w:name w:val="heading 1"/>
    <w:basedOn w:val="Normal"/>
    <w:next w:val="Normal"/>
    <w:link w:val="Ttulo1Char"/>
    <w:uiPriority w:val="9"/>
    <w:qFormat/>
    <w:rsid w:val="00B3309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har"/>
    <w:uiPriority w:val="9"/>
    <w:unhideWhenUsed/>
    <w:qFormat/>
    <w:rsid w:val="00B3309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har"/>
    <w:unhideWhenUsed/>
    <w:qFormat/>
    <w:rsid w:val="00B3309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har"/>
    <w:uiPriority w:val="9"/>
    <w:semiHidden/>
    <w:unhideWhenUsed/>
    <w:qFormat/>
    <w:rsid w:val="00B3309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har"/>
    <w:uiPriority w:val="9"/>
    <w:semiHidden/>
    <w:unhideWhenUsed/>
    <w:qFormat/>
    <w:rsid w:val="00B3309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har"/>
    <w:uiPriority w:val="9"/>
    <w:semiHidden/>
    <w:unhideWhenUsed/>
    <w:qFormat/>
    <w:rsid w:val="00B3309B"/>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har"/>
    <w:uiPriority w:val="9"/>
    <w:semiHidden/>
    <w:unhideWhenUsed/>
    <w:qFormat/>
    <w:rsid w:val="00B3309B"/>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har"/>
    <w:uiPriority w:val="9"/>
    <w:semiHidden/>
    <w:unhideWhenUsed/>
    <w:qFormat/>
    <w:rsid w:val="00B3309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har"/>
    <w:uiPriority w:val="9"/>
    <w:semiHidden/>
    <w:unhideWhenUsed/>
    <w:qFormat/>
    <w:rsid w:val="00B3309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3309B"/>
    <w:rPr>
      <w:rFonts w:asciiTheme="majorHAnsi" w:eastAsiaTheme="majorEastAsia" w:hAnsiTheme="majorHAnsi" w:cstheme="majorBidi"/>
      <w:color w:val="538135" w:themeColor="accent6" w:themeShade="BF"/>
      <w:sz w:val="40"/>
      <w:szCs w:val="40"/>
    </w:rPr>
  </w:style>
  <w:style w:type="paragraph" w:customStyle="1" w:styleId="Publicao">
    <w:name w:val="Publicação"/>
    <w:basedOn w:val="Normal"/>
    <w:next w:val="Normal"/>
    <w:autoRedefine/>
    <w:rsid w:val="00AB7018"/>
    <w:pPr>
      <w:spacing w:before="120" w:after="120" w:line="276" w:lineRule="auto"/>
      <w:jc w:val="both"/>
    </w:pPr>
    <w:rPr>
      <w:rFonts w:ascii="Arial" w:hAnsi="Arial"/>
      <w:color w:val="000000" w:themeColor="text1"/>
      <w:sz w:val="18"/>
    </w:rPr>
  </w:style>
  <w:style w:type="table" w:customStyle="1" w:styleId="PublicaoDF">
    <w:name w:val="PublicaçãoDF"/>
    <w:basedOn w:val="Tabelanormal"/>
    <w:uiPriority w:val="99"/>
    <w:rsid w:val="00AB7018"/>
    <w:pPr>
      <w:spacing w:after="0" w:line="240" w:lineRule="auto"/>
    </w:pPr>
    <w:rPr>
      <w:rFonts w:ascii="Arial" w:hAnsi="Arial"/>
      <w:sz w:val="14"/>
    </w:rPr>
    <w:tblPr/>
  </w:style>
  <w:style w:type="table" w:customStyle="1" w:styleId="PublicaoBBSeg">
    <w:name w:val="PublicaçãoBBSeg"/>
    <w:basedOn w:val="Tabelanormal"/>
    <w:uiPriority w:val="99"/>
    <w:rsid w:val="00AB7018"/>
    <w:pPr>
      <w:spacing w:after="0" w:line="240" w:lineRule="auto"/>
    </w:pPr>
    <w:rPr>
      <w:rFonts w:ascii="Arial" w:hAnsi="Arial"/>
      <w:sz w:val="18"/>
    </w:rPr>
    <w:tblPr/>
  </w:style>
  <w:style w:type="paragraph" w:styleId="Cabealho">
    <w:name w:val="header"/>
    <w:aliases w:val="Heading 1a,encabezado,Appendix,Heading 1a Char Char Char Char,Draft,Table header,Draft1,Draft2,Guideline,encabezado Char Char Char Char Char,Car4,Header Char Char Char,even,Header Char"/>
    <w:basedOn w:val="Normal"/>
    <w:link w:val="CabealhoChar"/>
    <w:uiPriority w:val="99"/>
    <w:unhideWhenUsed/>
    <w:rsid w:val="00347240"/>
    <w:pPr>
      <w:tabs>
        <w:tab w:val="center" w:pos="4252"/>
        <w:tab w:val="right" w:pos="8504"/>
      </w:tabs>
      <w:spacing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347240"/>
  </w:style>
  <w:style w:type="paragraph" w:styleId="Rodap">
    <w:name w:val="footer"/>
    <w:basedOn w:val="Normal"/>
    <w:link w:val="RodapChar"/>
    <w:uiPriority w:val="99"/>
    <w:unhideWhenUsed/>
    <w:rsid w:val="00347240"/>
    <w:pPr>
      <w:tabs>
        <w:tab w:val="center" w:pos="4252"/>
        <w:tab w:val="right" w:pos="8504"/>
      </w:tabs>
      <w:spacing w:after="0" w:line="240" w:lineRule="auto"/>
    </w:pPr>
  </w:style>
  <w:style w:type="character" w:customStyle="1" w:styleId="RodapChar">
    <w:name w:val="Rodapé Char"/>
    <w:basedOn w:val="Fontepargpadro"/>
    <w:link w:val="Rodap"/>
    <w:uiPriority w:val="99"/>
    <w:rsid w:val="00347240"/>
  </w:style>
  <w:style w:type="paragraph" w:customStyle="1" w:styleId="08-Tabelageral">
    <w:name w:val="08-Tabela geral"/>
    <w:basedOn w:val="Normal"/>
    <w:uiPriority w:val="99"/>
    <w:qFormat/>
    <w:rsid w:val="002E72C4"/>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deLista6Colorida-nfase5">
    <w:name w:val="List Table 6 Colorful Accent 5"/>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5-Textonormal1">
    <w:name w:val="05-Texto normal1"/>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extonormal2">
    <w:name w:val="01-Texto normal2"/>
    <w:basedOn w:val="Normal"/>
    <w:uiPriority w:val="99"/>
    <w:qFormat/>
    <w:rsid w:val="002E72C4"/>
    <w:pPr>
      <w:suppressAutoHyphens/>
      <w:spacing w:before="120" w:after="120" w:line="276" w:lineRule="auto"/>
      <w:jc w:val="both"/>
    </w:pPr>
    <w:rPr>
      <w:rFonts w:ascii="Arial" w:eastAsia="Times New Roman" w:hAnsi="Arial" w:cs="Times New Roman"/>
      <w:kern w:val="20"/>
      <w:sz w:val="18"/>
      <w:szCs w:val="20"/>
      <w:lang w:eastAsia="pt-BR"/>
    </w:rPr>
  </w:style>
  <w:style w:type="paragraph" w:customStyle="1" w:styleId="05-Textonormal">
    <w:name w:val="05-Texto normal"/>
    <w:basedOn w:val="Normal"/>
    <w:qFormat/>
    <w:rsid w:val="002E72C4"/>
    <w:pPr>
      <w:spacing w:before="120" w:after="120" w:line="276" w:lineRule="auto"/>
      <w:jc w:val="both"/>
    </w:pPr>
    <w:rPr>
      <w:rFonts w:ascii="Arial" w:eastAsia="Times New Roman" w:hAnsi="Arial" w:cs="Times New Roman"/>
      <w:spacing w:val="-2"/>
      <w:sz w:val="18"/>
      <w:szCs w:val="18"/>
      <w:lang w:eastAsia="pt-BR"/>
    </w:rPr>
  </w:style>
  <w:style w:type="paragraph" w:customStyle="1" w:styleId="01-TtulodeNota">
    <w:name w:val="01-Título de Nota"/>
    <w:basedOn w:val="05-Textonormal"/>
    <w:next w:val="Normal"/>
    <w:uiPriority w:val="99"/>
    <w:qFormat/>
    <w:rsid w:val="002E72C4"/>
    <w:pPr>
      <w:spacing w:line="240" w:lineRule="auto"/>
    </w:pPr>
    <w:rPr>
      <w:b/>
      <w:sz w:val="20"/>
      <w:szCs w:val="20"/>
    </w:rPr>
  </w:style>
  <w:style w:type="paragraph" w:customStyle="1" w:styleId="04-TtuloNegrito">
    <w:name w:val="04-Título Negrito"/>
    <w:basedOn w:val="Normal"/>
    <w:next w:val="Normal"/>
    <w:qFormat/>
    <w:rsid w:val="002E72C4"/>
    <w:pPr>
      <w:spacing w:before="120" w:after="120" w:line="240" w:lineRule="auto"/>
      <w:jc w:val="both"/>
      <w:outlineLvl w:val="1"/>
    </w:pPr>
    <w:rPr>
      <w:rFonts w:ascii="Arial" w:eastAsia="Times New Roman" w:hAnsi="Arial" w:cs="Times New Roman"/>
      <w:b/>
      <w:spacing w:val="-2"/>
      <w:sz w:val="20"/>
      <w:szCs w:val="20"/>
      <w:lang w:eastAsia="pt-BR"/>
    </w:rPr>
  </w:style>
  <w:style w:type="paragraph" w:customStyle="1" w:styleId="07-Legenda">
    <w:name w:val="07-Legenda"/>
    <w:basedOn w:val="Normal"/>
    <w:qFormat/>
    <w:rsid w:val="002E72C4"/>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table" w:customStyle="1" w:styleId="TabeladeLista6Colorida-nfase51">
    <w:name w:val="Tabela de Lista 6 Colorida - Ênfase 51"/>
    <w:basedOn w:val="Tabelanormal"/>
    <w:uiPriority w:val="51"/>
    <w:rsid w:val="002E72C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cPr>
      <w:shd w:val="clear" w:color="auto" w:fill="auto"/>
    </w:tcPr>
    <w:tblStylePr w:type="firstRow">
      <w:rPr>
        <w:b/>
        <w:bCs/>
      </w:rPr>
      <w:tblPr/>
      <w:tcPr>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EEAF6" w:themeFill="accent5" w:themeFillTint="33"/>
      </w:tcPr>
    </w:tblStylePr>
  </w:style>
  <w:style w:type="paragraph" w:styleId="PargrafodaLista">
    <w:name w:val="List Paragraph"/>
    <w:basedOn w:val="Normal"/>
    <w:uiPriority w:val="34"/>
    <w:qFormat/>
    <w:rsid w:val="00527540"/>
    <w:pPr>
      <w:ind w:left="720"/>
      <w:contextualSpacing/>
    </w:pPr>
  </w:style>
  <w:style w:type="paragraph" w:customStyle="1" w:styleId="03-SubttulodeNota">
    <w:name w:val="03-Subtítulo de Nota"/>
    <w:basedOn w:val="05-Textonormal"/>
    <w:next w:val="Normal"/>
    <w:uiPriority w:val="99"/>
    <w:qFormat/>
    <w:rsid w:val="004115E5"/>
    <w:pPr>
      <w:spacing w:line="240" w:lineRule="auto"/>
      <w:outlineLvl w:val="1"/>
    </w:pPr>
    <w:rPr>
      <w:b/>
      <w:sz w:val="20"/>
      <w:szCs w:val="20"/>
    </w:rPr>
  </w:style>
  <w:style w:type="paragraph" w:customStyle="1" w:styleId="01-Textonormal">
    <w:name w:val="01-Texto normal"/>
    <w:basedOn w:val="05-Textonormal"/>
    <w:link w:val="01-TextonormalChar1"/>
    <w:qFormat/>
    <w:rsid w:val="004115E5"/>
  </w:style>
  <w:style w:type="character" w:customStyle="1" w:styleId="01-TextonormalChar1">
    <w:name w:val="01-Texto normal Char1"/>
    <w:basedOn w:val="Fontepargpadro"/>
    <w:link w:val="01-Textonormal"/>
    <w:rsid w:val="00DE3DF5"/>
    <w:rPr>
      <w:rFonts w:ascii="Arial" w:eastAsia="Times New Roman" w:hAnsi="Arial" w:cs="Times New Roman"/>
      <w:spacing w:val="-2"/>
      <w:sz w:val="18"/>
      <w:szCs w:val="18"/>
      <w:lang w:eastAsia="pt-BR"/>
    </w:rPr>
  </w:style>
  <w:style w:type="paragraph" w:customStyle="1" w:styleId="06-Rmil">
    <w:name w:val="06-R$ mil"/>
    <w:basedOn w:val="Normal"/>
    <w:next w:val="Normal"/>
    <w:link w:val="06-RmilChar"/>
    <w:uiPriority w:val="99"/>
    <w:qFormat/>
    <w:rsid w:val="00773825"/>
    <w:pPr>
      <w:keepNext/>
      <w:keepLines/>
      <w:spacing w:after="0" w:line="240" w:lineRule="auto"/>
      <w:jc w:val="right"/>
    </w:pPr>
    <w:rPr>
      <w:rFonts w:ascii="Arial" w:eastAsia="Times New Roman" w:hAnsi="Arial" w:cs="Times New Roman"/>
      <w:b/>
      <w:spacing w:val="-2"/>
      <w:sz w:val="14"/>
      <w:szCs w:val="18"/>
      <w:lang w:eastAsia="pt-BR"/>
    </w:rPr>
  </w:style>
  <w:style w:type="character" w:customStyle="1" w:styleId="06-RmilChar">
    <w:name w:val="06-R$ mil Char"/>
    <w:link w:val="06-Rmil"/>
    <w:rsid w:val="00773825"/>
    <w:rPr>
      <w:rFonts w:ascii="Arial" w:eastAsia="Times New Roman" w:hAnsi="Arial" w:cs="Times New Roman"/>
      <w:b/>
      <w:spacing w:val="-2"/>
      <w:sz w:val="14"/>
      <w:szCs w:val="18"/>
      <w:lang w:eastAsia="pt-BR"/>
    </w:rPr>
  </w:style>
  <w:style w:type="paragraph" w:styleId="Ttulo">
    <w:name w:val="Title"/>
    <w:basedOn w:val="Normal"/>
    <w:next w:val="Normal"/>
    <w:link w:val="TtuloChar"/>
    <w:uiPriority w:val="10"/>
    <w:qFormat/>
    <w:rsid w:val="00B3309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B3309B"/>
    <w:rPr>
      <w:rFonts w:asciiTheme="majorHAnsi" w:eastAsiaTheme="majorEastAsia" w:hAnsiTheme="majorHAnsi" w:cstheme="majorBidi"/>
      <w:color w:val="262626" w:themeColor="text1" w:themeTint="D9"/>
      <w:spacing w:val="-15"/>
      <w:sz w:val="96"/>
      <w:szCs w:val="96"/>
    </w:rPr>
  </w:style>
  <w:style w:type="paragraph" w:customStyle="1" w:styleId="05-Textonormal2">
    <w:name w:val="05-Texto normal2"/>
    <w:basedOn w:val="Normal"/>
    <w:qFormat/>
    <w:rsid w:val="00D74995"/>
    <w:pPr>
      <w:spacing w:before="120" w:after="120" w:line="276" w:lineRule="auto"/>
      <w:jc w:val="both"/>
    </w:pPr>
    <w:rPr>
      <w:rFonts w:ascii="Arial" w:eastAsia="Times New Roman" w:hAnsi="Arial" w:cs="Times New Roman"/>
      <w:spacing w:val="-2"/>
      <w:sz w:val="18"/>
      <w:szCs w:val="18"/>
      <w:lang w:eastAsia="pt-BR"/>
    </w:rPr>
  </w:style>
  <w:style w:type="paragraph" w:styleId="CabealhodoSumrio">
    <w:name w:val="TOC Heading"/>
    <w:basedOn w:val="Ttulo1"/>
    <w:next w:val="Normal"/>
    <w:uiPriority w:val="39"/>
    <w:unhideWhenUsed/>
    <w:qFormat/>
    <w:rsid w:val="00B3309B"/>
    <w:pPr>
      <w:outlineLvl w:val="9"/>
    </w:pPr>
  </w:style>
  <w:style w:type="paragraph" w:styleId="Sumrio1">
    <w:name w:val="toc 1"/>
    <w:basedOn w:val="Normal"/>
    <w:next w:val="Normal"/>
    <w:autoRedefine/>
    <w:uiPriority w:val="39"/>
    <w:unhideWhenUsed/>
    <w:rsid w:val="008B6917"/>
    <w:pPr>
      <w:tabs>
        <w:tab w:val="right" w:leader="dot" w:pos="9628"/>
      </w:tabs>
      <w:spacing w:after="100"/>
    </w:pPr>
    <w:rPr>
      <w:rFonts w:ascii="Arial" w:hAnsi="Arial" w:cs="Arial"/>
      <w:b/>
      <w:noProof/>
      <w:color w:val="002060"/>
      <w:sz w:val="20"/>
      <w:szCs w:val="20"/>
    </w:rPr>
  </w:style>
  <w:style w:type="paragraph" w:styleId="Sumrio2">
    <w:name w:val="toc 2"/>
    <w:basedOn w:val="Normal"/>
    <w:next w:val="Normal"/>
    <w:autoRedefine/>
    <w:uiPriority w:val="39"/>
    <w:unhideWhenUsed/>
    <w:rsid w:val="008353DA"/>
    <w:pPr>
      <w:spacing w:after="100"/>
      <w:ind w:left="220"/>
    </w:pPr>
  </w:style>
  <w:style w:type="character" w:styleId="Hyperlink">
    <w:name w:val="Hyperlink"/>
    <w:basedOn w:val="Fontepargpadro"/>
    <w:uiPriority w:val="99"/>
    <w:unhideWhenUsed/>
    <w:rsid w:val="008353DA"/>
    <w:rPr>
      <w:color w:val="0563C1" w:themeColor="hyperlink"/>
      <w:u w:val="single"/>
    </w:rPr>
  </w:style>
  <w:style w:type="table" w:customStyle="1" w:styleId="TabeladeLista6Colorida-nfase512">
    <w:name w:val="Tabela de Lista 6 Colorida - Ênfase 51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shd w:val="clear" w:color="auto" w:fill="D9E2F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2Horz">
      <w:tblPr/>
      <w:tcPr>
        <w:shd w:val="clear" w:color="auto" w:fill="D9E2F3"/>
      </w:tcPr>
    </w:tblStylePr>
  </w:style>
  <w:style w:type="paragraph" w:customStyle="1" w:styleId="08-Tabelageral1">
    <w:name w:val="08-Tabela geral1"/>
    <w:basedOn w:val="Normal"/>
    <w:qFormat/>
    <w:rsid w:val="00AD173D"/>
    <w:pPr>
      <w:keepNext/>
      <w:keepLines/>
      <w:suppressAutoHyphens/>
      <w:spacing w:before="40" w:after="40" w:line="276" w:lineRule="auto"/>
      <w:jc w:val="right"/>
    </w:pPr>
    <w:rPr>
      <w:rFonts w:ascii="Arial" w:eastAsia="Times New Roman" w:hAnsi="Arial" w:cs="Times New Roman"/>
      <w:kern w:val="20"/>
      <w:sz w:val="14"/>
      <w:szCs w:val="20"/>
      <w:lang w:eastAsia="pt-BR"/>
    </w:rPr>
  </w:style>
  <w:style w:type="table" w:customStyle="1" w:styleId="TabeladeLista6Colorida-nfase52">
    <w:name w:val="Tabela de Lista 6 Colorida - Ênfase 52"/>
    <w:basedOn w:val="Tabelanormal"/>
    <w:next w:val="TabeladeLista6Colorida-nfase5"/>
    <w:uiPriority w:val="51"/>
    <w:rsid w:val="00AD173D"/>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2-TtulodeNota">
    <w:name w:val="02-Título de Nota"/>
    <w:basedOn w:val="05-Textonormal"/>
    <w:next w:val="Normal"/>
    <w:qFormat/>
    <w:rsid w:val="00B068DD"/>
    <w:pPr>
      <w:spacing w:line="240" w:lineRule="auto"/>
      <w:outlineLvl w:val="0"/>
    </w:pPr>
    <w:rPr>
      <w:b/>
      <w:sz w:val="20"/>
      <w:szCs w:val="20"/>
    </w:rPr>
  </w:style>
  <w:style w:type="character" w:customStyle="1" w:styleId="TextodebaloChar">
    <w:name w:val="Texto de balão Char"/>
    <w:basedOn w:val="Fontepargpadro"/>
    <w:link w:val="Textodebalo"/>
    <w:uiPriority w:val="99"/>
    <w:semiHidden/>
    <w:rsid w:val="00025BF4"/>
    <w:rPr>
      <w:rFonts w:ascii="Segoe UI" w:eastAsia="MS Mincho" w:hAnsi="Segoe UI" w:cs="Segoe UI"/>
      <w:sz w:val="18"/>
      <w:szCs w:val="18"/>
    </w:rPr>
  </w:style>
  <w:style w:type="paragraph" w:styleId="Textodebalo">
    <w:name w:val="Balloon Text"/>
    <w:basedOn w:val="Normal"/>
    <w:link w:val="TextodebaloChar"/>
    <w:uiPriority w:val="99"/>
    <w:semiHidden/>
    <w:unhideWhenUsed/>
    <w:rsid w:val="00025BF4"/>
    <w:pPr>
      <w:spacing w:after="0" w:line="240" w:lineRule="auto"/>
    </w:pPr>
    <w:rPr>
      <w:rFonts w:ascii="Segoe UI" w:eastAsia="MS Mincho" w:hAnsi="Segoe UI" w:cs="Segoe UI"/>
      <w:sz w:val="18"/>
      <w:szCs w:val="18"/>
    </w:rPr>
  </w:style>
  <w:style w:type="character" w:customStyle="1" w:styleId="TextodecomentrioChar">
    <w:name w:val="Texto de comentário Char"/>
    <w:basedOn w:val="Fontepargpadro"/>
    <w:link w:val="Textodecomentrio"/>
    <w:uiPriority w:val="99"/>
    <w:rsid w:val="00025BF4"/>
    <w:rPr>
      <w:rFonts w:eastAsia="MS Mincho"/>
      <w:sz w:val="20"/>
      <w:szCs w:val="20"/>
    </w:rPr>
  </w:style>
  <w:style w:type="paragraph" w:styleId="Textodecomentrio">
    <w:name w:val="annotation text"/>
    <w:basedOn w:val="Normal"/>
    <w:link w:val="TextodecomentrioChar"/>
    <w:uiPriority w:val="99"/>
    <w:unhideWhenUsed/>
    <w:rsid w:val="00025BF4"/>
    <w:pPr>
      <w:spacing w:line="240" w:lineRule="auto"/>
    </w:pPr>
    <w:rPr>
      <w:rFonts w:eastAsia="MS Mincho"/>
      <w:sz w:val="20"/>
      <w:szCs w:val="20"/>
    </w:rPr>
  </w:style>
  <w:style w:type="character" w:customStyle="1" w:styleId="AssuntodocomentrioChar">
    <w:name w:val="Assunto do comentário Char"/>
    <w:basedOn w:val="TextodecomentrioChar"/>
    <w:link w:val="Assuntodocomentrio"/>
    <w:uiPriority w:val="99"/>
    <w:semiHidden/>
    <w:rsid w:val="00025BF4"/>
    <w:rPr>
      <w:rFonts w:eastAsia="MS Mincho"/>
      <w:b/>
      <w:bCs/>
      <w:sz w:val="20"/>
      <w:szCs w:val="20"/>
    </w:rPr>
  </w:style>
  <w:style w:type="paragraph" w:styleId="Assuntodocomentrio">
    <w:name w:val="annotation subject"/>
    <w:basedOn w:val="Textodecomentrio"/>
    <w:next w:val="Textodecomentrio"/>
    <w:link w:val="AssuntodocomentrioChar"/>
    <w:uiPriority w:val="99"/>
    <w:semiHidden/>
    <w:unhideWhenUsed/>
    <w:rsid w:val="00025BF4"/>
    <w:rPr>
      <w:b/>
      <w:bCs/>
    </w:rPr>
  </w:style>
  <w:style w:type="table" w:styleId="Tabelacomgrade">
    <w:name w:val="Table Grid"/>
    <w:basedOn w:val="Tabelanormal"/>
    <w:uiPriority w:val="59"/>
    <w:rsid w:val="00CB1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nfase1">
    <w:name w:val="Grid Table 1 Light Accent 1"/>
    <w:basedOn w:val="Tabelanormal"/>
    <w:uiPriority w:val="46"/>
    <w:rsid w:val="00CB13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CB13A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Lista7Colorida-nfase1">
    <w:name w:val="List Table 7 Colorful Accent 1"/>
    <w:basedOn w:val="Tabelanormal"/>
    <w:uiPriority w:val="52"/>
    <w:rsid w:val="00CB13A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CB13A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adeGrade2-nfase5">
    <w:name w:val="Grid Table 2 Accent 5"/>
    <w:basedOn w:val="Tabelanormal"/>
    <w:uiPriority w:val="47"/>
    <w:rsid w:val="00CB13A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Grade6Colorida-nfase5">
    <w:name w:val="Grid Table 6 Colorful Accent 5"/>
    <w:basedOn w:val="Tabelanormal"/>
    <w:uiPriority w:val="51"/>
    <w:rsid w:val="00CB13A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5">
    <w:name w:val="List Table 2 Accent 5"/>
    <w:basedOn w:val="Tabelanormal"/>
    <w:uiPriority w:val="47"/>
    <w:rsid w:val="00CB13A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4-nfase5">
    <w:name w:val="List Table 4 Accent 5"/>
    <w:basedOn w:val="Tabelanormal"/>
    <w:uiPriority w:val="49"/>
    <w:rsid w:val="00CB13A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eladeLista2-nfase1">
    <w:name w:val="List Table 2 Accent 1"/>
    <w:basedOn w:val="Tabelanormal"/>
    <w:uiPriority w:val="47"/>
    <w:rsid w:val="00CB13A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comentrio">
    <w:name w:val="annotation reference"/>
    <w:basedOn w:val="Fontepargpadro"/>
    <w:uiPriority w:val="99"/>
    <w:unhideWhenUsed/>
    <w:rsid w:val="00CB13A2"/>
    <w:rPr>
      <w:sz w:val="16"/>
      <w:szCs w:val="16"/>
    </w:rPr>
  </w:style>
  <w:style w:type="table" w:customStyle="1" w:styleId="TabeladeGrade1Clara-nfase11">
    <w:name w:val="Tabela de Grade 1 Clara - Ênfase 11"/>
    <w:basedOn w:val="Tabelanormal"/>
    <w:uiPriority w:val="46"/>
    <w:rsid w:val="003E286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3E286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
    <w:name w:val="Tabela de Lista 7 Colorida - Ênfase 11"/>
    <w:basedOn w:val="Tabelanormal"/>
    <w:uiPriority w:val="52"/>
    <w:rsid w:val="003E286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3E286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
    <w:name w:val="Tabela de Grade 2 - Ênfase 51"/>
    <w:basedOn w:val="Tabelanormal"/>
    <w:uiPriority w:val="47"/>
    <w:rsid w:val="003E286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
    <w:name w:val="Tabela de Grade 6 Colorida - Ênfase 51"/>
    <w:basedOn w:val="Tabelanormal"/>
    <w:uiPriority w:val="51"/>
    <w:rsid w:val="003E286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
    <w:name w:val="Tabela de Lista 2 - Ênfase 51"/>
    <w:basedOn w:val="Tabelanormal"/>
    <w:uiPriority w:val="47"/>
    <w:rsid w:val="003E286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
    <w:name w:val="Tabela de Lista 4 - Ênfase 51"/>
    <w:basedOn w:val="Tabelanormal"/>
    <w:uiPriority w:val="49"/>
    <w:rsid w:val="003E286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
    <w:name w:val="Tabela de Lista 2 - Ênfase 11"/>
    <w:basedOn w:val="Tabelanormal"/>
    <w:uiPriority w:val="47"/>
    <w:rsid w:val="003E286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iperlinkVisitado">
    <w:name w:val="FollowedHyperlink"/>
    <w:basedOn w:val="Fontepargpadro"/>
    <w:uiPriority w:val="99"/>
    <w:semiHidden/>
    <w:unhideWhenUsed/>
    <w:rsid w:val="003E286D"/>
    <w:rPr>
      <w:color w:val="954F72" w:themeColor="followedHyperlink"/>
      <w:u w:val="single"/>
    </w:rPr>
  </w:style>
  <w:style w:type="paragraph" w:customStyle="1" w:styleId="msonormal0">
    <w:name w:val="msonormal"/>
    <w:basedOn w:val="Normal"/>
    <w:rsid w:val="003E286D"/>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3E286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3E286D"/>
    <w:pPr>
      <w:spacing w:after="0" w:line="240" w:lineRule="auto"/>
    </w:pPr>
    <w:rPr>
      <w:rFonts w:eastAsia="MS Mincho"/>
    </w:rPr>
  </w:style>
  <w:style w:type="table" w:customStyle="1" w:styleId="Tabelacomgrade2">
    <w:name w:val="Tabela com grade2"/>
    <w:basedOn w:val="Tabelanormal"/>
    <w:next w:val="Tabelacomgrade"/>
    <w:uiPriority w:val="39"/>
    <w:rsid w:val="00123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1235A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1235A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
    <w:name w:val="Tabela de Lista 6 Colorida - Ênfase 511"/>
    <w:basedOn w:val="Tabelanormal"/>
    <w:uiPriority w:val="51"/>
    <w:rsid w:val="001235AB"/>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
    <w:name w:val="Tabela de Lista 7 Colorida - Ênfase 111"/>
    <w:basedOn w:val="Tabelanormal"/>
    <w:uiPriority w:val="52"/>
    <w:rsid w:val="001235A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1235A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
    <w:name w:val="Tabela de Grade 2 - Ênfase 511"/>
    <w:basedOn w:val="Tabelanormal"/>
    <w:uiPriority w:val="47"/>
    <w:rsid w:val="001235A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
    <w:name w:val="Tabela de Grade 6 Colorida - Ênfase 511"/>
    <w:basedOn w:val="Tabelanormal"/>
    <w:uiPriority w:val="51"/>
    <w:rsid w:val="001235A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
    <w:name w:val="Tabela de Lista 2 - Ênfase 511"/>
    <w:basedOn w:val="Tabelanormal"/>
    <w:uiPriority w:val="47"/>
    <w:rsid w:val="001235A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
    <w:name w:val="Tabela de Lista 4 - Ênfase 511"/>
    <w:basedOn w:val="Tabelanormal"/>
    <w:uiPriority w:val="49"/>
    <w:rsid w:val="001235A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
    <w:name w:val="Tabela de Lista 2 - Ênfase 111"/>
    <w:basedOn w:val="Tabelanormal"/>
    <w:uiPriority w:val="47"/>
    <w:rsid w:val="001235A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
    <w:name w:val="Tabela com grade11"/>
    <w:basedOn w:val="Tabelanormal"/>
    <w:next w:val="Tabelacomgrade"/>
    <w:uiPriority w:val="39"/>
    <w:rsid w:val="001235A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
    <w:uiPriority w:val="46"/>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
    <w:name w:val="Tabela de Grade 2 - Ênfase 512"/>
    <w:basedOn w:val="Tabelanormal"/>
    <w:next w:val="TabeladeGrade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
    <w:name w:val="Tabela de Grade 6 Colorida - Ênfase 512"/>
    <w:basedOn w:val="Tabelanormal"/>
    <w:next w:val="TabeladeGrade6Colorida-nfase51"/>
    <w:uiPriority w:val="51"/>
    <w:rsid w:val="001235AB"/>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
    <w:name w:val="Tabela de Lista 2 - Ênfase 112"/>
    <w:basedOn w:val="Tabelanormal"/>
    <w:next w:val="TabeladeLista2-nfase1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
    <w:name w:val="Tabela de Lista 4 - Ênfase 112"/>
    <w:basedOn w:val="Tabelanormal"/>
    <w:next w:val="TabeladeLista4-nfase1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
    <w:name w:val="Tabela de Lista 7 Colorida - Ênfase 112"/>
    <w:basedOn w:val="Tabelanormal"/>
    <w:next w:val="TabeladeLista7Colorida-nfase11"/>
    <w:uiPriority w:val="52"/>
    <w:rsid w:val="001235AB"/>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
    <w:uiPriority w:val="47"/>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
    <w:name w:val="Tabela de Lista 4 - Ênfase 512"/>
    <w:basedOn w:val="Tabelanormal"/>
    <w:next w:val="TabeladeLista4-nfase51"/>
    <w:uiPriority w:val="49"/>
    <w:rsid w:val="001235AB"/>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comgrade3">
    <w:name w:val="Tabela com grade3"/>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3">
    <w:name w:val="Tabela de Grade 1 Clara - Ênfase 113"/>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3">
    <w:name w:val="Tabela de Lista 6 Colorida - Ênfase 513"/>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3">
    <w:name w:val="Tabela de Lista 7 Colorida - Ênfase 113"/>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3">
    <w:name w:val="Tabela de Grade 2 - Ênfase 513"/>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3">
    <w:name w:val="Tabela de Grade 6 Colorida - Ênfase 513"/>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3">
    <w:name w:val="Tabela de Lista 2 - Ênfase 513"/>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3">
    <w:name w:val="Tabela de Lista 4 - Ênfase 513"/>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3">
    <w:name w:val="Tabela de Lista 2 - Ênfase 113"/>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2">
    <w:name w:val="Tabela com grade12"/>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4">
    <w:name w:val="Tabela de Grade 1 Clara - Ênfase 114"/>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4">
    <w:name w:val="Tabela de Grade 2 - Ênfase 114"/>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4">
    <w:name w:val="Tabela de Grade 2 - Ênfase 514"/>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4">
    <w:name w:val="Tabela de Grade 6 Colorida - Ênfase 514"/>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4">
    <w:name w:val="Tabela de Lista 2 - Ênfase 114"/>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4">
    <w:name w:val="Tabela de Lista 4 - Ênfase 114"/>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4">
    <w:name w:val="Tabela de Lista 7 Colorida - Ênfase 114"/>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4">
    <w:name w:val="Tabela de Lista 2 - Ênfase 514"/>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4">
    <w:name w:val="Tabela de Lista 4 - Ênfase 514"/>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4">
    <w:name w:val="Tabela de Lista 6 Colorida - Ênfase 514"/>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1">
    <w:name w:val="Tabela com grade21"/>
    <w:basedOn w:val="Tabelanormal"/>
    <w:next w:val="Tabelacomgrade"/>
    <w:uiPriority w:val="39"/>
    <w:rsid w:val="00560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1">
    <w:name w:val="Tabela de Grade 1 Clara - Ênfase 1111"/>
    <w:basedOn w:val="Tabelanormal"/>
    <w:uiPriority w:val="46"/>
    <w:rsid w:val="00560E2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1">
    <w:name w:val="Tabela de Lista 4 - Ênfase 1111"/>
    <w:basedOn w:val="Tabelanormal"/>
    <w:uiPriority w:val="49"/>
    <w:rsid w:val="00560E2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1">
    <w:name w:val="Tabela de Lista 6 Colorida - Ênfase 5111"/>
    <w:basedOn w:val="Tabelanormal"/>
    <w:uiPriority w:val="51"/>
    <w:rsid w:val="00560E2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1">
    <w:name w:val="Tabela de Lista 7 Colorida - Ênfase 1111"/>
    <w:basedOn w:val="Tabelanormal"/>
    <w:uiPriority w:val="52"/>
    <w:rsid w:val="00560E2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1">
    <w:name w:val="Tabela de Grade 2 - Ênfase 1111"/>
    <w:basedOn w:val="Tabelanormal"/>
    <w:uiPriority w:val="47"/>
    <w:rsid w:val="00560E2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1">
    <w:name w:val="Tabela de Grade 2 - Ênfase 5111"/>
    <w:basedOn w:val="Tabelanormal"/>
    <w:uiPriority w:val="47"/>
    <w:rsid w:val="00560E2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1">
    <w:name w:val="Tabela de Grade 6 Colorida - Ênfase 5111"/>
    <w:basedOn w:val="Tabelanormal"/>
    <w:uiPriority w:val="51"/>
    <w:rsid w:val="00560E2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1">
    <w:name w:val="Tabela de Lista 2 - Ênfase 5111"/>
    <w:basedOn w:val="Tabelanormal"/>
    <w:uiPriority w:val="47"/>
    <w:rsid w:val="00560E2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1">
    <w:name w:val="Tabela de Lista 4 - Ênfase 5111"/>
    <w:basedOn w:val="Tabelanormal"/>
    <w:uiPriority w:val="49"/>
    <w:rsid w:val="00560E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1">
    <w:name w:val="Tabela de Lista 2 - Ênfase 1111"/>
    <w:basedOn w:val="Tabelanormal"/>
    <w:uiPriority w:val="47"/>
    <w:rsid w:val="00560E2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1">
    <w:name w:val="Tabela com grade111"/>
    <w:basedOn w:val="Tabelanormal"/>
    <w:next w:val="Tabelacomgrade"/>
    <w:uiPriority w:val="39"/>
    <w:rsid w:val="00560E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1">
    <w:name w:val="Tabela de Grade 1 Clara - Ênfase 1121"/>
    <w:basedOn w:val="Tabelanormal"/>
    <w:next w:val="TabeladeGrade1Clara-nfase11"/>
    <w:uiPriority w:val="46"/>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1">
    <w:name w:val="Tabela de Grade 2 - Ênfase 1121"/>
    <w:basedOn w:val="Tabelanormal"/>
    <w:next w:val="TabeladeGrade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1">
    <w:name w:val="Tabela de Grade 2 - Ênfase 5121"/>
    <w:basedOn w:val="Tabelanormal"/>
    <w:next w:val="TabeladeGrade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1">
    <w:name w:val="Tabela de Grade 6 Colorida - Ênfase 5121"/>
    <w:basedOn w:val="Tabelanormal"/>
    <w:next w:val="TabeladeGrade6Colorida-nfase51"/>
    <w:uiPriority w:val="51"/>
    <w:rsid w:val="00560E2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1">
    <w:name w:val="Tabela de Lista 2 - Ênfase 1121"/>
    <w:basedOn w:val="Tabelanormal"/>
    <w:next w:val="TabeladeLista2-nfase1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1">
    <w:name w:val="Tabela de Lista 4 - Ênfase 1121"/>
    <w:basedOn w:val="Tabelanormal"/>
    <w:next w:val="TabeladeLista4-nfase1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1">
    <w:name w:val="Tabela de Lista 7 Colorida - Ênfase 1121"/>
    <w:basedOn w:val="Tabelanormal"/>
    <w:next w:val="TabeladeLista7Colorida-nfase11"/>
    <w:uiPriority w:val="52"/>
    <w:rsid w:val="00560E2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1">
    <w:name w:val="Tabela de Lista 2 - Ênfase 5121"/>
    <w:basedOn w:val="Tabelanormal"/>
    <w:next w:val="TabeladeLista2-nfase51"/>
    <w:uiPriority w:val="47"/>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1">
    <w:name w:val="Tabela de Lista 4 - Ênfase 5121"/>
    <w:basedOn w:val="Tabelanormal"/>
    <w:next w:val="TabeladeLista4-nfase51"/>
    <w:uiPriority w:val="49"/>
    <w:rsid w:val="00560E2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1">
    <w:name w:val="Tabela de Lista 6 Colorida - Ênfase 5121"/>
    <w:basedOn w:val="Tabelanormal"/>
    <w:next w:val="TabeladeLista6Colorida-nfase51"/>
    <w:uiPriority w:val="51"/>
    <w:rsid w:val="00560E2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customStyle="1" w:styleId="09-Lista">
    <w:name w:val="09-Lista"/>
    <w:basedOn w:val="01-Textonormal"/>
    <w:qFormat/>
    <w:rsid w:val="001A6999"/>
    <w:pPr>
      <w:numPr>
        <w:numId w:val="1"/>
      </w:numPr>
      <w:tabs>
        <w:tab w:val="left" w:pos="851"/>
      </w:tabs>
      <w:spacing w:before="0" w:after="0"/>
    </w:pPr>
  </w:style>
  <w:style w:type="table" w:customStyle="1" w:styleId="Tabelacomgrade4">
    <w:name w:val="Tabela com grade4"/>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5">
    <w:name w:val="Tabela de Grade 1 Clara - Ênfase 115"/>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5">
    <w:name w:val="Tabela de Lista 4 - Ênfase 115"/>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5">
    <w:name w:val="Tabela de Lista 6 Colorida - Ênfase 515"/>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5">
    <w:name w:val="Tabela de Lista 7 Colorida - Ênfase 115"/>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5">
    <w:name w:val="Tabela de Grade 2 - Ênfase 115"/>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5">
    <w:name w:val="Tabela de Grade 2 - Ênfase 515"/>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5">
    <w:name w:val="Tabela de Grade 6 Colorida - Ênfase 515"/>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5">
    <w:name w:val="Tabela de Lista 2 - Ênfase 515"/>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5">
    <w:name w:val="Tabela de Lista 4 - Ênfase 515"/>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5">
    <w:name w:val="Tabela de Lista 2 - Ênfase 115"/>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3">
    <w:name w:val="Tabela com grade13"/>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6">
    <w:name w:val="Tabela de Grade 1 Clara - Ênfase 116"/>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6">
    <w:name w:val="Tabela de Grade 2 - Ênfase 116"/>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6">
    <w:name w:val="Tabela de Grade 2 - Ênfase 516"/>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6">
    <w:name w:val="Tabela de Grade 6 Colorida - Ênfase 516"/>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6">
    <w:name w:val="Tabela de Lista 2 - Ênfase 116"/>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6">
    <w:name w:val="Tabela de Lista 4 - Ênfase 116"/>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6">
    <w:name w:val="Tabela de Lista 7 Colorida - Ênfase 116"/>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6">
    <w:name w:val="Tabela de Lista 2 - Ênfase 516"/>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6">
    <w:name w:val="Tabela de Lista 4 - Ênfase 516"/>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6">
    <w:name w:val="Tabela de Lista 6 Colorida - Ênfase 516"/>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2">
    <w:name w:val="Tabela com grade22"/>
    <w:basedOn w:val="Tabelanormal"/>
    <w:next w:val="Tabelacomgrade"/>
    <w:uiPriority w:val="39"/>
    <w:rsid w:val="001E2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2">
    <w:name w:val="Tabela de Grade 1 Clara - Ênfase 1112"/>
    <w:basedOn w:val="Tabelanormal"/>
    <w:uiPriority w:val="46"/>
    <w:rsid w:val="001E251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2">
    <w:name w:val="Tabela de Lista 4 - Ênfase 1112"/>
    <w:basedOn w:val="Tabelanormal"/>
    <w:uiPriority w:val="49"/>
    <w:rsid w:val="001E251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2">
    <w:name w:val="Tabela de Lista 6 Colorida - Ênfase 5112"/>
    <w:basedOn w:val="Tabelanormal"/>
    <w:uiPriority w:val="51"/>
    <w:rsid w:val="001E2515"/>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2">
    <w:name w:val="Tabela de Lista 7 Colorida - Ênfase 1112"/>
    <w:basedOn w:val="Tabelanormal"/>
    <w:uiPriority w:val="52"/>
    <w:rsid w:val="001E251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2">
    <w:name w:val="Tabela de Grade 2 - Ênfase 1112"/>
    <w:basedOn w:val="Tabelanormal"/>
    <w:uiPriority w:val="47"/>
    <w:rsid w:val="001E251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2">
    <w:name w:val="Tabela de Grade 2 - Ênfase 5112"/>
    <w:basedOn w:val="Tabelanormal"/>
    <w:uiPriority w:val="47"/>
    <w:rsid w:val="001E251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2">
    <w:name w:val="Tabela de Grade 6 Colorida - Ênfase 5112"/>
    <w:basedOn w:val="Tabelanormal"/>
    <w:uiPriority w:val="51"/>
    <w:rsid w:val="001E251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2">
    <w:name w:val="Tabela de Lista 2 - Ênfase 5112"/>
    <w:basedOn w:val="Tabelanormal"/>
    <w:uiPriority w:val="47"/>
    <w:rsid w:val="001E251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2">
    <w:name w:val="Tabela de Lista 4 - Ênfase 5112"/>
    <w:basedOn w:val="Tabelanormal"/>
    <w:uiPriority w:val="49"/>
    <w:rsid w:val="001E25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2">
    <w:name w:val="Tabela de Lista 2 - Ênfase 1112"/>
    <w:basedOn w:val="Tabelanormal"/>
    <w:uiPriority w:val="47"/>
    <w:rsid w:val="001E251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2">
    <w:name w:val="Tabela com grade112"/>
    <w:basedOn w:val="Tabelanormal"/>
    <w:next w:val="Tabelacomgrade"/>
    <w:uiPriority w:val="39"/>
    <w:rsid w:val="001E251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2">
    <w:name w:val="Tabela de Grade 1 Clara - Ênfase 1122"/>
    <w:basedOn w:val="Tabelanormal"/>
    <w:next w:val="TabeladeGrade1Clara-nfase11"/>
    <w:uiPriority w:val="46"/>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2">
    <w:name w:val="Tabela de Grade 2 - Ênfase 1122"/>
    <w:basedOn w:val="Tabelanormal"/>
    <w:next w:val="TabeladeGrade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2">
    <w:name w:val="Tabela de Grade 2 - Ênfase 5122"/>
    <w:basedOn w:val="Tabelanormal"/>
    <w:next w:val="TabeladeGrade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2">
    <w:name w:val="Tabela de Grade 6 Colorida - Ênfase 5122"/>
    <w:basedOn w:val="Tabelanormal"/>
    <w:next w:val="TabeladeGrade6Colorida-nfase51"/>
    <w:uiPriority w:val="51"/>
    <w:rsid w:val="001E2515"/>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2">
    <w:name w:val="Tabela de Lista 2 - Ênfase 1122"/>
    <w:basedOn w:val="Tabelanormal"/>
    <w:next w:val="TabeladeLista2-nfase1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2">
    <w:name w:val="Tabela de Lista 4 - Ênfase 1122"/>
    <w:basedOn w:val="Tabelanormal"/>
    <w:next w:val="TabeladeLista4-nfase1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2">
    <w:name w:val="Tabela de Lista 7 Colorida - Ênfase 1122"/>
    <w:basedOn w:val="Tabelanormal"/>
    <w:next w:val="TabeladeLista7Colorida-nfase11"/>
    <w:uiPriority w:val="52"/>
    <w:rsid w:val="001E2515"/>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2">
    <w:name w:val="Tabela de Lista 2 - Ênfase 5122"/>
    <w:basedOn w:val="Tabelanormal"/>
    <w:next w:val="TabeladeLista2-nfase51"/>
    <w:uiPriority w:val="47"/>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2">
    <w:name w:val="Tabela de Lista 4 - Ênfase 5122"/>
    <w:basedOn w:val="Tabelanormal"/>
    <w:next w:val="TabeladeLista4-nfase51"/>
    <w:uiPriority w:val="49"/>
    <w:rsid w:val="001E2515"/>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2">
    <w:name w:val="Tabela de Lista 6 Colorida - Ênfase 5122"/>
    <w:basedOn w:val="Tabelanormal"/>
    <w:next w:val="TabeladeLista6Colorida-nfase51"/>
    <w:uiPriority w:val="51"/>
    <w:rsid w:val="001E2515"/>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paragraph" w:styleId="SemEspaamento">
    <w:name w:val="No Spacing"/>
    <w:link w:val="SemEspaamentoChar"/>
    <w:uiPriority w:val="1"/>
    <w:qFormat/>
    <w:rsid w:val="00B3309B"/>
    <w:pPr>
      <w:spacing w:after="0" w:line="240" w:lineRule="auto"/>
    </w:pPr>
  </w:style>
  <w:style w:type="character" w:customStyle="1" w:styleId="SemEspaamentoChar">
    <w:name w:val="Sem Espaçamento Char"/>
    <w:basedOn w:val="Fontepargpadro"/>
    <w:link w:val="SemEspaamento"/>
    <w:uiPriority w:val="1"/>
    <w:rsid w:val="00734925"/>
  </w:style>
  <w:style w:type="character" w:customStyle="1" w:styleId="Ttulo3Char">
    <w:name w:val="Título 3 Char"/>
    <w:basedOn w:val="Fontepargpadro"/>
    <w:link w:val="Ttulo3"/>
    <w:rsid w:val="00B3309B"/>
    <w:rPr>
      <w:rFonts w:asciiTheme="majorHAnsi" w:eastAsiaTheme="majorEastAsia" w:hAnsiTheme="majorHAnsi" w:cstheme="majorBidi"/>
      <w:color w:val="538135" w:themeColor="accent6" w:themeShade="BF"/>
      <w:sz w:val="24"/>
      <w:szCs w:val="24"/>
    </w:rPr>
  </w:style>
  <w:style w:type="paragraph" w:customStyle="1" w:styleId="Normal1">
    <w:name w:val="Normal 1"/>
    <w:rsid w:val="00A068DB"/>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A068DB"/>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A068DB"/>
    <w:pPr>
      <w:spacing w:line="240" w:lineRule="auto"/>
    </w:pPr>
    <w:rPr>
      <w:i w:val="0"/>
      <w:sz w:val="18"/>
    </w:rPr>
  </w:style>
  <w:style w:type="paragraph" w:customStyle="1" w:styleId="17TEXTOcorpojustificado">
    <w:name w:val="17. «TEXTO» corpo justificado"/>
    <w:basedOn w:val="Normal"/>
    <w:link w:val="17TEXTOcorpojustificadoChar"/>
    <w:rsid w:val="00A068DB"/>
    <w:pPr>
      <w:spacing w:after="0" w:line="260" w:lineRule="atLeast"/>
      <w:jc w:val="both"/>
    </w:pPr>
    <w:rPr>
      <w:rFonts w:ascii="Times" w:eastAsia="Times New Roman" w:hAnsi="Times" w:cs="Times New Roman"/>
      <w:szCs w:val="20"/>
    </w:rPr>
  </w:style>
  <w:style w:type="paragraph" w:customStyle="1" w:styleId="Default">
    <w:name w:val="Default"/>
    <w:rsid w:val="00A068DB"/>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3">
    <w:name w:val="Table Grid3"/>
    <w:basedOn w:val="Tabelanormal"/>
    <w:next w:val="Tabelacomgrade"/>
    <w:uiPriority w:val="59"/>
    <w:rsid w:val="00A068DB"/>
    <w:pPr>
      <w:spacing w:after="0" w:line="240" w:lineRule="auto"/>
    </w:pPr>
    <w:rPr>
      <w:lang w:val="en-GB"/>
    </w:rPr>
    <w:tblPr/>
  </w:style>
  <w:style w:type="character" w:customStyle="1" w:styleId="MenoPendente1">
    <w:name w:val="Menção Pendente1"/>
    <w:basedOn w:val="Fontepargpadro"/>
    <w:uiPriority w:val="99"/>
    <w:semiHidden/>
    <w:unhideWhenUsed/>
    <w:rsid w:val="00A60314"/>
    <w:rPr>
      <w:color w:val="605E5C"/>
      <w:shd w:val="clear" w:color="auto" w:fill="E1DFDD"/>
    </w:rPr>
  </w:style>
  <w:style w:type="character" w:customStyle="1" w:styleId="Ttulo2Char">
    <w:name w:val="Título 2 Char"/>
    <w:basedOn w:val="Fontepargpadro"/>
    <w:link w:val="Ttulo2"/>
    <w:uiPriority w:val="9"/>
    <w:rsid w:val="00B3309B"/>
    <w:rPr>
      <w:rFonts w:asciiTheme="majorHAnsi" w:eastAsiaTheme="majorEastAsia" w:hAnsiTheme="majorHAnsi" w:cstheme="majorBidi"/>
      <w:color w:val="538135" w:themeColor="accent6" w:themeShade="BF"/>
      <w:sz w:val="28"/>
      <w:szCs w:val="28"/>
    </w:rPr>
  </w:style>
  <w:style w:type="table" w:customStyle="1" w:styleId="Tabelacomgrade5">
    <w:name w:val="Tabela com grade5"/>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7">
    <w:name w:val="Tabela de Grade 1 Clara - Ênfase 117"/>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7">
    <w:name w:val="Tabela de Lista 4 - Ênfase 117"/>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7">
    <w:name w:val="Tabela de Lista 6 Colorida - Ênfase 517"/>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7">
    <w:name w:val="Tabela de Lista 7 Colorida - Ênfase 117"/>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7">
    <w:name w:val="Tabela de Grade 2 - Ênfase 117"/>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7">
    <w:name w:val="Tabela de Grade 2 - Ênfase 517"/>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7">
    <w:name w:val="Tabela de Grade 6 Colorida - Ênfase 517"/>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7">
    <w:name w:val="Tabela de Lista 2 - Ênfase 517"/>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7">
    <w:name w:val="Tabela de Lista 4 - Ênfase 517"/>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7">
    <w:name w:val="Tabela de Lista 2 - Ênfase 117"/>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4">
    <w:name w:val="Tabela com grade14"/>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8">
    <w:name w:val="Tabela de Grade 1 Clara - Ênfase 118"/>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8">
    <w:name w:val="Tabela de Grade 2 - Ênfase 118"/>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8">
    <w:name w:val="Tabela de Grade 2 - Ênfase 518"/>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8">
    <w:name w:val="Tabela de Grade 6 Colorida - Ênfase 518"/>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8">
    <w:name w:val="Tabela de Lista 2 - Ênfase 118"/>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8">
    <w:name w:val="Tabela de Lista 4 - Ênfase 118"/>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8">
    <w:name w:val="Tabela de Lista 7 Colorida - Ênfase 118"/>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8">
    <w:name w:val="Tabela de Lista 2 - Ênfase 518"/>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8">
    <w:name w:val="Tabela de Lista 4 - Ênfase 518"/>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8">
    <w:name w:val="Tabela de Lista 6 Colorida - Ênfase 518"/>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3">
    <w:name w:val="Tabela com grade23"/>
    <w:basedOn w:val="Tabelanormal"/>
    <w:next w:val="Tabelacomgrade"/>
    <w:uiPriority w:val="39"/>
    <w:rsid w:val="00FF7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3">
    <w:name w:val="Tabela de Grade 1 Clara - Ênfase 1113"/>
    <w:basedOn w:val="Tabelanormal"/>
    <w:uiPriority w:val="46"/>
    <w:rsid w:val="00FF765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3">
    <w:name w:val="Tabela de Lista 4 - Ênfase 1113"/>
    <w:basedOn w:val="Tabelanormal"/>
    <w:uiPriority w:val="49"/>
    <w:rsid w:val="00FF765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3">
    <w:name w:val="Tabela de Lista 6 Colorida - Ênfase 5113"/>
    <w:basedOn w:val="Tabelanormal"/>
    <w:uiPriority w:val="51"/>
    <w:rsid w:val="00FF7654"/>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3">
    <w:name w:val="Tabela de Lista 7 Colorida - Ênfase 1113"/>
    <w:basedOn w:val="Tabelanormal"/>
    <w:uiPriority w:val="52"/>
    <w:rsid w:val="00FF765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3">
    <w:name w:val="Tabela de Grade 2 - Ênfase 1113"/>
    <w:basedOn w:val="Tabelanormal"/>
    <w:uiPriority w:val="47"/>
    <w:rsid w:val="00FF765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3">
    <w:name w:val="Tabela de Grade 2 - Ênfase 5113"/>
    <w:basedOn w:val="Tabelanormal"/>
    <w:uiPriority w:val="47"/>
    <w:rsid w:val="00FF765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3">
    <w:name w:val="Tabela de Grade 6 Colorida - Ênfase 5113"/>
    <w:basedOn w:val="Tabelanormal"/>
    <w:uiPriority w:val="51"/>
    <w:rsid w:val="00FF765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3">
    <w:name w:val="Tabela de Lista 2 - Ênfase 5113"/>
    <w:basedOn w:val="Tabelanormal"/>
    <w:uiPriority w:val="47"/>
    <w:rsid w:val="00FF765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3">
    <w:name w:val="Tabela de Lista 4 - Ênfase 5113"/>
    <w:basedOn w:val="Tabelanormal"/>
    <w:uiPriority w:val="49"/>
    <w:rsid w:val="00FF765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3">
    <w:name w:val="Tabela de Lista 2 - Ênfase 1113"/>
    <w:basedOn w:val="Tabelanormal"/>
    <w:uiPriority w:val="47"/>
    <w:rsid w:val="00FF765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3">
    <w:name w:val="Tabela com grade113"/>
    <w:basedOn w:val="Tabelanormal"/>
    <w:next w:val="Tabelacomgrade"/>
    <w:uiPriority w:val="39"/>
    <w:rsid w:val="00FF765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3">
    <w:name w:val="Tabela de Grade 1 Clara - Ênfase 1123"/>
    <w:basedOn w:val="Tabelanormal"/>
    <w:next w:val="TabeladeGrade1Clara-nfase11"/>
    <w:uiPriority w:val="46"/>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3">
    <w:name w:val="Tabela de Grade 2 - Ênfase 1123"/>
    <w:basedOn w:val="Tabelanormal"/>
    <w:next w:val="TabeladeGrade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3">
    <w:name w:val="Tabela de Grade 2 - Ênfase 5123"/>
    <w:basedOn w:val="Tabelanormal"/>
    <w:next w:val="TabeladeGrade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3">
    <w:name w:val="Tabela de Grade 6 Colorida - Ênfase 5123"/>
    <w:basedOn w:val="Tabelanormal"/>
    <w:next w:val="TabeladeGrade6Colorida-nfase51"/>
    <w:uiPriority w:val="51"/>
    <w:rsid w:val="00FF7654"/>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3">
    <w:name w:val="Tabela de Lista 2 - Ênfase 1123"/>
    <w:basedOn w:val="Tabelanormal"/>
    <w:next w:val="TabeladeLista2-nfase1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3">
    <w:name w:val="Tabela de Lista 4 - Ênfase 1123"/>
    <w:basedOn w:val="Tabelanormal"/>
    <w:next w:val="TabeladeLista4-nfase1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3">
    <w:name w:val="Tabela de Lista 7 Colorida - Ênfase 1123"/>
    <w:basedOn w:val="Tabelanormal"/>
    <w:next w:val="TabeladeLista7Colorida-nfase11"/>
    <w:uiPriority w:val="52"/>
    <w:rsid w:val="00FF7654"/>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3">
    <w:name w:val="Tabela de Lista 2 - Ênfase 5123"/>
    <w:basedOn w:val="Tabelanormal"/>
    <w:next w:val="TabeladeLista2-nfase51"/>
    <w:uiPriority w:val="47"/>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3">
    <w:name w:val="Tabela de Lista 4 - Ênfase 5123"/>
    <w:basedOn w:val="Tabelanormal"/>
    <w:next w:val="TabeladeLista4-nfase51"/>
    <w:uiPriority w:val="49"/>
    <w:rsid w:val="00FF7654"/>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3">
    <w:name w:val="Tabela de Lista 6 Colorida - Ênfase 5123"/>
    <w:basedOn w:val="Tabelanormal"/>
    <w:next w:val="TabeladeLista6Colorida-nfase51"/>
    <w:uiPriority w:val="51"/>
    <w:rsid w:val="00FF7654"/>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6">
    <w:name w:val="Tabela com grade6"/>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9">
    <w:name w:val="Tabela de Grade 1 Clara - Ênfase 119"/>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9">
    <w:name w:val="Tabela de Lista 4 - Ênfase 119"/>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9">
    <w:name w:val="Tabela de Lista 6 Colorida - Ênfase 519"/>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9">
    <w:name w:val="Tabela de Lista 7 Colorida - Ênfase 119"/>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9">
    <w:name w:val="Tabela de Grade 2 - Ênfase 119"/>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9">
    <w:name w:val="Tabela de Grade 2 - Ênfase 519"/>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9">
    <w:name w:val="Tabela de Grade 6 Colorida - Ênfase 519"/>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9">
    <w:name w:val="Tabela de Lista 2 - Ênfase 519"/>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9">
    <w:name w:val="Tabela de Lista 4 - Ênfase 519"/>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9">
    <w:name w:val="Tabela de Lista 2 - Ênfase 119"/>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5">
    <w:name w:val="Tabela com grade15"/>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0">
    <w:name w:val="Tabela de Grade 1 Clara - Ênfase 1110"/>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10">
    <w:name w:val="Tabela de Grade 2 - Ênfase 1110"/>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0">
    <w:name w:val="Tabela de Grade 2 - Ênfase 5110"/>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0">
    <w:name w:val="Tabela de Grade 6 Colorida - Ênfase 5110"/>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0">
    <w:name w:val="Tabela de Lista 2 - Ênfase 1110"/>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10">
    <w:name w:val="Tabela de Lista 4 - Ênfase 1110"/>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10">
    <w:name w:val="Tabela de Lista 7 Colorida - Ênfase 1110"/>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10">
    <w:name w:val="Tabela de Lista 2 - Ênfase 5110"/>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0">
    <w:name w:val="Tabela de Lista 4 - Ênfase 5110"/>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10">
    <w:name w:val="Tabela de Lista 6 Colorida - Ênfase 5110"/>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comgrade24">
    <w:name w:val="Tabela com grade24"/>
    <w:basedOn w:val="Tabelanormal"/>
    <w:next w:val="Tabelacomgrade"/>
    <w:uiPriority w:val="39"/>
    <w:rsid w:val="003D0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4">
    <w:name w:val="Tabela de Grade 1 Clara - Ênfase 1114"/>
    <w:basedOn w:val="Tabelanormal"/>
    <w:uiPriority w:val="46"/>
    <w:rsid w:val="003D000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14">
    <w:name w:val="Tabela de Lista 4 - Ênfase 1114"/>
    <w:basedOn w:val="Tabelanormal"/>
    <w:uiPriority w:val="49"/>
    <w:rsid w:val="003D000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114">
    <w:name w:val="Tabela de Lista 6 Colorida - Ênfase 5114"/>
    <w:basedOn w:val="Tabelanormal"/>
    <w:uiPriority w:val="51"/>
    <w:rsid w:val="003D0003"/>
    <w:pPr>
      <w:spacing w:after="0" w:line="240" w:lineRule="auto"/>
    </w:pPr>
    <w:rPr>
      <w:color w:val="000000" w:themeColor="text1"/>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Lista7Colorida-nfase1114">
    <w:name w:val="Tabela de Lista 7 Colorida - Ênfase 1114"/>
    <w:basedOn w:val="Tabelanormal"/>
    <w:uiPriority w:val="52"/>
    <w:rsid w:val="003D000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4">
    <w:name w:val="Tabela de Grade 2 - Ênfase 1114"/>
    <w:basedOn w:val="Tabelanormal"/>
    <w:uiPriority w:val="47"/>
    <w:rsid w:val="003D000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14">
    <w:name w:val="Tabela de Grade 2 - Ênfase 5114"/>
    <w:basedOn w:val="Tabelanormal"/>
    <w:uiPriority w:val="47"/>
    <w:rsid w:val="003D000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14">
    <w:name w:val="Tabela de Grade 6 Colorida - Ênfase 5114"/>
    <w:basedOn w:val="Tabelanormal"/>
    <w:uiPriority w:val="51"/>
    <w:rsid w:val="003D000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14">
    <w:name w:val="Tabela de Lista 2 - Ênfase 5114"/>
    <w:basedOn w:val="Tabelanormal"/>
    <w:uiPriority w:val="47"/>
    <w:rsid w:val="003D000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14">
    <w:name w:val="Tabela de Lista 4 - Ênfase 5114"/>
    <w:basedOn w:val="Tabelanormal"/>
    <w:uiPriority w:val="49"/>
    <w:rsid w:val="003D00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14">
    <w:name w:val="Tabela de Lista 2 - Ênfase 1114"/>
    <w:basedOn w:val="Tabelanormal"/>
    <w:uiPriority w:val="47"/>
    <w:rsid w:val="003D000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comgrade114">
    <w:name w:val="Tabela com grade114"/>
    <w:basedOn w:val="Tabelanormal"/>
    <w:next w:val="Tabelacomgrade"/>
    <w:uiPriority w:val="39"/>
    <w:rsid w:val="003D00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4">
    <w:name w:val="Tabela de Grade 1 Clara - Ênfase 1124"/>
    <w:basedOn w:val="Tabelanormal"/>
    <w:next w:val="TabeladeGrade1Clara-nfase11"/>
    <w:uiPriority w:val="46"/>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Grade2-nfase1124">
    <w:name w:val="Tabela de Grade 2 - Ênfase 1124"/>
    <w:basedOn w:val="Tabelanormal"/>
    <w:next w:val="TabeladeGrade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24">
    <w:name w:val="Tabela de Grade 2 - Ênfase 5124"/>
    <w:basedOn w:val="Tabelanormal"/>
    <w:next w:val="TabeladeGrade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24">
    <w:name w:val="Tabela de Grade 6 Colorida - Ênfase 5124"/>
    <w:basedOn w:val="Tabelanormal"/>
    <w:next w:val="TabeladeGrade6Colorida-nfase51"/>
    <w:uiPriority w:val="51"/>
    <w:rsid w:val="003D0003"/>
    <w:pPr>
      <w:spacing w:after="0" w:line="240" w:lineRule="auto"/>
    </w:pPr>
    <w:rPr>
      <w:rFonts w:ascii="Calibri" w:eastAsia="Calibri" w:hAnsi="Calibri" w:cs="Times New Roman"/>
      <w:color w:val="2E74B5" w:themeColor="accent5" w:themeShade="BF"/>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24">
    <w:name w:val="Tabela de Lista 2 - Ênfase 1124"/>
    <w:basedOn w:val="Tabelanormal"/>
    <w:next w:val="TabeladeLista2-nfase1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4-nfase1124">
    <w:name w:val="Tabela de Lista 4 - Ênfase 1124"/>
    <w:basedOn w:val="Tabelanormal"/>
    <w:next w:val="TabeladeLista4-nfase1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24">
    <w:name w:val="Tabela de Lista 7 Colorida - Ênfase 1124"/>
    <w:basedOn w:val="Tabelanormal"/>
    <w:next w:val="TabeladeLista7Colorida-nfase11"/>
    <w:uiPriority w:val="52"/>
    <w:rsid w:val="003D0003"/>
    <w:pPr>
      <w:spacing w:after="0" w:line="240" w:lineRule="auto"/>
    </w:pPr>
    <w:rPr>
      <w:rFonts w:ascii="Calibri" w:eastAsia="Calibri" w:hAnsi="Calibri" w:cs="Times New Roman"/>
      <w:color w:val="2F5496"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4472C4"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4472C4"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4472C4"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4">
    <w:name w:val="Tabela de Lista 2 - Ênfase 5124"/>
    <w:basedOn w:val="Tabelanormal"/>
    <w:next w:val="TabeladeLista2-nfase51"/>
    <w:uiPriority w:val="47"/>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24">
    <w:name w:val="Tabela de Lista 4 - Ênfase 5124"/>
    <w:basedOn w:val="Tabelanormal"/>
    <w:next w:val="TabeladeLista4-nfase51"/>
    <w:uiPriority w:val="49"/>
    <w:rsid w:val="003D0003"/>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6Colorida-nfase5124">
    <w:name w:val="Tabela de Lista 6 Colorida - Ênfase 5124"/>
    <w:basedOn w:val="Tabelanormal"/>
    <w:next w:val="TabeladeLista6Colorida-nfase51"/>
    <w:uiPriority w:val="51"/>
    <w:rsid w:val="003D0003"/>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9CC2E5" w:themeColor="accent5" w:themeTint="99"/>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character" w:customStyle="1" w:styleId="MenoPendente2">
    <w:name w:val="Menção Pendente2"/>
    <w:basedOn w:val="Fontepargpadro"/>
    <w:uiPriority w:val="99"/>
    <w:semiHidden/>
    <w:unhideWhenUsed/>
    <w:rsid w:val="00696B17"/>
    <w:rPr>
      <w:color w:val="605E5C"/>
      <w:shd w:val="clear" w:color="auto" w:fill="E1DFDD"/>
    </w:rPr>
  </w:style>
  <w:style w:type="paragraph" w:styleId="Corpodetexto">
    <w:name w:val="Body Text"/>
    <w:aliases w:val="bt"/>
    <w:basedOn w:val="Normal"/>
    <w:link w:val="CorpodetextoChar"/>
    <w:uiPriority w:val="1"/>
    <w:qFormat/>
    <w:rsid w:val="00E04404"/>
    <w:pPr>
      <w:widowControl w:val="0"/>
      <w:spacing w:before="171" w:after="0" w:line="240" w:lineRule="auto"/>
      <w:ind w:left="667"/>
    </w:pPr>
    <w:rPr>
      <w:rFonts w:ascii="Arial" w:eastAsia="Arial" w:hAnsi="Arial" w:cs="Times New Roman"/>
      <w:sz w:val="20"/>
      <w:szCs w:val="20"/>
      <w:lang w:val="en-US"/>
    </w:rPr>
  </w:style>
  <w:style w:type="character" w:customStyle="1" w:styleId="CorpodetextoChar">
    <w:name w:val="Corpo de texto Char"/>
    <w:aliases w:val="bt Char"/>
    <w:basedOn w:val="Fontepargpadro"/>
    <w:link w:val="Corpodetexto"/>
    <w:uiPriority w:val="1"/>
    <w:rsid w:val="00E04404"/>
    <w:rPr>
      <w:rFonts w:ascii="Arial" w:eastAsia="Arial" w:hAnsi="Arial" w:cs="Times New Roman"/>
      <w:sz w:val="20"/>
      <w:szCs w:val="20"/>
      <w:lang w:val="en-US"/>
    </w:rPr>
  </w:style>
  <w:style w:type="paragraph" w:customStyle="1" w:styleId="filename">
    <w:name w:val="filename"/>
    <w:basedOn w:val="Cabealho"/>
    <w:link w:val="filenameChar"/>
    <w:autoRedefine/>
    <w:qFormat/>
    <w:rsid w:val="0085518F"/>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85518F"/>
    <w:rPr>
      <w:rFonts w:ascii="Calibri" w:eastAsia="Times New Roman" w:hAnsi="Calibri" w:cs="Calibri"/>
      <w:noProof/>
      <w:sz w:val="12"/>
      <w:szCs w:val="10"/>
    </w:rPr>
  </w:style>
  <w:style w:type="paragraph" w:customStyle="1" w:styleId="070-TabelaPadro">
    <w:name w:val="070 - Tabela Padrão"/>
    <w:basedOn w:val="Normal"/>
    <w:link w:val="070-TabelaPadroChar"/>
    <w:qFormat/>
    <w:rsid w:val="00D06D00"/>
    <w:pPr>
      <w:keepNext/>
      <w:keepLines/>
      <w:spacing w:before="40" w:after="40" w:line="240" w:lineRule="auto"/>
      <w:jc w:val="right"/>
    </w:pPr>
    <w:rPr>
      <w:rFonts w:ascii="Arial" w:eastAsia="Times New Roman" w:hAnsi="Arial" w:cs="Times New Roman"/>
      <w:sz w:val="14"/>
      <w:szCs w:val="18"/>
      <w:lang w:eastAsia="pt-BR"/>
    </w:rPr>
  </w:style>
  <w:style w:type="character" w:customStyle="1" w:styleId="070-TabelaPadroChar">
    <w:name w:val="070 - Tabela Padrão Char"/>
    <w:basedOn w:val="Fontepargpadro"/>
    <w:link w:val="070-TabelaPadro"/>
    <w:rsid w:val="00D06D00"/>
    <w:rPr>
      <w:rFonts w:ascii="Arial" w:eastAsia="Times New Roman" w:hAnsi="Arial" w:cs="Times New Roman"/>
      <w:sz w:val="14"/>
      <w:szCs w:val="18"/>
      <w:lang w:eastAsia="pt-BR"/>
    </w:rPr>
  </w:style>
  <w:style w:type="numbering" w:customStyle="1" w:styleId="Semlista1">
    <w:name w:val="Sem lista1"/>
    <w:next w:val="Semlista"/>
    <w:uiPriority w:val="99"/>
    <w:semiHidden/>
    <w:unhideWhenUsed/>
    <w:rsid w:val="00B62060"/>
  </w:style>
  <w:style w:type="numbering" w:customStyle="1" w:styleId="Semlista2">
    <w:name w:val="Sem lista2"/>
    <w:next w:val="Semlista"/>
    <w:uiPriority w:val="99"/>
    <w:semiHidden/>
    <w:unhideWhenUsed/>
    <w:rsid w:val="00B62060"/>
  </w:style>
  <w:style w:type="numbering" w:customStyle="1" w:styleId="Semlista11">
    <w:name w:val="Sem lista11"/>
    <w:next w:val="Semlista"/>
    <w:uiPriority w:val="99"/>
    <w:semiHidden/>
    <w:unhideWhenUsed/>
    <w:rsid w:val="00B62060"/>
  </w:style>
  <w:style w:type="numbering" w:customStyle="1" w:styleId="Semlista21">
    <w:name w:val="Sem lista21"/>
    <w:next w:val="Semlista"/>
    <w:uiPriority w:val="99"/>
    <w:semiHidden/>
    <w:unhideWhenUsed/>
    <w:rsid w:val="00B62060"/>
  </w:style>
  <w:style w:type="numbering" w:customStyle="1" w:styleId="Semlista111">
    <w:name w:val="Sem lista111"/>
    <w:next w:val="Semlista"/>
    <w:uiPriority w:val="99"/>
    <w:semiHidden/>
    <w:unhideWhenUsed/>
    <w:rsid w:val="00B62060"/>
  </w:style>
  <w:style w:type="numbering" w:customStyle="1" w:styleId="Semlista3">
    <w:name w:val="Sem lista3"/>
    <w:next w:val="Semlista"/>
    <w:uiPriority w:val="99"/>
    <w:semiHidden/>
    <w:unhideWhenUsed/>
    <w:rsid w:val="00B62060"/>
  </w:style>
  <w:style w:type="numbering" w:customStyle="1" w:styleId="Semlista12">
    <w:name w:val="Sem lista12"/>
    <w:next w:val="Semlista"/>
    <w:uiPriority w:val="99"/>
    <w:semiHidden/>
    <w:unhideWhenUsed/>
    <w:rsid w:val="00B62060"/>
  </w:style>
  <w:style w:type="numbering" w:customStyle="1" w:styleId="Semlista22">
    <w:name w:val="Sem lista22"/>
    <w:next w:val="Semlista"/>
    <w:uiPriority w:val="99"/>
    <w:semiHidden/>
    <w:unhideWhenUsed/>
    <w:rsid w:val="00B62060"/>
  </w:style>
  <w:style w:type="numbering" w:customStyle="1" w:styleId="Semlista112">
    <w:name w:val="Sem lista112"/>
    <w:next w:val="Semlista"/>
    <w:uiPriority w:val="99"/>
    <w:semiHidden/>
    <w:unhideWhenUsed/>
    <w:rsid w:val="00B62060"/>
  </w:style>
  <w:style w:type="numbering" w:customStyle="1" w:styleId="Semlista4">
    <w:name w:val="Sem lista4"/>
    <w:next w:val="Semlista"/>
    <w:uiPriority w:val="99"/>
    <w:semiHidden/>
    <w:unhideWhenUsed/>
    <w:rsid w:val="00B62060"/>
  </w:style>
  <w:style w:type="numbering" w:customStyle="1" w:styleId="Semlista13">
    <w:name w:val="Sem lista13"/>
    <w:next w:val="Semlista"/>
    <w:uiPriority w:val="99"/>
    <w:semiHidden/>
    <w:unhideWhenUsed/>
    <w:rsid w:val="00B62060"/>
  </w:style>
  <w:style w:type="numbering" w:customStyle="1" w:styleId="Semlista23">
    <w:name w:val="Sem lista23"/>
    <w:next w:val="Semlista"/>
    <w:uiPriority w:val="99"/>
    <w:semiHidden/>
    <w:unhideWhenUsed/>
    <w:rsid w:val="00B62060"/>
  </w:style>
  <w:style w:type="numbering" w:customStyle="1" w:styleId="Semlista113">
    <w:name w:val="Sem lista113"/>
    <w:next w:val="Semlista"/>
    <w:uiPriority w:val="99"/>
    <w:semiHidden/>
    <w:unhideWhenUsed/>
    <w:rsid w:val="00B62060"/>
  </w:style>
  <w:style w:type="numbering" w:customStyle="1" w:styleId="Semlista5">
    <w:name w:val="Sem lista5"/>
    <w:next w:val="Semlista"/>
    <w:uiPriority w:val="99"/>
    <w:semiHidden/>
    <w:unhideWhenUsed/>
    <w:rsid w:val="00B62060"/>
  </w:style>
  <w:style w:type="numbering" w:customStyle="1" w:styleId="Semlista14">
    <w:name w:val="Sem lista14"/>
    <w:next w:val="Semlista"/>
    <w:uiPriority w:val="99"/>
    <w:semiHidden/>
    <w:unhideWhenUsed/>
    <w:rsid w:val="00B62060"/>
  </w:style>
  <w:style w:type="numbering" w:customStyle="1" w:styleId="Semlista24">
    <w:name w:val="Sem lista24"/>
    <w:next w:val="Semlista"/>
    <w:uiPriority w:val="99"/>
    <w:semiHidden/>
    <w:unhideWhenUsed/>
    <w:rsid w:val="00B62060"/>
  </w:style>
  <w:style w:type="numbering" w:customStyle="1" w:styleId="Semlista114">
    <w:name w:val="Sem lista114"/>
    <w:next w:val="Semlista"/>
    <w:uiPriority w:val="99"/>
    <w:semiHidden/>
    <w:unhideWhenUsed/>
    <w:rsid w:val="00B62060"/>
  </w:style>
  <w:style w:type="numbering" w:customStyle="1" w:styleId="Semlista6">
    <w:name w:val="Sem lista6"/>
    <w:next w:val="Semlista"/>
    <w:uiPriority w:val="99"/>
    <w:semiHidden/>
    <w:unhideWhenUsed/>
    <w:rsid w:val="00B62060"/>
  </w:style>
  <w:style w:type="numbering" w:customStyle="1" w:styleId="Semlista15">
    <w:name w:val="Sem lista15"/>
    <w:next w:val="Semlista"/>
    <w:uiPriority w:val="99"/>
    <w:semiHidden/>
    <w:unhideWhenUsed/>
    <w:rsid w:val="00B62060"/>
  </w:style>
  <w:style w:type="numbering" w:customStyle="1" w:styleId="Semlista25">
    <w:name w:val="Sem lista25"/>
    <w:next w:val="Semlista"/>
    <w:uiPriority w:val="99"/>
    <w:semiHidden/>
    <w:unhideWhenUsed/>
    <w:rsid w:val="00B62060"/>
  </w:style>
  <w:style w:type="numbering" w:customStyle="1" w:styleId="Semlista115">
    <w:name w:val="Sem lista115"/>
    <w:next w:val="Semlista"/>
    <w:uiPriority w:val="99"/>
    <w:semiHidden/>
    <w:unhideWhenUsed/>
    <w:rsid w:val="00B62060"/>
  </w:style>
  <w:style w:type="character" w:customStyle="1" w:styleId="Ttulo2Char1">
    <w:name w:val="Título 2 Char1"/>
    <w:basedOn w:val="Fontepargpadro"/>
    <w:uiPriority w:val="9"/>
    <w:rsid w:val="00D12188"/>
    <w:rPr>
      <w:rFonts w:asciiTheme="majorHAnsi" w:eastAsiaTheme="majorEastAsia" w:hAnsiTheme="majorHAnsi" w:cstheme="majorBidi"/>
      <w:color w:val="2F5496" w:themeColor="accent1" w:themeShade="BF"/>
      <w:sz w:val="26"/>
      <w:szCs w:val="26"/>
    </w:rPr>
  </w:style>
  <w:style w:type="paragraph" w:customStyle="1" w:styleId="07-Legenda1">
    <w:name w:val="07-Legenda1"/>
    <w:basedOn w:val="Normal"/>
    <w:qFormat/>
    <w:rsid w:val="003B61F4"/>
    <w:pPr>
      <w:keepLines/>
      <w:tabs>
        <w:tab w:val="left" w:pos="284"/>
      </w:tabs>
      <w:suppressAutoHyphens/>
      <w:spacing w:before="40" w:after="0" w:line="276" w:lineRule="auto"/>
      <w:ind w:left="284" w:hanging="284"/>
      <w:jc w:val="both"/>
    </w:pPr>
    <w:rPr>
      <w:rFonts w:ascii="Arial (W1)" w:eastAsia="Times New Roman" w:hAnsi="Arial (W1)" w:cs="Times New Roman"/>
      <w:kern w:val="20"/>
      <w:sz w:val="14"/>
      <w:szCs w:val="20"/>
      <w:lang w:eastAsia="pt-BR"/>
    </w:rPr>
  </w:style>
  <w:style w:type="character" w:customStyle="1" w:styleId="Ttulo4Char">
    <w:name w:val="Título 4 Char"/>
    <w:basedOn w:val="Fontepargpadro"/>
    <w:link w:val="Ttulo4"/>
    <w:uiPriority w:val="9"/>
    <w:semiHidden/>
    <w:rsid w:val="00B3309B"/>
    <w:rPr>
      <w:rFonts w:asciiTheme="majorHAnsi" w:eastAsiaTheme="majorEastAsia" w:hAnsiTheme="majorHAnsi" w:cstheme="majorBidi"/>
      <w:color w:val="70AD47" w:themeColor="accent6"/>
      <w:sz w:val="22"/>
      <w:szCs w:val="22"/>
    </w:rPr>
  </w:style>
  <w:style w:type="character" w:customStyle="1" w:styleId="Ttulo5Char">
    <w:name w:val="Título 5 Char"/>
    <w:basedOn w:val="Fontepargpadro"/>
    <w:link w:val="Ttulo5"/>
    <w:uiPriority w:val="9"/>
    <w:semiHidden/>
    <w:rsid w:val="00B3309B"/>
    <w:rPr>
      <w:rFonts w:asciiTheme="majorHAnsi" w:eastAsiaTheme="majorEastAsia" w:hAnsiTheme="majorHAnsi" w:cstheme="majorBidi"/>
      <w:i/>
      <w:iCs/>
      <w:color w:val="70AD47" w:themeColor="accent6"/>
      <w:sz w:val="22"/>
      <w:szCs w:val="22"/>
    </w:rPr>
  </w:style>
  <w:style w:type="character" w:customStyle="1" w:styleId="Ttulo6Char">
    <w:name w:val="Título 6 Char"/>
    <w:basedOn w:val="Fontepargpadro"/>
    <w:link w:val="Ttulo6"/>
    <w:uiPriority w:val="99"/>
    <w:rsid w:val="00B3309B"/>
    <w:rPr>
      <w:rFonts w:asciiTheme="majorHAnsi" w:eastAsiaTheme="majorEastAsia" w:hAnsiTheme="majorHAnsi" w:cstheme="majorBidi"/>
      <w:color w:val="70AD47" w:themeColor="accent6"/>
    </w:rPr>
  </w:style>
  <w:style w:type="character" w:customStyle="1" w:styleId="Ttulo7Char">
    <w:name w:val="Título 7 Char"/>
    <w:basedOn w:val="Fontepargpadro"/>
    <w:link w:val="Ttulo7"/>
    <w:uiPriority w:val="9"/>
    <w:semiHidden/>
    <w:rsid w:val="00B3309B"/>
    <w:rPr>
      <w:rFonts w:asciiTheme="majorHAnsi" w:eastAsiaTheme="majorEastAsia" w:hAnsiTheme="majorHAnsi" w:cstheme="majorBidi"/>
      <w:b/>
      <w:bCs/>
      <w:color w:val="70AD47" w:themeColor="accent6"/>
    </w:rPr>
  </w:style>
  <w:style w:type="character" w:customStyle="1" w:styleId="Ttulo8Char">
    <w:name w:val="Título 8 Char"/>
    <w:basedOn w:val="Fontepargpadro"/>
    <w:link w:val="Ttulo8"/>
    <w:uiPriority w:val="9"/>
    <w:semiHidden/>
    <w:rsid w:val="00B3309B"/>
    <w:rPr>
      <w:rFonts w:asciiTheme="majorHAnsi" w:eastAsiaTheme="majorEastAsia" w:hAnsiTheme="majorHAnsi" w:cstheme="majorBidi"/>
      <w:b/>
      <w:bCs/>
      <w:i/>
      <w:iCs/>
      <w:color w:val="70AD47" w:themeColor="accent6"/>
      <w:sz w:val="20"/>
      <w:szCs w:val="20"/>
    </w:rPr>
  </w:style>
  <w:style w:type="character" w:customStyle="1" w:styleId="Ttulo9Char">
    <w:name w:val="Título 9 Char"/>
    <w:basedOn w:val="Fontepargpadro"/>
    <w:link w:val="Ttulo9"/>
    <w:uiPriority w:val="9"/>
    <w:semiHidden/>
    <w:rsid w:val="00B3309B"/>
    <w:rPr>
      <w:rFonts w:asciiTheme="majorHAnsi" w:eastAsiaTheme="majorEastAsia" w:hAnsiTheme="majorHAnsi" w:cstheme="majorBidi"/>
      <w:i/>
      <w:iCs/>
      <w:color w:val="70AD47" w:themeColor="accent6"/>
      <w:sz w:val="20"/>
      <w:szCs w:val="20"/>
    </w:rPr>
  </w:style>
  <w:style w:type="paragraph" w:styleId="Legenda">
    <w:name w:val="caption"/>
    <w:basedOn w:val="Normal"/>
    <w:next w:val="Normal"/>
    <w:uiPriority w:val="35"/>
    <w:semiHidden/>
    <w:unhideWhenUsed/>
    <w:qFormat/>
    <w:rsid w:val="00B3309B"/>
    <w:pPr>
      <w:spacing w:line="240" w:lineRule="auto"/>
    </w:pPr>
    <w:rPr>
      <w:b/>
      <w:bCs/>
      <w:smallCaps/>
      <w:color w:val="595959" w:themeColor="text1" w:themeTint="A6"/>
    </w:rPr>
  </w:style>
  <w:style w:type="paragraph" w:styleId="Subttulo">
    <w:name w:val="Subtitle"/>
    <w:basedOn w:val="Normal"/>
    <w:next w:val="Normal"/>
    <w:link w:val="SubttuloChar"/>
    <w:uiPriority w:val="11"/>
    <w:qFormat/>
    <w:rsid w:val="00B3309B"/>
    <w:pPr>
      <w:numPr>
        <w:ilvl w:val="1"/>
      </w:numPr>
      <w:spacing w:line="240" w:lineRule="auto"/>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B3309B"/>
    <w:rPr>
      <w:rFonts w:asciiTheme="majorHAnsi" w:eastAsiaTheme="majorEastAsia" w:hAnsiTheme="majorHAnsi" w:cstheme="majorBidi"/>
      <w:sz w:val="30"/>
      <w:szCs w:val="30"/>
    </w:rPr>
  </w:style>
  <w:style w:type="character" w:styleId="Forte">
    <w:name w:val="Strong"/>
    <w:basedOn w:val="Fontepargpadro"/>
    <w:uiPriority w:val="22"/>
    <w:qFormat/>
    <w:rsid w:val="00B3309B"/>
    <w:rPr>
      <w:b/>
      <w:bCs/>
    </w:rPr>
  </w:style>
  <w:style w:type="character" w:styleId="nfase">
    <w:name w:val="Emphasis"/>
    <w:basedOn w:val="Fontepargpadro"/>
    <w:uiPriority w:val="20"/>
    <w:qFormat/>
    <w:rsid w:val="00B3309B"/>
    <w:rPr>
      <w:i/>
      <w:iCs/>
      <w:color w:val="70AD47" w:themeColor="accent6"/>
    </w:rPr>
  </w:style>
  <w:style w:type="paragraph" w:styleId="Citao">
    <w:name w:val="Quote"/>
    <w:basedOn w:val="Normal"/>
    <w:next w:val="Normal"/>
    <w:link w:val="CitaoChar"/>
    <w:uiPriority w:val="29"/>
    <w:qFormat/>
    <w:rsid w:val="00B3309B"/>
    <w:pPr>
      <w:spacing w:before="160"/>
      <w:ind w:left="720" w:right="720"/>
      <w:jc w:val="center"/>
    </w:pPr>
    <w:rPr>
      <w:i/>
      <w:iCs/>
      <w:color w:val="262626" w:themeColor="text1" w:themeTint="D9"/>
    </w:rPr>
  </w:style>
  <w:style w:type="character" w:customStyle="1" w:styleId="CitaoChar">
    <w:name w:val="Citação Char"/>
    <w:basedOn w:val="Fontepargpadro"/>
    <w:link w:val="Citao"/>
    <w:uiPriority w:val="29"/>
    <w:rsid w:val="00B3309B"/>
    <w:rPr>
      <w:i/>
      <w:iCs/>
      <w:color w:val="262626" w:themeColor="text1" w:themeTint="D9"/>
    </w:rPr>
  </w:style>
  <w:style w:type="paragraph" w:styleId="CitaoIntensa">
    <w:name w:val="Intense Quote"/>
    <w:basedOn w:val="Normal"/>
    <w:next w:val="Normal"/>
    <w:link w:val="CitaoIntensaChar"/>
    <w:uiPriority w:val="30"/>
    <w:qFormat/>
    <w:rsid w:val="00B3309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oIntensaChar">
    <w:name w:val="Citação Intensa Char"/>
    <w:basedOn w:val="Fontepargpadro"/>
    <w:link w:val="CitaoIntensa"/>
    <w:uiPriority w:val="30"/>
    <w:rsid w:val="00B3309B"/>
    <w:rPr>
      <w:rFonts w:asciiTheme="majorHAnsi" w:eastAsiaTheme="majorEastAsia" w:hAnsiTheme="majorHAnsi" w:cstheme="majorBidi"/>
      <w:i/>
      <w:iCs/>
      <w:color w:val="70AD47" w:themeColor="accent6"/>
      <w:sz w:val="32"/>
      <w:szCs w:val="32"/>
    </w:rPr>
  </w:style>
  <w:style w:type="character" w:styleId="nfaseSutil">
    <w:name w:val="Subtle Emphasis"/>
    <w:basedOn w:val="Fontepargpadro"/>
    <w:uiPriority w:val="19"/>
    <w:qFormat/>
    <w:rsid w:val="00B3309B"/>
    <w:rPr>
      <w:i/>
      <w:iCs/>
    </w:rPr>
  </w:style>
  <w:style w:type="character" w:styleId="nfaseIntensa">
    <w:name w:val="Intense Emphasis"/>
    <w:basedOn w:val="Fontepargpadro"/>
    <w:uiPriority w:val="21"/>
    <w:qFormat/>
    <w:rsid w:val="00B3309B"/>
    <w:rPr>
      <w:b/>
      <w:bCs/>
      <w:i/>
      <w:iCs/>
    </w:rPr>
  </w:style>
  <w:style w:type="character" w:styleId="RefernciaSutil">
    <w:name w:val="Subtle Reference"/>
    <w:basedOn w:val="Fontepargpadro"/>
    <w:uiPriority w:val="31"/>
    <w:qFormat/>
    <w:rsid w:val="00B3309B"/>
    <w:rPr>
      <w:smallCaps/>
      <w:color w:val="595959" w:themeColor="text1" w:themeTint="A6"/>
    </w:rPr>
  </w:style>
  <w:style w:type="character" w:styleId="RefernciaIntensa">
    <w:name w:val="Intense Reference"/>
    <w:basedOn w:val="Fontepargpadro"/>
    <w:uiPriority w:val="32"/>
    <w:qFormat/>
    <w:rsid w:val="00B3309B"/>
    <w:rPr>
      <w:b/>
      <w:bCs/>
      <w:smallCaps/>
      <w:color w:val="70AD47" w:themeColor="accent6"/>
    </w:rPr>
  </w:style>
  <w:style w:type="character" w:styleId="TtulodoLivro">
    <w:name w:val="Book Title"/>
    <w:basedOn w:val="Fontepargpadro"/>
    <w:uiPriority w:val="33"/>
    <w:qFormat/>
    <w:rsid w:val="00B3309B"/>
    <w:rPr>
      <w:b/>
      <w:bCs/>
      <w:caps w:val="0"/>
      <w:smallCaps/>
      <w:spacing w:val="7"/>
      <w:sz w:val="21"/>
      <w:szCs w:val="21"/>
    </w:rPr>
  </w:style>
  <w:style w:type="paragraph" w:styleId="Recuodecorpodetexto">
    <w:name w:val="Body Text Indent"/>
    <w:basedOn w:val="Normal"/>
    <w:link w:val="RecuodecorpodetextoChar"/>
    <w:uiPriority w:val="99"/>
    <w:semiHidden/>
    <w:unhideWhenUsed/>
    <w:rsid w:val="00B05693"/>
    <w:pPr>
      <w:spacing w:after="120"/>
      <w:ind w:left="283"/>
    </w:pPr>
  </w:style>
  <w:style w:type="character" w:customStyle="1" w:styleId="RecuodecorpodetextoChar">
    <w:name w:val="Recuo de corpo de texto Char"/>
    <w:basedOn w:val="Fontepargpadro"/>
    <w:link w:val="Recuodecorpodetexto"/>
    <w:uiPriority w:val="99"/>
    <w:semiHidden/>
    <w:rsid w:val="00B05693"/>
  </w:style>
  <w:style w:type="character" w:customStyle="1" w:styleId="xxnormaltextrun">
    <w:name w:val="x_x_normaltextrun"/>
    <w:basedOn w:val="Fontepargpadro"/>
    <w:rsid w:val="009A54AD"/>
  </w:style>
  <w:style w:type="character" w:customStyle="1" w:styleId="markuv54z9ski">
    <w:name w:val="markuv54z9ski"/>
    <w:basedOn w:val="Fontepargpadro"/>
    <w:rsid w:val="009A54AD"/>
  </w:style>
  <w:style w:type="character" w:customStyle="1" w:styleId="xxeop">
    <w:name w:val="x_x_eop"/>
    <w:basedOn w:val="Fontepargpadro"/>
    <w:rsid w:val="009A54AD"/>
  </w:style>
  <w:style w:type="character" w:customStyle="1" w:styleId="ui-provider">
    <w:name w:val="ui-provider"/>
    <w:basedOn w:val="Fontepargpadro"/>
    <w:rsid w:val="000129CE"/>
  </w:style>
  <w:style w:type="character" w:customStyle="1" w:styleId="TextodebaloChar1">
    <w:name w:val="Texto de balão Char1"/>
    <w:basedOn w:val="Fontepargpadro"/>
    <w:uiPriority w:val="99"/>
    <w:semiHidden/>
    <w:rsid w:val="004E603D"/>
    <w:rPr>
      <w:rFonts w:ascii="Segoe UI" w:eastAsia="MS Mincho" w:hAnsi="Segoe UI" w:cs="Segoe UI"/>
      <w:sz w:val="18"/>
      <w:szCs w:val="18"/>
    </w:rPr>
  </w:style>
  <w:style w:type="character" w:customStyle="1" w:styleId="TextodecomentrioChar1">
    <w:name w:val="Texto de comentário Char1"/>
    <w:basedOn w:val="Fontepargpadro"/>
    <w:uiPriority w:val="99"/>
    <w:semiHidden/>
    <w:rsid w:val="004E603D"/>
    <w:rPr>
      <w:rFonts w:eastAsia="MS Mincho"/>
      <w:sz w:val="20"/>
      <w:szCs w:val="20"/>
    </w:rPr>
  </w:style>
  <w:style w:type="character" w:customStyle="1" w:styleId="AssuntodocomentrioChar1">
    <w:name w:val="Assunto do comentário Char1"/>
    <w:basedOn w:val="TextodecomentrioChar1"/>
    <w:uiPriority w:val="99"/>
    <w:semiHidden/>
    <w:rsid w:val="004E603D"/>
    <w:rPr>
      <w:rFonts w:eastAsia="MS Mincho"/>
      <w:b/>
      <w:bCs/>
      <w:sz w:val="20"/>
      <w:szCs w:val="20"/>
    </w:rPr>
  </w:style>
  <w:style w:type="numbering" w:customStyle="1" w:styleId="Semlista1111">
    <w:name w:val="Sem lista1111"/>
    <w:next w:val="Semlista"/>
    <w:uiPriority w:val="99"/>
    <w:semiHidden/>
    <w:unhideWhenUsed/>
    <w:rsid w:val="004E603D"/>
  </w:style>
  <w:style w:type="character" w:customStyle="1" w:styleId="normaltextrun">
    <w:name w:val="normaltextrun"/>
    <w:basedOn w:val="Fontepargpadro"/>
    <w:rsid w:val="00D33F9A"/>
  </w:style>
  <w:style w:type="paragraph" w:customStyle="1" w:styleId="paragraph">
    <w:name w:val="paragraph"/>
    <w:basedOn w:val="Normal"/>
    <w:rsid w:val="00D33F9A"/>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BC3BB0"/>
  </w:style>
  <w:style w:type="character" w:customStyle="1" w:styleId="tlid-translation">
    <w:name w:val="tlid-translation"/>
    <w:basedOn w:val="Fontepargpadro"/>
    <w:rsid w:val="00E02EEC"/>
  </w:style>
  <w:style w:type="character" w:customStyle="1" w:styleId="shorttext">
    <w:name w:val="short_text"/>
    <w:basedOn w:val="Fontepargpadro"/>
    <w:rsid w:val="00E02EEC"/>
  </w:style>
  <w:style w:type="character" w:customStyle="1" w:styleId="rynqvb">
    <w:name w:val="rynqvb"/>
    <w:basedOn w:val="Fontepargpadro"/>
    <w:rsid w:val="00E02EEC"/>
  </w:style>
  <w:style w:type="paragraph" w:customStyle="1" w:styleId="Body">
    <w:name w:val="Body"/>
    <w:basedOn w:val="Normal"/>
    <w:link w:val="BodyChar"/>
    <w:uiPriority w:val="99"/>
    <w:qFormat/>
    <w:rsid w:val="00E02EEC"/>
    <w:pPr>
      <w:spacing w:after="140"/>
      <w:jc w:val="both"/>
    </w:pPr>
    <w:rPr>
      <w:rFonts w:ascii="Arial" w:eastAsia="Times New Roman" w:hAnsi="Arial" w:cs="Times New Roman"/>
      <w:kern w:val="20"/>
      <w:sz w:val="20"/>
      <w:szCs w:val="24"/>
      <w:lang w:eastAsia="en-GB"/>
    </w:rPr>
  </w:style>
  <w:style w:type="character" w:customStyle="1" w:styleId="hps">
    <w:name w:val="hps"/>
    <w:basedOn w:val="Fontepargpadro"/>
    <w:rsid w:val="00E02EEC"/>
  </w:style>
  <w:style w:type="character" w:customStyle="1" w:styleId="y2iqfc">
    <w:name w:val="y2iqfc"/>
    <w:basedOn w:val="Fontepargpadro"/>
    <w:rsid w:val="00E02EEC"/>
  </w:style>
  <w:style w:type="table" w:customStyle="1" w:styleId="TabeladeLista6Colorida-nfase53">
    <w:name w:val="Tabela de Lista 6 Colorida - Ênfase 53"/>
    <w:basedOn w:val="Tabelanormal"/>
    <w:next w:val="TabeladeLista6Colorida-nfase5"/>
    <w:uiPriority w:val="51"/>
    <w:rsid w:val="00E02EEC"/>
    <w:pPr>
      <w:spacing w:after="0" w:line="240" w:lineRule="auto"/>
    </w:pPr>
    <w:rPr>
      <w:rFonts w:eastAsia="Calibri"/>
      <w:color w:val="000000"/>
      <w:sz w:val="22"/>
      <w:szCs w:val="22"/>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08-Tabelageral2">
    <w:name w:val="08-Tabela geral2"/>
    <w:basedOn w:val="Normal"/>
    <w:qFormat/>
    <w:rsid w:val="00E02EEC"/>
    <w:pPr>
      <w:keepNext/>
      <w:keepLines/>
      <w:suppressAutoHyphens/>
      <w:spacing w:before="40" w:after="40" w:line="276" w:lineRule="auto"/>
      <w:jc w:val="right"/>
    </w:pPr>
    <w:rPr>
      <w:rFonts w:ascii="Arial (W1)" w:eastAsia="Times New Roman" w:hAnsi="Arial (W1)" w:cs="Times New Roman"/>
      <w:kern w:val="20"/>
      <w:sz w:val="14"/>
      <w:szCs w:val="20"/>
      <w:lang w:eastAsia="pt-BR"/>
    </w:rPr>
  </w:style>
  <w:style w:type="character" w:customStyle="1" w:styleId="markedcontent">
    <w:name w:val="markedcontent"/>
    <w:basedOn w:val="Fontepargpadro"/>
    <w:rsid w:val="00E02EEC"/>
  </w:style>
  <w:style w:type="character" w:customStyle="1" w:styleId="hwtze">
    <w:name w:val="hwtze"/>
    <w:basedOn w:val="Fontepargpadro"/>
    <w:rsid w:val="00E02EEC"/>
  </w:style>
  <w:style w:type="character" w:customStyle="1" w:styleId="q4iawc">
    <w:name w:val="q4iawc"/>
    <w:basedOn w:val="Fontepargpadro"/>
    <w:rsid w:val="006533EE"/>
  </w:style>
  <w:style w:type="character" w:customStyle="1" w:styleId="viiyi">
    <w:name w:val="viiyi"/>
    <w:basedOn w:val="Fontepargpadro"/>
    <w:rsid w:val="006533EE"/>
  </w:style>
  <w:style w:type="paragraph" w:customStyle="1" w:styleId="Parecer">
    <w:name w:val="Parecer"/>
    <w:basedOn w:val="Normal"/>
    <w:rsid w:val="007447C0"/>
    <w:pPr>
      <w:numPr>
        <w:numId w:val="37"/>
      </w:numPr>
      <w:tabs>
        <w:tab w:val="num" w:pos="360"/>
      </w:tabs>
      <w:spacing w:after="240" w:line="280" w:lineRule="atLeast"/>
      <w:ind w:left="0" w:firstLine="0"/>
    </w:pPr>
    <w:rPr>
      <w:rFonts w:ascii="Times New Roman" w:eastAsia="SimSun" w:hAnsi="Times New Roman" w:cs="Times New Roman"/>
      <w:sz w:val="24"/>
      <w:szCs w:val="24"/>
      <w:lang w:val="en-US"/>
    </w:rPr>
  </w:style>
  <w:style w:type="character" w:customStyle="1" w:styleId="cf01">
    <w:name w:val="cf01"/>
    <w:basedOn w:val="Fontepargpadro"/>
    <w:rsid w:val="00FF1523"/>
    <w:rPr>
      <w:rFonts w:ascii="Segoe UI" w:hAnsi="Segoe UI" w:cs="Segoe UI" w:hint="default"/>
      <w:sz w:val="18"/>
      <w:szCs w:val="18"/>
    </w:rPr>
  </w:style>
  <w:style w:type="table" w:customStyle="1" w:styleId="BBSEGURIDADE">
    <w:name w:val="BB SEGURIDADE"/>
    <w:basedOn w:val="Tabelanormal"/>
    <w:uiPriority w:val="99"/>
    <w:rsid w:val="0094791F"/>
    <w:pPr>
      <w:spacing w:after="0" w:line="240" w:lineRule="auto"/>
    </w:pPr>
    <w:rPr>
      <w:rFonts w:ascii="Arial" w:eastAsia="MS Mincho" w:hAnsi="Arial"/>
      <w:color w:val="000000" w:themeColor="text1"/>
      <w:sz w:val="14"/>
      <w:szCs w:val="22"/>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table" w:customStyle="1" w:styleId="TabeladeLista6Colorida-nfase510">
    <w:name w:val="Tabela de Lista 6 Colorida - Ênfase 51_0"/>
    <w:basedOn w:val="Tabelanormal"/>
    <w:uiPriority w:val="51"/>
    <w:rsid w:val="0094791F"/>
    <w:pPr>
      <w:spacing w:after="0" w:line="240" w:lineRule="auto"/>
    </w:pPr>
    <w:rPr>
      <w:rFonts w:eastAsiaTheme="minorHAnsi"/>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top w:val="single" w:sz="4" w:space="0" w:color="9CC2E5" w:themeColor="accent5" w:themeTint="99"/>
          <w:left w:val="nil"/>
          <w:bottom w:val="single" w:sz="4" w:space="0" w:color="9CC2E5" w:themeColor="accent5" w:themeTint="99"/>
          <w:right w:val="nil"/>
          <w:insideH w:val="nil"/>
          <w:insideV w:val="nil"/>
          <w:tl2br w:val="nil"/>
          <w:tr2bl w:val="nil"/>
        </w:tcBorders>
        <w:shd w:val="clear" w:color="auto" w:fill="DEEAF6" w:themeFill="accent5" w:themeFillTint="33"/>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FFFFFF" w:themeFill="background1"/>
      </w:tcPr>
    </w:tblStylePr>
    <w:tblStylePr w:type="band2Horz">
      <w:tblPr/>
      <w:tcPr>
        <w:shd w:val="clear" w:color="auto" w:fill="DEEAF6" w:themeFill="accent5" w:themeFillTint="33"/>
      </w:tcPr>
    </w:tblStylePr>
  </w:style>
  <w:style w:type="table" w:customStyle="1" w:styleId="TabeladeGrade1Clara-nfase110">
    <w:name w:val="Tabela de Grade 1 Clara - Ênfase 11_0"/>
    <w:basedOn w:val="Tabelanormal"/>
    <w:uiPriority w:val="46"/>
    <w:rsid w:val="0094791F"/>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_0"/>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10">
    <w:name w:val="Tabela de Lista 7 Colorida - Ênfase 11_0"/>
    <w:basedOn w:val="Tabelanormal"/>
    <w:uiPriority w:val="52"/>
    <w:rsid w:val="0094791F"/>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_0"/>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10">
    <w:name w:val="Tabela de Grade 2 - Ênfase 51_0"/>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10">
    <w:name w:val="Tabela de Grade 6 Colorida - Ênfase 51_0"/>
    <w:basedOn w:val="Tabelanormal"/>
    <w:uiPriority w:val="51"/>
    <w:rsid w:val="0094791F"/>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10">
    <w:name w:val="Tabela de Lista 2 - Ênfase 51_0"/>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10">
    <w:name w:val="Tabela de Lista 4 - Ênfase 51_0"/>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10">
    <w:name w:val="Tabela de Lista 2 - Ênfase 11_0"/>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6Colorida-nfase531">
    <w:name w:val="Tabela de Lista 6 Colorida - Ênfase 531"/>
    <w:basedOn w:val="Tabelanormal"/>
    <w:next w:val="TabeladeLista6Colorida-nfase51"/>
    <w:uiPriority w:val="51"/>
    <w:rsid w:val="0094791F"/>
    <w:pPr>
      <w:spacing w:after="0" w:line="240" w:lineRule="auto"/>
    </w:pPr>
    <w:rPr>
      <w:rFonts w:ascii="Calibri" w:eastAsia="Calibri" w:hAnsi="Calibri" w:cs="Times New Roman"/>
      <w:color w:val="000000" w:themeColor="text1"/>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05-TtuloSublinhado">
    <w:name w:val="05-Título Sublinhado"/>
    <w:basedOn w:val="03-SubttulodeNota"/>
    <w:next w:val="01-Textonormal"/>
    <w:qFormat/>
    <w:rsid w:val="0094791F"/>
    <w:pPr>
      <w:keepNext/>
    </w:pPr>
    <w:rPr>
      <w:rFonts w:cs="Arial"/>
      <w:sz w:val="18"/>
    </w:rPr>
  </w:style>
  <w:style w:type="table" w:customStyle="1" w:styleId="TabeladeGrade1Clara-nfase12">
    <w:name w:val="Tabela de Grade 1 Clara - Ênfase 12"/>
    <w:basedOn w:val="Tabelanormal"/>
    <w:uiPriority w:val="46"/>
    <w:rsid w:val="0094791F"/>
    <w:pPr>
      <w:spacing w:after="0" w:line="240" w:lineRule="auto"/>
    </w:pPr>
    <w:rPr>
      <w:rFonts w:eastAsia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Lista7Colorida-nfase12">
    <w:name w:val="Tabela de Lista 7 Colorida - Ênfase 12"/>
    <w:basedOn w:val="Tabelanormal"/>
    <w:uiPriority w:val="52"/>
    <w:rsid w:val="0094791F"/>
    <w:pPr>
      <w:spacing w:after="0" w:line="240" w:lineRule="auto"/>
    </w:pPr>
    <w:rPr>
      <w:rFonts w:eastAsia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deGrade2-nfase52">
    <w:name w:val="Tabela de Grade 2 - Ênfase 52"/>
    <w:basedOn w:val="Tabelanormal"/>
    <w:uiPriority w:val="47"/>
    <w:rsid w:val="0094791F"/>
    <w:pPr>
      <w:spacing w:after="0" w:line="240" w:lineRule="auto"/>
    </w:pPr>
    <w:rPr>
      <w:rFonts w:eastAsia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Grade6Colorida-nfase52">
    <w:name w:val="Tabela de Grade 6 Colorida - Ênfase 52"/>
    <w:basedOn w:val="Tabelanormal"/>
    <w:uiPriority w:val="51"/>
    <w:rsid w:val="0094791F"/>
    <w:pPr>
      <w:spacing w:after="0" w:line="240" w:lineRule="auto"/>
    </w:pPr>
    <w:rPr>
      <w:rFonts w:eastAsia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52">
    <w:name w:val="Tabela de Lista 2 - Ênfase 52"/>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4-nfase52">
    <w:name w:val="Tabela de Lista 4 - Ênfase 52"/>
    <w:basedOn w:val="Tabelanormal"/>
    <w:uiPriority w:val="49"/>
    <w:rsid w:val="0094791F"/>
    <w:pPr>
      <w:spacing w:after="0" w:line="240" w:lineRule="auto"/>
    </w:pPr>
    <w:rPr>
      <w:rFonts w:eastAsia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nfase12">
    <w:name w:val="Tabela de Lista 2 - Ênfase 12"/>
    <w:basedOn w:val="Tabelanormal"/>
    <w:uiPriority w:val="47"/>
    <w:rsid w:val="0094791F"/>
    <w:pPr>
      <w:spacing w:after="0" w:line="240" w:lineRule="auto"/>
    </w:pPr>
    <w:rPr>
      <w:rFonts w:eastAsia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Refdenotaderodap">
    <w:name w:val="footnote reference"/>
    <w:basedOn w:val="Fontepargpadro"/>
    <w:uiPriority w:val="99"/>
    <w:semiHidden/>
    <w:unhideWhenUsed/>
    <w:rsid w:val="0094791F"/>
    <w:rPr>
      <w:vertAlign w:val="superscript"/>
    </w:rPr>
  </w:style>
  <w:style w:type="paragraph" w:customStyle="1" w:styleId="ListaRecuadotabela">
    <w:name w:val="Lista_Recuado_tabela"/>
    <w:basedOn w:val="Normal"/>
    <w:next w:val="Normal"/>
    <w:link w:val="ListaRecuadotabelaChar"/>
    <w:autoRedefine/>
    <w:qFormat/>
    <w:rsid w:val="0094791F"/>
    <w:pPr>
      <w:numPr>
        <w:numId w:val="50"/>
      </w:numPr>
      <w:spacing w:before="100" w:after="100" w:line="240" w:lineRule="auto"/>
      <w:ind w:right="57"/>
      <w:jc w:val="both"/>
    </w:pPr>
    <w:rPr>
      <w:rFonts w:eastAsiaTheme="minorHAnsi"/>
      <w:sz w:val="18"/>
      <w:szCs w:val="18"/>
    </w:rPr>
  </w:style>
  <w:style w:type="character" w:customStyle="1" w:styleId="ListaRecuadotabelaChar">
    <w:name w:val="Lista_Recuado_tabela Char"/>
    <w:basedOn w:val="Fontepargpadro"/>
    <w:link w:val="ListaRecuadotabela"/>
    <w:rsid w:val="0094791F"/>
    <w:rPr>
      <w:rFonts w:eastAsiaTheme="minorHAnsi"/>
      <w:sz w:val="18"/>
      <w:szCs w:val="18"/>
    </w:rPr>
  </w:style>
  <w:style w:type="paragraph" w:customStyle="1" w:styleId="Recuado">
    <w:name w:val="Recuado"/>
    <w:basedOn w:val="Normal"/>
    <w:link w:val="RecuadoChar"/>
    <w:qFormat/>
    <w:rsid w:val="0094791F"/>
    <w:pPr>
      <w:spacing w:before="100" w:after="100" w:line="276" w:lineRule="auto"/>
      <w:ind w:right="3402"/>
      <w:jc w:val="both"/>
    </w:pPr>
    <w:rPr>
      <w:rFonts w:eastAsiaTheme="minorHAnsi"/>
      <w:sz w:val="18"/>
      <w:szCs w:val="22"/>
    </w:rPr>
  </w:style>
  <w:style w:type="character" w:customStyle="1" w:styleId="RecuadoChar">
    <w:name w:val="Recuado Char"/>
    <w:basedOn w:val="Fontepargpadro"/>
    <w:link w:val="Recuado"/>
    <w:rsid w:val="0094791F"/>
    <w:rPr>
      <w:rFonts w:eastAsiaTheme="minorHAnsi"/>
      <w:sz w:val="18"/>
      <w:szCs w:val="22"/>
    </w:rPr>
  </w:style>
  <w:style w:type="paragraph" w:styleId="Corpodetexto2">
    <w:name w:val="Body Text 2"/>
    <w:basedOn w:val="Normal"/>
    <w:link w:val="Corpodetexto2Char"/>
    <w:uiPriority w:val="99"/>
    <w:rsid w:val="0094791F"/>
    <w:pPr>
      <w:spacing w:after="0" w:line="240" w:lineRule="auto"/>
    </w:pPr>
    <w:rPr>
      <w:rFonts w:ascii="Arial (W1)" w:eastAsia="Times New Roman" w:hAnsi="Arial (W1)" w:cs="Arial (W1)"/>
      <w:b/>
      <w:bCs/>
      <w:sz w:val="22"/>
      <w:szCs w:val="22"/>
      <w:lang w:eastAsia="pt-BR"/>
    </w:rPr>
  </w:style>
  <w:style w:type="character" w:customStyle="1" w:styleId="Corpodetexto2Char">
    <w:name w:val="Corpo de texto 2 Char"/>
    <w:basedOn w:val="Fontepargpadro"/>
    <w:link w:val="Corpodetexto2"/>
    <w:uiPriority w:val="99"/>
    <w:rsid w:val="0094791F"/>
    <w:rPr>
      <w:rFonts w:ascii="Arial (W1)" w:eastAsia="Times New Roman" w:hAnsi="Arial (W1)" w:cs="Arial (W1)"/>
      <w:b/>
      <w:bCs/>
      <w:sz w:val="22"/>
      <w:szCs w:val="22"/>
      <w:lang w:eastAsia="pt-BR"/>
    </w:rPr>
  </w:style>
  <w:style w:type="character" w:customStyle="1" w:styleId="17TEXTOcorpojustificadoChar">
    <w:name w:val="17. «TEXTO» corpo justificado Char"/>
    <w:link w:val="17TEXTOcorpojustificado"/>
    <w:rsid w:val="0094791F"/>
    <w:rPr>
      <w:rFonts w:ascii="Times" w:eastAsia="Times New Roman" w:hAnsi="Times" w:cs="Times New Roman"/>
      <w:szCs w:val="20"/>
    </w:rPr>
  </w:style>
  <w:style w:type="paragraph" w:customStyle="1" w:styleId="Pa3">
    <w:name w:val="Pa3"/>
    <w:basedOn w:val="Default"/>
    <w:next w:val="Default"/>
    <w:uiPriority w:val="99"/>
    <w:rsid w:val="0094791F"/>
    <w:pPr>
      <w:spacing w:line="137" w:lineRule="atLeast"/>
    </w:pPr>
    <w:rPr>
      <w:rFonts w:ascii="Arial" w:hAnsi="Arial" w:cs="Arial"/>
      <w:color w:val="auto"/>
    </w:rPr>
  </w:style>
  <w:style w:type="paragraph" w:customStyle="1" w:styleId="bullet1">
    <w:name w:val="bullet 1"/>
    <w:basedOn w:val="Normal"/>
    <w:rsid w:val="0094791F"/>
    <w:pPr>
      <w:numPr>
        <w:numId w:val="51"/>
      </w:numPr>
      <w:spacing w:after="140" w:line="290" w:lineRule="auto"/>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94791F"/>
    <w:rPr>
      <w:rFonts w:ascii="Arial" w:eastAsia="Times New Roman" w:hAnsi="Arial" w:cs="Times New Roman"/>
      <w:kern w:val="20"/>
      <w:sz w:val="20"/>
      <w:szCs w:val="24"/>
      <w:lang w:eastAsia="en-GB"/>
    </w:rPr>
  </w:style>
  <w:style w:type="character" w:customStyle="1" w:styleId="st">
    <w:name w:val="st"/>
    <w:basedOn w:val="Fontepargpadro"/>
    <w:rsid w:val="0094791F"/>
  </w:style>
  <w:style w:type="paragraph" w:customStyle="1" w:styleId="Padro">
    <w:name w:val="Padrão"/>
    <w:rsid w:val="0094791F"/>
    <w:pPr>
      <w:tabs>
        <w:tab w:val="left" w:pos="708"/>
      </w:tabs>
      <w:suppressAutoHyphens/>
      <w:spacing w:line="276" w:lineRule="auto"/>
    </w:pPr>
    <w:rPr>
      <w:rFonts w:ascii="Calibri" w:eastAsia="SimSun" w:hAnsi="Calibri" w:cs="Calibri"/>
      <w:color w:val="00000A"/>
      <w:sz w:val="22"/>
      <w:szCs w:val="22"/>
    </w:rPr>
  </w:style>
  <w:style w:type="paragraph" w:customStyle="1" w:styleId="10-Lista2">
    <w:name w:val="10-Lista 2"/>
    <w:basedOn w:val="09-Lista"/>
    <w:qFormat/>
    <w:rsid w:val="0094791F"/>
    <w:pPr>
      <w:numPr>
        <w:numId w:val="52"/>
      </w:numPr>
      <w:tabs>
        <w:tab w:val="clear" w:pos="851"/>
        <w:tab w:val="left" w:pos="1418"/>
      </w:tabs>
      <w:ind w:left="720"/>
    </w:pPr>
  </w:style>
  <w:style w:type="paragraph" w:styleId="Textodenotaderodap">
    <w:name w:val="footnote text"/>
    <w:basedOn w:val="Normal"/>
    <w:link w:val="TextodenotaderodapChar"/>
    <w:uiPriority w:val="99"/>
    <w:semiHidden/>
    <w:unhideWhenUsed/>
    <w:rsid w:val="0094791F"/>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4791F"/>
    <w:rPr>
      <w:rFonts w:ascii="Calibri" w:eastAsia="Calibri" w:hAnsi="Calibri" w:cs="Times New Roman"/>
      <w:sz w:val="20"/>
      <w:szCs w:val="20"/>
    </w:rPr>
  </w:style>
  <w:style w:type="paragraph" w:styleId="NormalWeb">
    <w:name w:val="Normal (Web)"/>
    <w:basedOn w:val="Normal"/>
    <w:uiPriority w:val="99"/>
    <w:semiHidden/>
    <w:unhideWhenUsed/>
    <w:rsid w:val="0094791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pt-br">
    <w:name w:val="pt-br"/>
    <w:basedOn w:val="Fontepargpadro"/>
    <w:rsid w:val="0094791F"/>
  </w:style>
  <w:style w:type="table" w:customStyle="1" w:styleId="TabelaSimples21">
    <w:name w:val="Tabela Simples 21"/>
    <w:basedOn w:val="Tabelanormal"/>
    <w:uiPriority w:val="42"/>
    <w:rsid w:val="0094791F"/>
    <w:pPr>
      <w:spacing w:after="0" w:line="240" w:lineRule="auto"/>
    </w:pPr>
    <w:rPr>
      <w:rFonts w:ascii="Calibri" w:eastAsia="Calibri" w:hAnsi="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94791F"/>
    <w:pPr>
      <w:spacing w:after="0" w:line="240" w:lineRule="auto"/>
      <w:jc w:val="both"/>
    </w:pPr>
    <w:rPr>
      <w:rFonts w:ascii="Calibri" w:eastAsia="Calibri" w:hAnsi="Calibri" w:cs="Times New Roman"/>
      <w:bCs/>
      <w:color w:val="1F497D"/>
      <w:sz w:val="18"/>
      <w:szCs w:val="22"/>
    </w:rPr>
  </w:style>
  <w:style w:type="paragraph" w:customStyle="1" w:styleId="050-TextoPadro">
    <w:name w:val="050 - Texto Padrão"/>
    <w:basedOn w:val="Normal"/>
    <w:link w:val="050-TextoPadroChar"/>
    <w:qFormat/>
    <w:rsid w:val="0094791F"/>
    <w:pPr>
      <w:spacing w:before="120" w:after="120" w:line="276" w:lineRule="auto"/>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94791F"/>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94791F"/>
    <w:pPr>
      <w:spacing w:after="0" w:line="240" w:lineRule="auto"/>
    </w:pPr>
    <w:rPr>
      <w:rFonts w:eastAsia="MS Mincho"/>
      <w:sz w:val="20"/>
      <w:szCs w:val="20"/>
    </w:rPr>
  </w:style>
  <w:style w:type="character" w:customStyle="1" w:styleId="TextodenotadefimChar">
    <w:name w:val="Texto de nota de fim Char"/>
    <w:basedOn w:val="Fontepargpadro"/>
    <w:link w:val="Textodenotadefim"/>
    <w:uiPriority w:val="99"/>
    <w:semiHidden/>
    <w:rsid w:val="0094791F"/>
    <w:rPr>
      <w:rFonts w:eastAsia="MS Mincho"/>
      <w:sz w:val="20"/>
      <w:szCs w:val="20"/>
    </w:rPr>
  </w:style>
  <w:style w:type="character" w:styleId="Refdenotadefim">
    <w:name w:val="endnote reference"/>
    <w:basedOn w:val="Fontepargpadro"/>
    <w:uiPriority w:val="99"/>
    <w:semiHidden/>
    <w:unhideWhenUsed/>
    <w:rsid w:val="0094791F"/>
    <w:rPr>
      <w:vertAlign w:val="superscript"/>
    </w:rPr>
  </w:style>
  <w:style w:type="paragraph" w:customStyle="1" w:styleId="Lista1">
    <w:name w:val="Lista1"/>
    <w:basedOn w:val="Normal"/>
    <w:qFormat/>
    <w:rsid w:val="0094791F"/>
    <w:pPr>
      <w:spacing w:before="100" w:after="100" w:line="312" w:lineRule="auto"/>
      <w:ind w:left="57" w:right="57"/>
      <w:jc w:val="both"/>
    </w:pPr>
    <w:rPr>
      <w:rFonts w:ascii="BancoDoBrasil Textos Light" w:eastAsiaTheme="minorHAnsi" w:hAnsi="BancoDoBrasil Textos Light"/>
      <w:sz w:val="16"/>
      <w:szCs w:val="22"/>
    </w:rPr>
  </w:style>
  <w:style w:type="paragraph" w:customStyle="1" w:styleId="Subtitulonivel1">
    <w:name w:val="Subtitulo nivel 1"/>
    <w:basedOn w:val="Normal"/>
    <w:qFormat/>
    <w:rsid w:val="0094791F"/>
    <w:pPr>
      <w:tabs>
        <w:tab w:val="left" w:pos="7083"/>
      </w:tabs>
      <w:spacing w:before="120" w:after="120" w:line="240" w:lineRule="auto"/>
      <w:ind w:right="57"/>
      <w:jc w:val="both"/>
    </w:pPr>
    <w:rPr>
      <w:rFonts w:ascii="Calibri" w:eastAsiaTheme="minorHAnsi" w:hAnsi="Calibri"/>
      <w:color w:val="002D4B"/>
      <w:sz w:val="20"/>
      <w:szCs w:val="22"/>
    </w:rPr>
  </w:style>
  <w:style w:type="character" w:customStyle="1" w:styleId="xcontentpasted0">
    <w:name w:val="x_contentpasted0"/>
    <w:basedOn w:val="Fontepargpadro"/>
    <w:rsid w:val="0094791F"/>
  </w:style>
  <w:style w:type="character" w:styleId="MenoPendente">
    <w:name w:val="Unresolved Mention"/>
    <w:basedOn w:val="Fontepargpadro"/>
    <w:uiPriority w:val="99"/>
    <w:semiHidden/>
    <w:unhideWhenUsed/>
    <w:rsid w:val="0024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343716">
      <w:bodyDiv w:val="1"/>
      <w:marLeft w:val="0"/>
      <w:marRight w:val="0"/>
      <w:marTop w:val="0"/>
      <w:marBottom w:val="0"/>
      <w:divBdr>
        <w:top w:val="none" w:sz="0" w:space="0" w:color="auto"/>
        <w:left w:val="none" w:sz="0" w:space="0" w:color="auto"/>
        <w:bottom w:val="none" w:sz="0" w:space="0" w:color="auto"/>
        <w:right w:val="none" w:sz="0" w:space="0" w:color="auto"/>
      </w:divBdr>
    </w:div>
    <w:div w:id="508254877">
      <w:bodyDiv w:val="1"/>
      <w:marLeft w:val="0"/>
      <w:marRight w:val="0"/>
      <w:marTop w:val="0"/>
      <w:marBottom w:val="0"/>
      <w:divBdr>
        <w:top w:val="none" w:sz="0" w:space="0" w:color="auto"/>
        <w:left w:val="none" w:sz="0" w:space="0" w:color="auto"/>
        <w:bottom w:val="none" w:sz="0" w:space="0" w:color="auto"/>
        <w:right w:val="none" w:sz="0" w:space="0" w:color="auto"/>
      </w:divBdr>
    </w:div>
    <w:div w:id="535502804">
      <w:bodyDiv w:val="1"/>
      <w:marLeft w:val="0"/>
      <w:marRight w:val="0"/>
      <w:marTop w:val="0"/>
      <w:marBottom w:val="0"/>
      <w:divBdr>
        <w:top w:val="none" w:sz="0" w:space="0" w:color="auto"/>
        <w:left w:val="none" w:sz="0" w:space="0" w:color="auto"/>
        <w:bottom w:val="none" w:sz="0" w:space="0" w:color="auto"/>
        <w:right w:val="none" w:sz="0" w:space="0" w:color="auto"/>
      </w:divBdr>
    </w:div>
    <w:div w:id="553273889">
      <w:bodyDiv w:val="1"/>
      <w:marLeft w:val="0"/>
      <w:marRight w:val="0"/>
      <w:marTop w:val="0"/>
      <w:marBottom w:val="0"/>
      <w:divBdr>
        <w:top w:val="none" w:sz="0" w:space="0" w:color="auto"/>
        <w:left w:val="none" w:sz="0" w:space="0" w:color="auto"/>
        <w:bottom w:val="none" w:sz="0" w:space="0" w:color="auto"/>
        <w:right w:val="none" w:sz="0" w:space="0" w:color="auto"/>
      </w:divBdr>
    </w:div>
    <w:div w:id="652486759">
      <w:bodyDiv w:val="1"/>
      <w:marLeft w:val="0"/>
      <w:marRight w:val="0"/>
      <w:marTop w:val="0"/>
      <w:marBottom w:val="0"/>
      <w:divBdr>
        <w:top w:val="none" w:sz="0" w:space="0" w:color="auto"/>
        <w:left w:val="none" w:sz="0" w:space="0" w:color="auto"/>
        <w:bottom w:val="none" w:sz="0" w:space="0" w:color="auto"/>
        <w:right w:val="none" w:sz="0" w:space="0" w:color="auto"/>
      </w:divBdr>
    </w:div>
    <w:div w:id="767459122">
      <w:bodyDiv w:val="1"/>
      <w:marLeft w:val="0"/>
      <w:marRight w:val="0"/>
      <w:marTop w:val="0"/>
      <w:marBottom w:val="0"/>
      <w:divBdr>
        <w:top w:val="none" w:sz="0" w:space="0" w:color="auto"/>
        <w:left w:val="none" w:sz="0" w:space="0" w:color="auto"/>
        <w:bottom w:val="none" w:sz="0" w:space="0" w:color="auto"/>
        <w:right w:val="none" w:sz="0" w:space="0" w:color="auto"/>
      </w:divBdr>
    </w:div>
    <w:div w:id="79156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bp-arquivos-fundos.brasilprev.com.br/gerais/sustentabilidade-um-investimento-no-futuro-2023.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climatebonds.net/market/country/brasil/declaracao-de-investidores" TargetMode="External"/><Relationship Id="rId2" Type="http://schemas.openxmlformats.org/officeDocument/2006/relationships/numbering" Target="numbering.xml"/><Relationship Id="rId16" Type="http://schemas.openxmlformats.org/officeDocument/2006/relationships/hyperlink" Target="https://www.bbseguros.com.br/seguros/sustentabilidade" TargetMode="External"/><Relationship Id="rId20" Type="http://schemas.openxmlformats.org/officeDocument/2006/relationships/hyperlink" Target="https://www.brasilcap.com.br/brasilcap/brasilcap/responsabilidade-socioambiental/responsabilidade-socioambienta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bbseguridaderi.com.br/sustentabilidade-e-governanca/sustentabilidade/" TargetMode="External"/><Relationship Id="rId10" Type="http://schemas.openxmlformats.org/officeDocument/2006/relationships/header" Target="header1.xml"/><Relationship Id="rId19" Type="http://schemas.openxmlformats.org/officeDocument/2006/relationships/hyperlink" Target="https://www1.brasilprev.com.br/sustentabilidade"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bbseguridaderi.com.br/en/market-information/results-cente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D9500-D1DD-413A-AAC7-D3D2C2554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3075</TotalTime>
  <Pages>15</Pages>
  <Words>8577</Words>
  <Characters>46318</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54786</CharactersWithSpaces>
  <SharedDoc>false</SharedDoc>
  <HLinks>
    <vt:vector size="270" baseType="variant">
      <vt:variant>
        <vt:i4>983126</vt:i4>
      </vt:variant>
      <vt:variant>
        <vt:i4>258</vt:i4>
      </vt:variant>
      <vt:variant>
        <vt:i4>0</vt:i4>
      </vt:variant>
      <vt:variant>
        <vt:i4>5</vt:i4>
      </vt:variant>
      <vt:variant>
        <vt:lpwstr>https://www.linguee.com.br/ingles-portugues/traducao/representation.html</vt:lpwstr>
      </vt:variant>
      <vt:variant>
        <vt:lpwstr/>
      </vt:variant>
      <vt:variant>
        <vt:i4>983126</vt:i4>
      </vt:variant>
      <vt:variant>
        <vt:i4>255</vt:i4>
      </vt:variant>
      <vt:variant>
        <vt:i4>0</vt:i4>
      </vt:variant>
      <vt:variant>
        <vt:i4>5</vt:i4>
      </vt:variant>
      <vt:variant>
        <vt:lpwstr>https://www.linguee.com.br/ingles-portugues/traducao/representation.html</vt:lpwstr>
      </vt:variant>
      <vt:variant>
        <vt:lpwstr/>
      </vt:variant>
      <vt:variant>
        <vt:i4>983126</vt:i4>
      </vt:variant>
      <vt:variant>
        <vt:i4>252</vt:i4>
      </vt:variant>
      <vt:variant>
        <vt:i4>0</vt:i4>
      </vt:variant>
      <vt:variant>
        <vt:i4>5</vt:i4>
      </vt:variant>
      <vt:variant>
        <vt:lpwstr>https://www.linguee.com.br/ingles-portugues/traducao/representation.html</vt:lpwstr>
      </vt:variant>
      <vt:variant>
        <vt:lpwstr/>
      </vt:variant>
      <vt:variant>
        <vt:i4>5242973</vt:i4>
      </vt:variant>
      <vt:variant>
        <vt:i4>249</vt:i4>
      </vt:variant>
      <vt:variant>
        <vt:i4>0</vt:i4>
      </vt:variant>
      <vt:variant>
        <vt:i4>5</vt:i4>
      </vt:variant>
      <vt:variant>
        <vt:lpwstr>https://www.linguee.com.br/ingles-portugues/traducao/opening+balance.html</vt:lpwstr>
      </vt:variant>
      <vt:variant>
        <vt:lpwstr/>
      </vt:variant>
      <vt:variant>
        <vt:i4>6029327</vt:i4>
      </vt:variant>
      <vt:variant>
        <vt:i4>246</vt:i4>
      </vt:variant>
      <vt:variant>
        <vt:i4>0</vt:i4>
      </vt:variant>
      <vt:variant>
        <vt:i4>5</vt:i4>
      </vt:variant>
      <vt:variant>
        <vt:lpwstr>https://www.brasilcap.com.br/brasilcap/brasilcap/responsabilidade-socioambiental/responsabilidade-socioambiental.html</vt:lpwstr>
      </vt:variant>
      <vt:variant>
        <vt:lpwstr/>
      </vt:variant>
      <vt:variant>
        <vt:i4>2752555</vt:i4>
      </vt:variant>
      <vt:variant>
        <vt:i4>243</vt:i4>
      </vt:variant>
      <vt:variant>
        <vt:i4>0</vt:i4>
      </vt:variant>
      <vt:variant>
        <vt:i4>5</vt:i4>
      </vt:variant>
      <vt:variant>
        <vt:lpwstr>https://www1.brasilprev.com.br/sustentabilidade</vt:lpwstr>
      </vt:variant>
      <vt:variant>
        <vt:lpwstr/>
      </vt:variant>
      <vt:variant>
        <vt:i4>3014702</vt:i4>
      </vt:variant>
      <vt:variant>
        <vt:i4>240</vt:i4>
      </vt:variant>
      <vt:variant>
        <vt:i4>0</vt:i4>
      </vt:variant>
      <vt:variant>
        <vt:i4>5</vt:i4>
      </vt:variant>
      <vt:variant>
        <vt:lpwstr>https://bp-arquivos-fundos.brasilprev.com.br/gerais/sustentabilidade-um-investimento-no-futuro-2023.pdf</vt:lpwstr>
      </vt:variant>
      <vt:variant>
        <vt:lpwstr/>
      </vt:variant>
      <vt:variant>
        <vt:i4>1900630</vt:i4>
      </vt:variant>
      <vt:variant>
        <vt:i4>237</vt:i4>
      </vt:variant>
      <vt:variant>
        <vt:i4>0</vt:i4>
      </vt:variant>
      <vt:variant>
        <vt:i4>5</vt:i4>
      </vt:variant>
      <vt:variant>
        <vt:lpwstr>https://www.climatebonds.net/market/country/brasil/declaracao-de-investidores</vt:lpwstr>
      </vt:variant>
      <vt:variant>
        <vt:lpwstr/>
      </vt:variant>
      <vt:variant>
        <vt:i4>4325451</vt:i4>
      </vt:variant>
      <vt:variant>
        <vt:i4>234</vt:i4>
      </vt:variant>
      <vt:variant>
        <vt:i4>0</vt:i4>
      </vt:variant>
      <vt:variant>
        <vt:i4>5</vt:i4>
      </vt:variant>
      <vt:variant>
        <vt:lpwstr>https://www.bbseguros.com.br/seguros/sustentabilidade</vt:lpwstr>
      </vt:variant>
      <vt:variant>
        <vt:lpwstr/>
      </vt:variant>
      <vt:variant>
        <vt:i4>1507376</vt:i4>
      </vt:variant>
      <vt:variant>
        <vt:i4>212</vt:i4>
      </vt:variant>
      <vt:variant>
        <vt:i4>0</vt:i4>
      </vt:variant>
      <vt:variant>
        <vt:i4>5</vt:i4>
      </vt:variant>
      <vt:variant>
        <vt:lpwstr/>
      </vt:variant>
      <vt:variant>
        <vt:lpwstr>_Toc157704669</vt:lpwstr>
      </vt:variant>
      <vt:variant>
        <vt:i4>1507376</vt:i4>
      </vt:variant>
      <vt:variant>
        <vt:i4>206</vt:i4>
      </vt:variant>
      <vt:variant>
        <vt:i4>0</vt:i4>
      </vt:variant>
      <vt:variant>
        <vt:i4>5</vt:i4>
      </vt:variant>
      <vt:variant>
        <vt:lpwstr/>
      </vt:variant>
      <vt:variant>
        <vt:lpwstr>_Toc157704668</vt:lpwstr>
      </vt:variant>
      <vt:variant>
        <vt:i4>1507376</vt:i4>
      </vt:variant>
      <vt:variant>
        <vt:i4>200</vt:i4>
      </vt:variant>
      <vt:variant>
        <vt:i4>0</vt:i4>
      </vt:variant>
      <vt:variant>
        <vt:i4>5</vt:i4>
      </vt:variant>
      <vt:variant>
        <vt:lpwstr/>
      </vt:variant>
      <vt:variant>
        <vt:lpwstr>_Toc157704667</vt:lpwstr>
      </vt:variant>
      <vt:variant>
        <vt:i4>1507376</vt:i4>
      </vt:variant>
      <vt:variant>
        <vt:i4>194</vt:i4>
      </vt:variant>
      <vt:variant>
        <vt:i4>0</vt:i4>
      </vt:variant>
      <vt:variant>
        <vt:i4>5</vt:i4>
      </vt:variant>
      <vt:variant>
        <vt:lpwstr/>
      </vt:variant>
      <vt:variant>
        <vt:lpwstr>_Toc157704666</vt:lpwstr>
      </vt:variant>
      <vt:variant>
        <vt:i4>1507376</vt:i4>
      </vt:variant>
      <vt:variant>
        <vt:i4>188</vt:i4>
      </vt:variant>
      <vt:variant>
        <vt:i4>0</vt:i4>
      </vt:variant>
      <vt:variant>
        <vt:i4>5</vt:i4>
      </vt:variant>
      <vt:variant>
        <vt:lpwstr/>
      </vt:variant>
      <vt:variant>
        <vt:lpwstr>_Toc157704665</vt:lpwstr>
      </vt:variant>
      <vt:variant>
        <vt:i4>1507376</vt:i4>
      </vt:variant>
      <vt:variant>
        <vt:i4>182</vt:i4>
      </vt:variant>
      <vt:variant>
        <vt:i4>0</vt:i4>
      </vt:variant>
      <vt:variant>
        <vt:i4>5</vt:i4>
      </vt:variant>
      <vt:variant>
        <vt:lpwstr/>
      </vt:variant>
      <vt:variant>
        <vt:lpwstr>_Toc157704664</vt:lpwstr>
      </vt:variant>
      <vt:variant>
        <vt:i4>1507376</vt:i4>
      </vt:variant>
      <vt:variant>
        <vt:i4>176</vt:i4>
      </vt:variant>
      <vt:variant>
        <vt:i4>0</vt:i4>
      </vt:variant>
      <vt:variant>
        <vt:i4>5</vt:i4>
      </vt:variant>
      <vt:variant>
        <vt:lpwstr/>
      </vt:variant>
      <vt:variant>
        <vt:lpwstr>_Toc157704663</vt:lpwstr>
      </vt:variant>
      <vt:variant>
        <vt:i4>1507376</vt:i4>
      </vt:variant>
      <vt:variant>
        <vt:i4>170</vt:i4>
      </vt:variant>
      <vt:variant>
        <vt:i4>0</vt:i4>
      </vt:variant>
      <vt:variant>
        <vt:i4>5</vt:i4>
      </vt:variant>
      <vt:variant>
        <vt:lpwstr/>
      </vt:variant>
      <vt:variant>
        <vt:lpwstr>_Toc157704662</vt:lpwstr>
      </vt:variant>
      <vt:variant>
        <vt:i4>1507376</vt:i4>
      </vt:variant>
      <vt:variant>
        <vt:i4>164</vt:i4>
      </vt:variant>
      <vt:variant>
        <vt:i4>0</vt:i4>
      </vt:variant>
      <vt:variant>
        <vt:i4>5</vt:i4>
      </vt:variant>
      <vt:variant>
        <vt:lpwstr/>
      </vt:variant>
      <vt:variant>
        <vt:lpwstr>_Toc157704661</vt:lpwstr>
      </vt:variant>
      <vt:variant>
        <vt:i4>1507376</vt:i4>
      </vt:variant>
      <vt:variant>
        <vt:i4>158</vt:i4>
      </vt:variant>
      <vt:variant>
        <vt:i4>0</vt:i4>
      </vt:variant>
      <vt:variant>
        <vt:i4>5</vt:i4>
      </vt:variant>
      <vt:variant>
        <vt:lpwstr/>
      </vt:variant>
      <vt:variant>
        <vt:lpwstr>_Toc157704660</vt:lpwstr>
      </vt:variant>
      <vt:variant>
        <vt:i4>1310768</vt:i4>
      </vt:variant>
      <vt:variant>
        <vt:i4>152</vt:i4>
      </vt:variant>
      <vt:variant>
        <vt:i4>0</vt:i4>
      </vt:variant>
      <vt:variant>
        <vt:i4>5</vt:i4>
      </vt:variant>
      <vt:variant>
        <vt:lpwstr/>
      </vt:variant>
      <vt:variant>
        <vt:lpwstr>_Toc157704659</vt:lpwstr>
      </vt:variant>
      <vt:variant>
        <vt:i4>1310768</vt:i4>
      </vt:variant>
      <vt:variant>
        <vt:i4>146</vt:i4>
      </vt:variant>
      <vt:variant>
        <vt:i4>0</vt:i4>
      </vt:variant>
      <vt:variant>
        <vt:i4>5</vt:i4>
      </vt:variant>
      <vt:variant>
        <vt:lpwstr/>
      </vt:variant>
      <vt:variant>
        <vt:lpwstr>_Toc157704658</vt:lpwstr>
      </vt:variant>
      <vt:variant>
        <vt:i4>1310768</vt:i4>
      </vt:variant>
      <vt:variant>
        <vt:i4>140</vt:i4>
      </vt:variant>
      <vt:variant>
        <vt:i4>0</vt:i4>
      </vt:variant>
      <vt:variant>
        <vt:i4>5</vt:i4>
      </vt:variant>
      <vt:variant>
        <vt:lpwstr/>
      </vt:variant>
      <vt:variant>
        <vt:lpwstr>_Toc157704657</vt:lpwstr>
      </vt:variant>
      <vt:variant>
        <vt:i4>1310768</vt:i4>
      </vt:variant>
      <vt:variant>
        <vt:i4>134</vt:i4>
      </vt:variant>
      <vt:variant>
        <vt:i4>0</vt:i4>
      </vt:variant>
      <vt:variant>
        <vt:i4>5</vt:i4>
      </vt:variant>
      <vt:variant>
        <vt:lpwstr/>
      </vt:variant>
      <vt:variant>
        <vt:lpwstr>_Toc157704656</vt:lpwstr>
      </vt:variant>
      <vt:variant>
        <vt:i4>1310768</vt:i4>
      </vt:variant>
      <vt:variant>
        <vt:i4>128</vt:i4>
      </vt:variant>
      <vt:variant>
        <vt:i4>0</vt:i4>
      </vt:variant>
      <vt:variant>
        <vt:i4>5</vt:i4>
      </vt:variant>
      <vt:variant>
        <vt:lpwstr/>
      </vt:variant>
      <vt:variant>
        <vt:lpwstr>_Toc157704655</vt:lpwstr>
      </vt:variant>
      <vt:variant>
        <vt:i4>1310768</vt:i4>
      </vt:variant>
      <vt:variant>
        <vt:i4>122</vt:i4>
      </vt:variant>
      <vt:variant>
        <vt:i4>0</vt:i4>
      </vt:variant>
      <vt:variant>
        <vt:i4>5</vt:i4>
      </vt:variant>
      <vt:variant>
        <vt:lpwstr/>
      </vt:variant>
      <vt:variant>
        <vt:lpwstr>_Toc157704654</vt:lpwstr>
      </vt:variant>
      <vt:variant>
        <vt:i4>1310768</vt:i4>
      </vt:variant>
      <vt:variant>
        <vt:i4>116</vt:i4>
      </vt:variant>
      <vt:variant>
        <vt:i4>0</vt:i4>
      </vt:variant>
      <vt:variant>
        <vt:i4>5</vt:i4>
      </vt:variant>
      <vt:variant>
        <vt:lpwstr/>
      </vt:variant>
      <vt:variant>
        <vt:lpwstr>_Toc157704653</vt:lpwstr>
      </vt:variant>
      <vt:variant>
        <vt:i4>1310768</vt:i4>
      </vt:variant>
      <vt:variant>
        <vt:i4>110</vt:i4>
      </vt:variant>
      <vt:variant>
        <vt:i4>0</vt:i4>
      </vt:variant>
      <vt:variant>
        <vt:i4>5</vt:i4>
      </vt:variant>
      <vt:variant>
        <vt:lpwstr/>
      </vt:variant>
      <vt:variant>
        <vt:lpwstr>_Toc157704652</vt:lpwstr>
      </vt:variant>
      <vt:variant>
        <vt:i4>1310768</vt:i4>
      </vt:variant>
      <vt:variant>
        <vt:i4>104</vt:i4>
      </vt:variant>
      <vt:variant>
        <vt:i4>0</vt:i4>
      </vt:variant>
      <vt:variant>
        <vt:i4>5</vt:i4>
      </vt:variant>
      <vt:variant>
        <vt:lpwstr/>
      </vt:variant>
      <vt:variant>
        <vt:lpwstr>_Toc157704651</vt:lpwstr>
      </vt:variant>
      <vt:variant>
        <vt:i4>1310768</vt:i4>
      </vt:variant>
      <vt:variant>
        <vt:i4>98</vt:i4>
      </vt:variant>
      <vt:variant>
        <vt:i4>0</vt:i4>
      </vt:variant>
      <vt:variant>
        <vt:i4>5</vt:i4>
      </vt:variant>
      <vt:variant>
        <vt:lpwstr/>
      </vt:variant>
      <vt:variant>
        <vt:lpwstr>_Toc157704650</vt:lpwstr>
      </vt:variant>
      <vt:variant>
        <vt:i4>1376304</vt:i4>
      </vt:variant>
      <vt:variant>
        <vt:i4>92</vt:i4>
      </vt:variant>
      <vt:variant>
        <vt:i4>0</vt:i4>
      </vt:variant>
      <vt:variant>
        <vt:i4>5</vt:i4>
      </vt:variant>
      <vt:variant>
        <vt:lpwstr/>
      </vt:variant>
      <vt:variant>
        <vt:lpwstr>_Toc157704649</vt:lpwstr>
      </vt:variant>
      <vt:variant>
        <vt:i4>1376304</vt:i4>
      </vt:variant>
      <vt:variant>
        <vt:i4>86</vt:i4>
      </vt:variant>
      <vt:variant>
        <vt:i4>0</vt:i4>
      </vt:variant>
      <vt:variant>
        <vt:i4>5</vt:i4>
      </vt:variant>
      <vt:variant>
        <vt:lpwstr/>
      </vt:variant>
      <vt:variant>
        <vt:lpwstr>_Toc157704648</vt:lpwstr>
      </vt:variant>
      <vt:variant>
        <vt:i4>1376304</vt:i4>
      </vt:variant>
      <vt:variant>
        <vt:i4>80</vt:i4>
      </vt:variant>
      <vt:variant>
        <vt:i4>0</vt:i4>
      </vt:variant>
      <vt:variant>
        <vt:i4>5</vt:i4>
      </vt:variant>
      <vt:variant>
        <vt:lpwstr/>
      </vt:variant>
      <vt:variant>
        <vt:lpwstr>_Toc157704647</vt:lpwstr>
      </vt:variant>
      <vt:variant>
        <vt:i4>1376304</vt:i4>
      </vt:variant>
      <vt:variant>
        <vt:i4>74</vt:i4>
      </vt:variant>
      <vt:variant>
        <vt:i4>0</vt:i4>
      </vt:variant>
      <vt:variant>
        <vt:i4>5</vt:i4>
      </vt:variant>
      <vt:variant>
        <vt:lpwstr/>
      </vt:variant>
      <vt:variant>
        <vt:lpwstr>_Toc157704646</vt:lpwstr>
      </vt:variant>
      <vt:variant>
        <vt:i4>1376304</vt:i4>
      </vt:variant>
      <vt:variant>
        <vt:i4>68</vt:i4>
      </vt:variant>
      <vt:variant>
        <vt:i4>0</vt:i4>
      </vt:variant>
      <vt:variant>
        <vt:i4>5</vt:i4>
      </vt:variant>
      <vt:variant>
        <vt:lpwstr/>
      </vt:variant>
      <vt:variant>
        <vt:lpwstr>_Toc157704645</vt:lpwstr>
      </vt:variant>
      <vt:variant>
        <vt:i4>1376304</vt:i4>
      </vt:variant>
      <vt:variant>
        <vt:i4>62</vt:i4>
      </vt:variant>
      <vt:variant>
        <vt:i4>0</vt:i4>
      </vt:variant>
      <vt:variant>
        <vt:i4>5</vt:i4>
      </vt:variant>
      <vt:variant>
        <vt:lpwstr/>
      </vt:variant>
      <vt:variant>
        <vt:lpwstr>_Toc157704644</vt:lpwstr>
      </vt:variant>
      <vt:variant>
        <vt:i4>1376304</vt:i4>
      </vt:variant>
      <vt:variant>
        <vt:i4>56</vt:i4>
      </vt:variant>
      <vt:variant>
        <vt:i4>0</vt:i4>
      </vt:variant>
      <vt:variant>
        <vt:i4>5</vt:i4>
      </vt:variant>
      <vt:variant>
        <vt:lpwstr/>
      </vt:variant>
      <vt:variant>
        <vt:lpwstr>_Toc157704643</vt:lpwstr>
      </vt:variant>
      <vt:variant>
        <vt:i4>1376304</vt:i4>
      </vt:variant>
      <vt:variant>
        <vt:i4>50</vt:i4>
      </vt:variant>
      <vt:variant>
        <vt:i4>0</vt:i4>
      </vt:variant>
      <vt:variant>
        <vt:i4>5</vt:i4>
      </vt:variant>
      <vt:variant>
        <vt:lpwstr/>
      </vt:variant>
      <vt:variant>
        <vt:lpwstr>_Toc157704642</vt:lpwstr>
      </vt:variant>
      <vt:variant>
        <vt:i4>1376304</vt:i4>
      </vt:variant>
      <vt:variant>
        <vt:i4>44</vt:i4>
      </vt:variant>
      <vt:variant>
        <vt:i4>0</vt:i4>
      </vt:variant>
      <vt:variant>
        <vt:i4>5</vt:i4>
      </vt:variant>
      <vt:variant>
        <vt:lpwstr/>
      </vt:variant>
      <vt:variant>
        <vt:lpwstr>_Toc157704641</vt:lpwstr>
      </vt:variant>
      <vt:variant>
        <vt:i4>1376304</vt:i4>
      </vt:variant>
      <vt:variant>
        <vt:i4>38</vt:i4>
      </vt:variant>
      <vt:variant>
        <vt:i4>0</vt:i4>
      </vt:variant>
      <vt:variant>
        <vt:i4>5</vt:i4>
      </vt:variant>
      <vt:variant>
        <vt:lpwstr/>
      </vt:variant>
      <vt:variant>
        <vt:lpwstr>_Toc157704640</vt:lpwstr>
      </vt:variant>
      <vt:variant>
        <vt:i4>1179696</vt:i4>
      </vt:variant>
      <vt:variant>
        <vt:i4>32</vt:i4>
      </vt:variant>
      <vt:variant>
        <vt:i4>0</vt:i4>
      </vt:variant>
      <vt:variant>
        <vt:i4>5</vt:i4>
      </vt:variant>
      <vt:variant>
        <vt:lpwstr/>
      </vt:variant>
      <vt:variant>
        <vt:lpwstr>_Toc157704639</vt:lpwstr>
      </vt:variant>
      <vt:variant>
        <vt:i4>1179696</vt:i4>
      </vt:variant>
      <vt:variant>
        <vt:i4>26</vt:i4>
      </vt:variant>
      <vt:variant>
        <vt:i4>0</vt:i4>
      </vt:variant>
      <vt:variant>
        <vt:i4>5</vt:i4>
      </vt:variant>
      <vt:variant>
        <vt:lpwstr/>
      </vt:variant>
      <vt:variant>
        <vt:lpwstr>_Toc157704638</vt:lpwstr>
      </vt:variant>
      <vt:variant>
        <vt:i4>1179696</vt:i4>
      </vt:variant>
      <vt:variant>
        <vt:i4>20</vt:i4>
      </vt:variant>
      <vt:variant>
        <vt:i4>0</vt:i4>
      </vt:variant>
      <vt:variant>
        <vt:i4>5</vt:i4>
      </vt:variant>
      <vt:variant>
        <vt:lpwstr/>
      </vt:variant>
      <vt:variant>
        <vt:lpwstr>_Toc157704637</vt:lpwstr>
      </vt:variant>
      <vt:variant>
        <vt:i4>1179696</vt:i4>
      </vt:variant>
      <vt:variant>
        <vt:i4>14</vt:i4>
      </vt:variant>
      <vt:variant>
        <vt:i4>0</vt:i4>
      </vt:variant>
      <vt:variant>
        <vt:i4>5</vt:i4>
      </vt:variant>
      <vt:variant>
        <vt:lpwstr/>
      </vt:variant>
      <vt:variant>
        <vt:lpwstr>_Toc157704636</vt:lpwstr>
      </vt:variant>
      <vt:variant>
        <vt:i4>1179696</vt:i4>
      </vt:variant>
      <vt:variant>
        <vt:i4>8</vt:i4>
      </vt:variant>
      <vt:variant>
        <vt:i4>0</vt:i4>
      </vt:variant>
      <vt:variant>
        <vt:i4>5</vt:i4>
      </vt:variant>
      <vt:variant>
        <vt:lpwstr/>
      </vt:variant>
      <vt:variant>
        <vt:lpwstr>_Toc157704635</vt:lpwstr>
      </vt:variant>
      <vt:variant>
        <vt:i4>1179696</vt:i4>
      </vt:variant>
      <vt:variant>
        <vt:i4>2</vt:i4>
      </vt:variant>
      <vt:variant>
        <vt:i4>0</vt:i4>
      </vt:variant>
      <vt:variant>
        <vt:i4>5</vt:i4>
      </vt:variant>
      <vt:variant>
        <vt:lpwstr/>
      </vt:variant>
      <vt:variant>
        <vt:lpwstr>_Toc157704634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Felipe Monteiro Peres</cp:lastModifiedBy>
  <cp:revision>763</cp:revision>
  <cp:lastPrinted>2024-02-02T21:21:00Z</cp:lastPrinted>
  <dcterms:created xsi:type="dcterms:W3CDTF">2022-08-03T05:33:00Z</dcterms:created>
  <dcterms:modified xsi:type="dcterms:W3CDTF">2024-02-05T10:28:00Z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2023-08-04T14:24:55Z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7f07d670-dd94-4690-9600-e0810abd0334</vt:lpwstr>
  </property>
  <property fmtid="{D5CDD505-2E9C-101B-9397-08002B2CF9AE}" pid="8" name="MSIP_Label_bdc767d2-732a-4924-9cd7-80a15a296575_ContentBits">
    <vt:lpwstr>1</vt:lpwstr>
  </property>
</Properties>
</file>