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9ABB" w14:textId="77777777" w:rsidR="00C81A16" w:rsidRPr="00BC754A" w:rsidRDefault="002729E8" w:rsidP="00C81A16">
      <w:pPr>
        <w:pStyle w:val="03-SubttulodeNota"/>
        <w:spacing w:line="276" w:lineRule="auto"/>
        <w:rPr>
          <w:color w:val="1F4E79" w:themeColor="accent1" w:themeShade="80"/>
          <w:lang w:val="en-US"/>
        </w:rPr>
      </w:pPr>
      <w:r>
        <w:rPr>
          <w:color w:val="1F4E79" w:themeColor="accent1" w:themeShade="80"/>
          <w:lang w:val="en-US"/>
        </w:rPr>
        <w:t>Dear Shareholders, Employees and Business Partners.</w:t>
      </w:r>
    </w:p>
    <w:p w14:paraId="3849DAB7" w14:textId="1CD67F63" w:rsidR="007047A6" w:rsidRPr="007047A6" w:rsidRDefault="007047A6" w:rsidP="007047A6">
      <w:pPr>
        <w:pStyle w:val="05-Textonormal"/>
        <w:rPr>
          <w:rFonts w:cs="Arial"/>
          <w:lang w:val="en-US"/>
        </w:rPr>
      </w:pPr>
      <w:r w:rsidRPr="007047A6">
        <w:rPr>
          <w:rFonts w:cs="Arial"/>
          <w:lang w:val="en-US"/>
        </w:rPr>
        <w:t xml:space="preserve">In 2025, the Company faced a </w:t>
      </w:r>
      <w:r w:rsidR="00CD4A3A">
        <w:rPr>
          <w:rFonts w:cs="Arial"/>
          <w:lang w:val="en-US"/>
        </w:rPr>
        <w:t xml:space="preserve">tough </w:t>
      </w:r>
      <w:r w:rsidRPr="007047A6">
        <w:rPr>
          <w:rFonts w:cs="Arial"/>
          <w:lang w:val="en-US"/>
        </w:rPr>
        <w:t>environment</w:t>
      </w:r>
      <w:r w:rsidR="00CD4A3A">
        <w:rPr>
          <w:rFonts w:cs="Arial"/>
          <w:lang w:val="en-US"/>
        </w:rPr>
        <w:t xml:space="preserve"> for business generation</w:t>
      </w:r>
      <w:r w:rsidRPr="007047A6">
        <w:rPr>
          <w:rFonts w:cs="Arial"/>
          <w:lang w:val="en-US"/>
        </w:rPr>
        <w:t xml:space="preserve">, marked by high interest rates that affected insurance </w:t>
      </w:r>
      <w:r w:rsidR="00CD4A3A">
        <w:rPr>
          <w:rFonts w:cs="Arial"/>
          <w:lang w:val="en-US"/>
        </w:rPr>
        <w:t xml:space="preserve">products that are </w:t>
      </w:r>
      <w:r w:rsidRPr="007047A6">
        <w:rPr>
          <w:rFonts w:cs="Arial"/>
          <w:lang w:val="en-US"/>
        </w:rPr>
        <w:t>sensitive to the credit cycle, as well as the introduction of IOF taxation on contributions to VGBL pension plans, which negatively impacted customer inflows.</w:t>
      </w:r>
    </w:p>
    <w:p w14:paraId="6B6D4C05" w14:textId="2A55BC2F" w:rsidR="007047A6" w:rsidRPr="007047A6" w:rsidRDefault="007047A6" w:rsidP="007047A6">
      <w:pPr>
        <w:pStyle w:val="05-Textonormal"/>
        <w:rPr>
          <w:rFonts w:cs="Arial"/>
          <w:lang w:val="en-US"/>
        </w:rPr>
      </w:pPr>
      <w:r w:rsidRPr="007047A6">
        <w:rPr>
          <w:rFonts w:cs="Arial"/>
          <w:lang w:val="en-US"/>
        </w:rPr>
        <w:t xml:space="preserve">Despite these challenges, BB </w:t>
      </w:r>
      <w:proofErr w:type="spellStart"/>
      <w:r w:rsidRPr="007047A6">
        <w:rPr>
          <w:rFonts w:cs="Arial"/>
          <w:lang w:val="en-US"/>
        </w:rPr>
        <w:t>Seguridade</w:t>
      </w:r>
      <w:proofErr w:type="spellEnd"/>
      <w:r w:rsidR="00CD4A3A">
        <w:rPr>
          <w:rFonts w:cs="Arial"/>
          <w:lang w:val="en-US"/>
        </w:rPr>
        <w:t xml:space="preserve"> reached</w:t>
      </w:r>
      <w:r w:rsidRPr="007047A6">
        <w:rPr>
          <w:rFonts w:cs="Arial"/>
          <w:lang w:val="en-US"/>
        </w:rPr>
        <w:t xml:space="preserve"> the highest net income in its history, totaling R$9.0 billion, representing a 2.9% increase compared to 2024 on a recurring basis. Recurring managerial net income, calculated following Susep’s accounting standard (which does not consider IFRS 17), reached R$9.1 billion, an increase of 11.4%. This performance was driven mainly by the strong </w:t>
      </w:r>
      <w:r>
        <w:rPr>
          <w:rFonts w:cs="Arial"/>
          <w:lang w:val="en-US"/>
        </w:rPr>
        <w:t>net investment income</w:t>
      </w:r>
      <w:r w:rsidRPr="007047A6">
        <w:rPr>
          <w:rFonts w:cs="Arial"/>
          <w:lang w:val="en-US"/>
        </w:rPr>
        <w:t xml:space="preserve">, which rose 61.3%, supported by the increase in the Selic rate, </w:t>
      </w:r>
      <w:r>
        <w:rPr>
          <w:rFonts w:cs="Arial"/>
          <w:lang w:val="en-US"/>
        </w:rPr>
        <w:t xml:space="preserve">the </w:t>
      </w:r>
      <w:r w:rsidRPr="007047A6">
        <w:rPr>
          <w:rFonts w:cs="Arial"/>
          <w:lang w:val="en-US"/>
        </w:rPr>
        <w:t>growth in the average balance of financial assets, and the deflation of the IGP-M, which reduced liability costs at Brasilprev.</w:t>
      </w:r>
      <w:r w:rsidR="00E87A11">
        <w:rPr>
          <w:rFonts w:cs="Arial"/>
          <w:lang w:val="en-US"/>
        </w:rPr>
        <w:t xml:space="preserve"> </w:t>
      </w:r>
      <w:r w:rsidRPr="007047A6">
        <w:rPr>
          <w:rFonts w:cs="Arial"/>
          <w:lang w:val="en-US"/>
        </w:rPr>
        <w:t>Ope</w:t>
      </w:r>
      <w:r w:rsidR="00E87A11">
        <w:rPr>
          <w:rFonts w:cs="Arial"/>
          <w:lang w:val="en-US"/>
        </w:rPr>
        <w:t>rating</w:t>
      </w:r>
      <w:r w:rsidRPr="007047A6">
        <w:rPr>
          <w:rFonts w:cs="Arial"/>
          <w:lang w:val="en-US"/>
        </w:rPr>
        <w:t xml:space="preserve"> results also improved, with </w:t>
      </w:r>
      <w:proofErr w:type="gramStart"/>
      <w:r w:rsidR="00CD4A3A">
        <w:rPr>
          <w:rFonts w:cs="Arial"/>
          <w:lang w:val="en-US"/>
        </w:rPr>
        <w:t xml:space="preserve">all </w:t>
      </w:r>
      <w:proofErr w:type="gramEnd"/>
      <w:r w:rsidR="00CD4A3A">
        <w:rPr>
          <w:rFonts w:cs="Arial"/>
          <w:lang w:val="en-US"/>
        </w:rPr>
        <w:t xml:space="preserve">time </w:t>
      </w:r>
      <w:r w:rsidRPr="007047A6">
        <w:rPr>
          <w:rFonts w:cs="Arial"/>
          <w:lang w:val="en-US"/>
        </w:rPr>
        <w:t xml:space="preserve">low loss </w:t>
      </w:r>
      <w:proofErr w:type="gramStart"/>
      <w:r w:rsidRPr="007047A6">
        <w:rPr>
          <w:rFonts w:cs="Arial"/>
          <w:lang w:val="en-US"/>
        </w:rPr>
        <w:t>ratio</w:t>
      </w:r>
      <w:proofErr w:type="gramEnd"/>
      <w:r w:rsidRPr="007047A6">
        <w:rPr>
          <w:rFonts w:cs="Arial"/>
          <w:lang w:val="en-US"/>
        </w:rPr>
        <w:t xml:space="preserve"> (22.5%), reflecting </w:t>
      </w:r>
      <w:r w:rsidR="00AB2E59">
        <w:rPr>
          <w:rFonts w:cs="Arial"/>
          <w:lang w:val="en-US"/>
        </w:rPr>
        <w:t xml:space="preserve">the </w:t>
      </w:r>
      <w:r w:rsidRPr="007047A6">
        <w:rPr>
          <w:rFonts w:cs="Arial"/>
          <w:lang w:val="en-US"/>
        </w:rPr>
        <w:t>underwriting quality and effective risk management.</w:t>
      </w:r>
    </w:p>
    <w:p w14:paraId="4BEE7BF3" w14:textId="75FF3DDA" w:rsidR="007047A6" w:rsidRPr="007047A6" w:rsidRDefault="007047A6" w:rsidP="007047A6">
      <w:pPr>
        <w:pStyle w:val="05-Textonormal"/>
        <w:rPr>
          <w:rFonts w:cs="Arial"/>
          <w:lang w:val="en-US"/>
        </w:rPr>
      </w:pPr>
      <w:r w:rsidRPr="007047A6">
        <w:rPr>
          <w:rFonts w:cs="Arial"/>
          <w:lang w:val="en-US"/>
        </w:rPr>
        <w:t xml:space="preserve">In the insurance segment, several initiatives were implemented to mitigate the effects of </w:t>
      </w:r>
      <w:r w:rsidR="00CD4A3A">
        <w:rPr>
          <w:rFonts w:cs="Arial"/>
          <w:lang w:val="en-US"/>
        </w:rPr>
        <w:t xml:space="preserve">the </w:t>
      </w:r>
      <w:r w:rsidRPr="007047A6">
        <w:rPr>
          <w:rFonts w:cs="Arial"/>
          <w:lang w:val="en-US"/>
        </w:rPr>
        <w:t>challenging environment. Key actions included: (</w:t>
      </w:r>
      <w:proofErr w:type="spellStart"/>
      <w:r w:rsidRPr="007047A6">
        <w:rPr>
          <w:rFonts w:cs="Arial"/>
          <w:lang w:val="en-US"/>
        </w:rPr>
        <w:t>i</w:t>
      </w:r>
      <w:proofErr w:type="spellEnd"/>
      <w:r w:rsidRPr="007047A6">
        <w:rPr>
          <w:rFonts w:cs="Arial"/>
          <w:lang w:val="en-US"/>
        </w:rPr>
        <w:t xml:space="preserve">) the launch of credit life insurance </w:t>
      </w:r>
      <w:r w:rsidR="00EC4756">
        <w:rPr>
          <w:rFonts w:cs="Arial"/>
          <w:lang w:val="en-US"/>
        </w:rPr>
        <w:t xml:space="preserve">for </w:t>
      </w:r>
      <w:r w:rsidR="00EC4756" w:rsidRPr="007047A6">
        <w:rPr>
          <w:rFonts w:cs="Arial"/>
          <w:lang w:val="en-US"/>
        </w:rPr>
        <w:t xml:space="preserve">private payroll </w:t>
      </w:r>
      <w:r w:rsidR="00E90CC6">
        <w:rPr>
          <w:rFonts w:cs="Arial"/>
          <w:lang w:val="en-US"/>
        </w:rPr>
        <w:t xml:space="preserve">loan </w:t>
      </w:r>
      <w:r w:rsidRPr="007047A6">
        <w:rPr>
          <w:rFonts w:cs="Arial"/>
          <w:lang w:val="en-US"/>
        </w:rPr>
        <w:t xml:space="preserve">and products </w:t>
      </w:r>
      <w:r w:rsidR="00AB2E59">
        <w:rPr>
          <w:rFonts w:cs="Arial"/>
          <w:lang w:val="en-US"/>
        </w:rPr>
        <w:t>for</w:t>
      </w:r>
      <w:r w:rsidRPr="007047A6">
        <w:rPr>
          <w:rFonts w:cs="Arial"/>
          <w:lang w:val="en-US"/>
        </w:rPr>
        <w:t xml:space="preserve"> micro and small enterprises, which together generated more than R$627 million in written premiums; (ii) the introduction of the </w:t>
      </w:r>
      <w:r w:rsidR="00E90CC6">
        <w:rPr>
          <w:rFonts w:cs="Arial"/>
          <w:lang w:val="en-US"/>
        </w:rPr>
        <w:t>credit life for</w:t>
      </w:r>
      <w:r w:rsidRPr="007047A6">
        <w:rPr>
          <w:rFonts w:cs="Arial"/>
          <w:lang w:val="en-US"/>
        </w:rPr>
        <w:t xml:space="preserve"> </w:t>
      </w:r>
      <w:r w:rsidR="00EC4756">
        <w:rPr>
          <w:rFonts w:cs="Arial"/>
          <w:lang w:val="en-US"/>
        </w:rPr>
        <w:t>c</w:t>
      </w:r>
      <w:r w:rsidRPr="007047A6">
        <w:rPr>
          <w:rFonts w:cs="Arial"/>
          <w:lang w:val="en-US"/>
        </w:rPr>
        <w:t xml:space="preserve">onsortium, which reached more than 10,600 proposals during the year, with projected premiums of R$88 million; and (iii) new functionalities for re-contracting livestock insurance, expansion of </w:t>
      </w:r>
      <w:r w:rsidR="00EC4756">
        <w:rPr>
          <w:rFonts w:cs="Arial"/>
          <w:lang w:val="en-US"/>
        </w:rPr>
        <w:t>crop</w:t>
      </w:r>
      <w:r w:rsidRPr="007047A6">
        <w:rPr>
          <w:rFonts w:cs="Arial"/>
          <w:lang w:val="en-US"/>
        </w:rPr>
        <w:t xml:space="preserve"> insurance to new crops and fruits, and broader geographic coverage, strengthening </w:t>
      </w:r>
      <w:r w:rsidR="00AB2E59">
        <w:rPr>
          <w:rFonts w:cs="Arial"/>
          <w:lang w:val="en-US"/>
        </w:rPr>
        <w:t xml:space="preserve">the </w:t>
      </w:r>
      <w:r w:rsidRPr="007047A6">
        <w:rPr>
          <w:rFonts w:cs="Arial"/>
          <w:lang w:val="en-US"/>
        </w:rPr>
        <w:t>agribusiness.</w:t>
      </w:r>
    </w:p>
    <w:p w14:paraId="3DD231F4" w14:textId="5E84E9F7" w:rsidR="007047A6" w:rsidRPr="007047A6" w:rsidRDefault="007047A6" w:rsidP="007047A6">
      <w:pPr>
        <w:pStyle w:val="05-Textonormal"/>
        <w:rPr>
          <w:rFonts w:cs="Arial"/>
          <w:lang w:val="en-US"/>
        </w:rPr>
      </w:pPr>
      <w:r w:rsidRPr="007047A6">
        <w:rPr>
          <w:rFonts w:cs="Arial"/>
          <w:lang w:val="en-US"/>
        </w:rPr>
        <w:t xml:space="preserve">As part of the strategy to offer modern and integrated portfolio solutions, approximately R$2.3 billion in pension plan reserves were pledged as collateral for credit operations, shielding these reserves from future redemptions. In addition, beginning in June 2025, the Company enabled the offer of credit backed by pension plans within redemption journeys, providing an additional argument for customer retention. In the </w:t>
      </w:r>
      <w:r w:rsidR="00E90CC6">
        <w:rPr>
          <w:rFonts w:cs="Arial"/>
          <w:lang w:val="en-US"/>
        </w:rPr>
        <w:t>premium bonds</w:t>
      </w:r>
      <w:r w:rsidRPr="007047A6">
        <w:rPr>
          <w:rFonts w:cs="Arial"/>
          <w:lang w:val="en-US"/>
        </w:rPr>
        <w:t xml:space="preserve"> segment, the commemorative “</w:t>
      </w:r>
      <w:proofErr w:type="spellStart"/>
      <w:r w:rsidRPr="007047A6">
        <w:rPr>
          <w:rFonts w:cs="Arial"/>
          <w:lang w:val="en-US"/>
        </w:rPr>
        <w:t>Ourocap</w:t>
      </w:r>
      <w:proofErr w:type="spellEnd"/>
      <w:r w:rsidRPr="007047A6">
        <w:rPr>
          <w:rFonts w:cs="Arial"/>
          <w:lang w:val="en-US"/>
        </w:rPr>
        <w:t xml:space="preserve"> 30 </w:t>
      </w:r>
      <w:proofErr w:type="spellStart"/>
      <w:r w:rsidR="00E90CC6">
        <w:rPr>
          <w:rFonts w:cs="Arial"/>
          <w:lang w:val="en-US"/>
        </w:rPr>
        <w:t>anos</w:t>
      </w:r>
      <w:proofErr w:type="spellEnd"/>
      <w:r w:rsidRPr="007047A6">
        <w:rPr>
          <w:rFonts w:cs="Arial"/>
          <w:lang w:val="en-US"/>
        </w:rPr>
        <w:t>” edition achieved strong results, with more than 111,000 bonds sold and over R$334 million in collections.</w:t>
      </w:r>
    </w:p>
    <w:p w14:paraId="48A53CEA" w14:textId="7A28BEE3" w:rsidR="007047A6" w:rsidRPr="007047A6" w:rsidRDefault="007047A6" w:rsidP="007047A6">
      <w:pPr>
        <w:pStyle w:val="05-Textonormal"/>
        <w:rPr>
          <w:rFonts w:cs="Arial"/>
          <w:lang w:val="en-US"/>
        </w:rPr>
      </w:pPr>
      <w:r w:rsidRPr="007047A6">
        <w:rPr>
          <w:rFonts w:cs="Arial"/>
          <w:lang w:val="en-US"/>
        </w:rPr>
        <w:t>In the diversification of distribution channels, complementing the bancassurance model, R$1.6 billion in premiums were issued</w:t>
      </w:r>
      <w:r w:rsidR="00552460">
        <w:rPr>
          <w:rFonts w:cs="Arial"/>
          <w:lang w:val="en-US"/>
        </w:rPr>
        <w:t xml:space="preserve"> by </w:t>
      </w:r>
      <w:proofErr w:type="spellStart"/>
      <w:r w:rsidR="00552460">
        <w:rPr>
          <w:rFonts w:cs="Arial"/>
          <w:lang w:val="en-US"/>
        </w:rPr>
        <w:t>Brasilseg</w:t>
      </w:r>
      <w:proofErr w:type="spellEnd"/>
      <w:r w:rsidRPr="007047A6">
        <w:rPr>
          <w:rFonts w:cs="Arial"/>
          <w:lang w:val="en-US"/>
        </w:rPr>
        <w:t xml:space="preserve"> outside the bank</w:t>
      </w:r>
      <w:r w:rsidR="00AB2E59">
        <w:rPr>
          <w:rFonts w:cs="Arial"/>
          <w:lang w:val="en-US"/>
        </w:rPr>
        <w:t>ing</w:t>
      </w:r>
      <w:r w:rsidRPr="007047A6">
        <w:rPr>
          <w:rFonts w:cs="Arial"/>
          <w:lang w:val="en-US"/>
        </w:rPr>
        <w:t xml:space="preserve"> channel, representing 10.1% of total written premiums, with emphasis on structured business lines, which grew 36.1% in the year. Solutions developed for strategic partners in the energy sector also expanded the customer base, with more than 225,000 new life and home insurance policies. In large risks, </w:t>
      </w:r>
      <w:r w:rsidR="00582F95">
        <w:rPr>
          <w:rFonts w:cs="Arial"/>
          <w:lang w:val="en-US"/>
        </w:rPr>
        <w:t>premiums</w:t>
      </w:r>
      <w:r w:rsidRPr="007047A6">
        <w:rPr>
          <w:rFonts w:cs="Arial"/>
          <w:lang w:val="en-US"/>
        </w:rPr>
        <w:t xml:space="preserve"> increased 54.6%, supported by improvements in the contracting journey.</w:t>
      </w:r>
    </w:p>
    <w:p w14:paraId="061EBEDE" w14:textId="4BC24FBE" w:rsidR="007047A6" w:rsidRPr="007047A6" w:rsidRDefault="007047A6" w:rsidP="007047A6">
      <w:pPr>
        <w:pStyle w:val="05-Textonormal"/>
        <w:rPr>
          <w:rFonts w:cs="Arial"/>
          <w:lang w:val="en-US"/>
        </w:rPr>
      </w:pPr>
      <w:r w:rsidRPr="007047A6">
        <w:rPr>
          <w:rFonts w:cs="Arial"/>
          <w:lang w:val="en-US"/>
        </w:rPr>
        <w:t xml:space="preserve">In rural insurance, partnerships with cooperatives and agricultural resellers expanded by 16.3%. A notable highlight was a partnership with a central cooperative specializing in coffee crops, resulting in the addition of new coverage for </w:t>
      </w:r>
      <w:r w:rsidR="00582F95">
        <w:rPr>
          <w:rFonts w:cs="Arial"/>
          <w:lang w:val="en-US"/>
        </w:rPr>
        <w:t>crop</w:t>
      </w:r>
      <w:r w:rsidRPr="007047A6">
        <w:rPr>
          <w:rFonts w:cs="Arial"/>
          <w:lang w:val="en-US"/>
        </w:rPr>
        <w:t xml:space="preserve"> insurance.</w:t>
      </w:r>
    </w:p>
    <w:p w14:paraId="1145948F" w14:textId="4F306602" w:rsidR="007047A6" w:rsidRPr="007047A6" w:rsidRDefault="007047A6" w:rsidP="007047A6">
      <w:pPr>
        <w:pStyle w:val="05-Textonormal"/>
        <w:rPr>
          <w:rFonts w:cs="Arial"/>
          <w:lang w:val="en-US"/>
        </w:rPr>
      </w:pPr>
      <w:r w:rsidRPr="007047A6">
        <w:rPr>
          <w:rFonts w:cs="Arial"/>
          <w:lang w:val="en-US"/>
        </w:rPr>
        <w:t xml:space="preserve">Reinforcing the Company’s commitment to excellence in customer service and experience, satisfaction levels continued to improve, with the NPS remaining in the quality zone (+3.6 points vs. Dec 2024), </w:t>
      </w:r>
      <w:r w:rsidR="00CD4A3A">
        <w:rPr>
          <w:rFonts w:cs="Arial"/>
          <w:lang w:val="en-US"/>
        </w:rPr>
        <w:t xml:space="preserve">followed </w:t>
      </w:r>
      <w:r w:rsidRPr="007047A6">
        <w:rPr>
          <w:rFonts w:cs="Arial"/>
          <w:lang w:val="en-US"/>
        </w:rPr>
        <w:t xml:space="preserve">by a decline in complaints (-20.1%) and </w:t>
      </w:r>
      <w:r w:rsidR="00CD4A3A">
        <w:rPr>
          <w:rFonts w:cs="Arial"/>
          <w:lang w:val="en-US"/>
        </w:rPr>
        <w:t xml:space="preserve">churn ratio </w:t>
      </w:r>
      <w:r w:rsidRPr="007047A6">
        <w:rPr>
          <w:rFonts w:cs="Arial"/>
          <w:lang w:val="en-US"/>
        </w:rPr>
        <w:t>(-5.1%).</w:t>
      </w:r>
    </w:p>
    <w:p w14:paraId="15CC83F7" w14:textId="77777777" w:rsidR="007047A6" w:rsidRDefault="007047A6" w:rsidP="007047A6">
      <w:pPr>
        <w:pStyle w:val="05-Textonormal"/>
        <w:rPr>
          <w:rFonts w:cs="Arial"/>
          <w:lang w:val="en-US"/>
        </w:rPr>
      </w:pPr>
    </w:p>
    <w:p w14:paraId="02E603F5" w14:textId="67289C13" w:rsidR="00E74B86" w:rsidRPr="00C93C5B" w:rsidRDefault="00E74B86" w:rsidP="00E74B86">
      <w:pPr>
        <w:pStyle w:val="05-Textonormal"/>
        <w:rPr>
          <w:rFonts w:cs="Arial"/>
          <w:b/>
          <w:bCs/>
          <w:lang w:val="en-US"/>
        </w:rPr>
      </w:pPr>
      <w:r w:rsidRPr="00C93C5B">
        <w:rPr>
          <w:rFonts w:cs="Arial"/>
          <w:b/>
          <w:bCs/>
          <w:lang w:val="en-US"/>
        </w:rPr>
        <w:t>ESG Agenda (Environmental, Social and Governance)</w:t>
      </w:r>
    </w:p>
    <w:p w14:paraId="339FEB81" w14:textId="30EB523B" w:rsidR="007047A6" w:rsidRPr="007047A6" w:rsidRDefault="007047A6" w:rsidP="007047A6">
      <w:pPr>
        <w:pStyle w:val="05-Textonormal"/>
        <w:rPr>
          <w:rFonts w:cs="Arial"/>
          <w:lang w:val="en-US"/>
        </w:rPr>
      </w:pPr>
      <w:r w:rsidRPr="007047A6">
        <w:rPr>
          <w:rFonts w:cs="Arial"/>
          <w:lang w:val="en-US"/>
        </w:rPr>
        <w:t xml:space="preserve">In 2025, the ESG agenda was one of the strategic pillars guiding the Company’s long-term direction, with initiatives aimed at reinforcing its commitment to sustainable and socially responsible practices. As a key indicator of the strategic objective “to generate sustainable value for stakeholders,” the 2025–2026 ESG agenda consists of a plan </w:t>
      </w:r>
      <w:r w:rsidR="00CD4A3A">
        <w:rPr>
          <w:rFonts w:cs="Arial"/>
          <w:lang w:val="en-US"/>
        </w:rPr>
        <w:t xml:space="preserve">comprised </w:t>
      </w:r>
      <w:r w:rsidRPr="007047A6">
        <w:rPr>
          <w:rFonts w:cs="Arial"/>
          <w:lang w:val="en-US"/>
        </w:rPr>
        <w:t>of 24 actions and 54 indicators to be delivered over the period, with impact on the compensation of all employees, from senior management (Executive Directors) to technical staff.</w:t>
      </w:r>
    </w:p>
    <w:p w14:paraId="278D88AA" w14:textId="77777777" w:rsidR="007047A6" w:rsidRPr="007047A6" w:rsidRDefault="007047A6" w:rsidP="007047A6">
      <w:pPr>
        <w:pStyle w:val="05-Textonormal"/>
        <w:rPr>
          <w:rFonts w:cs="Arial"/>
          <w:lang w:val="en-US"/>
        </w:rPr>
      </w:pPr>
      <w:r w:rsidRPr="007047A6">
        <w:rPr>
          <w:rFonts w:cs="Arial"/>
          <w:lang w:val="en-US"/>
        </w:rPr>
        <w:t>Aligned with the commitment to transparency and environmental responsibility, the Company published its 2024 greenhouse gas (GHG) emissions inventory in accordance with the methodology established by the Brazilian GHG Protocol Program. The inventory covered scopes 1, 2 and 3 and resulted in the Company receiving the Silver Seal.</w:t>
      </w:r>
    </w:p>
    <w:p w14:paraId="2865F6BC" w14:textId="77777777" w:rsidR="007047A6" w:rsidRPr="007047A6" w:rsidRDefault="007047A6" w:rsidP="007047A6">
      <w:pPr>
        <w:pStyle w:val="05-Textonormal"/>
        <w:rPr>
          <w:rFonts w:cs="Arial"/>
          <w:lang w:val="en-US"/>
        </w:rPr>
      </w:pPr>
      <w:r w:rsidRPr="007047A6">
        <w:rPr>
          <w:rFonts w:cs="Arial"/>
          <w:lang w:val="en-US"/>
        </w:rPr>
        <w:t>Among actions related to diversity, equity and inclusion, in 2025 the Company conducted a diversity and inclusion census covering gender, race, sexual orientation and disability status among its employees. The results supported the development of corporate policies and programs that promote awareness initiatives, internal forums and actions aimed at increasing representation and equity.</w:t>
      </w:r>
    </w:p>
    <w:p w14:paraId="2A589646" w14:textId="77777777" w:rsidR="00434580" w:rsidRDefault="00434580">
      <w:pPr>
        <w:rPr>
          <w:rFonts w:eastAsia="Times New Roman" w:cs="Arial"/>
          <w:spacing w:val="-2"/>
          <w:szCs w:val="18"/>
          <w:lang w:val="en-US" w:eastAsia="pt-BR"/>
        </w:rPr>
      </w:pPr>
      <w:r>
        <w:rPr>
          <w:rFonts w:cs="Arial"/>
          <w:lang w:val="en-US"/>
        </w:rPr>
        <w:br w:type="page"/>
      </w:r>
    </w:p>
    <w:p w14:paraId="62BD4A1B" w14:textId="0991683D" w:rsidR="00C81A16" w:rsidRDefault="007047A6" w:rsidP="007047A6">
      <w:pPr>
        <w:pStyle w:val="05-Textonormal"/>
        <w:rPr>
          <w:rFonts w:cs="Arial"/>
          <w:lang w:val="en-US"/>
        </w:rPr>
      </w:pPr>
      <w:r w:rsidRPr="007047A6">
        <w:rPr>
          <w:rFonts w:cs="Arial"/>
          <w:lang w:val="en-US"/>
        </w:rPr>
        <w:lastRenderedPageBreak/>
        <w:t>In compliance with Law No. 15,177/2025, Articles 7 and 8, the following table presents the number and proportion of women employed at each hierarchical level of the Company</w:t>
      </w:r>
      <w:r w:rsidR="00B52486" w:rsidRPr="00B52486">
        <w:rPr>
          <w:rFonts w:cs="Arial"/>
          <w:lang w:val="en-US"/>
        </w:rPr>
        <w:t>.</w:t>
      </w:r>
    </w:p>
    <w:p w14:paraId="40C1F36E" w14:textId="4D014D97" w:rsidR="00C93C5B" w:rsidRPr="00C93C5B" w:rsidRDefault="00C93C5B" w:rsidP="00C93C5B">
      <w:pPr>
        <w:pStyle w:val="01-TtulodeNota"/>
        <w:rPr>
          <w:rFonts w:cs="Arial"/>
          <w:b w:val="0"/>
          <w:sz w:val="14"/>
          <w:lang w:val="en-US"/>
        </w:rPr>
      </w:pPr>
      <w:r w:rsidRPr="00C93C5B">
        <w:rPr>
          <w:rFonts w:cs="Arial"/>
          <w:b w:val="0"/>
          <w:sz w:val="14"/>
          <w:szCs w:val="14"/>
          <w:lang w:val="en-US"/>
        </w:rPr>
        <w:t xml:space="preserve">Table </w:t>
      </w:r>
      <w:r w:rsidRPr="00F35C44">
        <w:rPr>
          <w:rFonts w:cs="Arial"/>
          <w:b w:val="0"/>
          <w:sz w:val="14"/>
          <w:szCs w:val="14"/>
        </w:rPr>
        <w:fldChar w:fldCharType="begin"/>
      </w:r>
      <w:r w:rsidRPr="00C93C5B">
        <w:rPr>
          <w:rFonts w:cs="Arial"/>
          <w:b w:val="0"/>
          <w:sz w:val="14"/>
          <w:szCs w:val="14"/>
          <w:lang w:val="en-US"/>
        </w:rPr>
        <w:instrText xml:space="preserve"> SEQ Tabela \* ARABIC </w:instrText>
      </w:r>
      <w:r w:rsidRPr="00F35C44">
        <w:rPr>
          <w:rFonts w:cs="Arial"/>
          <w:b w:val="0"/>
          <w:sz w:val="14"/>
          <w:szCs w:val="14"/>
        </w:rPr>
        <w:fldChar w:fldCharType="separate"/>
      </w:r>
      <w:r w:rsidRPr="00C93C5B">
        <w:rPr>
          <w:rFonts w:cs="Arial"/>
          <w:b w:val="0"/>
          <w:noProof/>
          <w:sz w:val="14"/>
          <w:szCs w:val="14"/>
          <w:lang w:val="en-US"/>
        </w:rPr>
        <w:t>1</w:t>
      </w:r>
      <w:r w:rsidRPr="00F35C44">
        <w:rPr>
          <w:rFonts w:cs="Arial"/>
          <w:b w:val="0"/>
          <w:noProof/>
          <w:sz w:val="14"/>
          <w:szCs w:val="14"/>
        </w:rPr>
        <w:fldChar w:fldCharType="end"/>
      </w:r>
      <w:r w:rsidRPr="00C93C5B">
        <w:rPr>
          <w:rFonts w:cs="Arial"/>
          <w:b w:val="0"/>
          <w:sz w:val="14"/>
          <w:lang w:val="en-US"/>
        </w:rPr>
        <w:t xml:space="preserve"> – Women’s representation in posit</w:t>
      </w:r>
      <w:r>
        <w:rPr>
          <w:rFonts w:cs="Arial"/>
          <w:b w:val="0"/>
          <w:sz w:val="14"/>
          <w:lang w:val="en-US"/>
        </w:rPr>
        <w:t>ions and roles</w:t>
      </w:r>
      <w:r w:rsidRPr="00C93C5B">
        <w:rPr>
          <w:rFonts w:cs="Arial"/>
          <w:b w:val="0"/>
          <w:sz w:val="14"/>
          <w:lang w:val="en-US"/>
        </w:rPr>
        <w:t xml:space="preserve"> </w:t>
      </w:r>
    </w:p>
    <w:tbl>
      <w:tblPr>
        <w:tblStyle w:val="TabeladeLista6Colorida-nfase5"/>
        <w:tblW w:w="9639" w:type="dxa"/>
        <w:tblLook w:val="04A0" w:firstRow="1" w:lastRow="0" w:firstColumn="1" w:lastColumn="0" w:noHBand="0" w:noVBand="1"/>
      </w:tblPr>
      <w:tblGrid>
        <w:gridCol w:w="1606"/>
        <w:gridCol w:w="1607"/>
        <w:gridCol w:w="1606"/>
        <w:gridCol w:w="1607"/>
        <w:gridCol w:w="1606"/>
        <w:gridCol w:w="1607"/>
      </w:tblGrid>
      <w:tr w:rsidR="00C93C5B" w:rsidRPr="00F35C44" w14:paraId="76362641" w14:textId="77777777" w:rsidTr="00BD564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606" w:type="dxa"/>
            <w:tcBorders>
              <w:top w:val="single" w:sz="2" w:space="0" w:color="8EAADB" w:themeColor="accent5" w:themeTint="99"/>
              <w:left w:val="nil"/>
              <w:bottom w:val="nil"/>
              <w:right w:val="nil"/>
            </w:tcBorders>
            <w:vAlign w:val="center"/>
          </w:tcPr>
          <w:p w14:paraId="6BA49455" w14:textId="77777777" w:rsidR="00C93C5B" w:rsidRPr="00C93C5B" w:rsidRDefault="00C93C5B" w:rsidP="00BD564D">
            <w:pPr>
              <w:pStyle w:val="08-Tabelageral"/>
              <w:jc w:val="left"/>
              <w:rPr>
                <w:rFonts w:cs="Arial"/>
                <w:lang w:val="en-US" w:eastAsia="en-US"/>
              </w:rPr>
            </w:pPr>
          </w:p>
        </w:tc>
        <w:tc>
          <w:tcPr>
            <w:tcW w:w="3213" w:type="dxa"/>
            <w:gridSpan w:val="2"/>
            <w:vMerge w:val="restart"/>
            <w:tcBorders>
              <w:top w:val="single" w:sz="2" w:space="0" w:color="8EAADB" w:themeColor="accent5" w:themeTint="99"/>
              <w:left w:val="nil"/>
              <w:right w:val="nil"/>
            </w:tcBorders>
            <w:vAlign w:val="center"/>
            <w:hideMark/>
          </w:tcPr>
          <w:p w14:paraId="23DB64C3" w14:textId="77777777" w:rsidR="00C93C5B" w:rsidRPr="00F35C44" w:rsidRDefault="00C93C5B" w:rsidP="00BD564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2025</w:t>
            </w:r>
          </w:p>
        </w:tc>
        <w:tc>
          <w:tcPr>
            <w:tcW w:w="3213" w:type="dxa"/>
            <w:gridSpan w:val="2"/>
            <w:vMerge w:val="restart"/>
            <w:tcBorders>
              <w:top w:val="single" w:sz="2" w:space="0" w:color="8EAADB" w:themeColor="accent5" w:themeTint="99"/>
              <w:left w:val="nil"/>
              <w:right w:val="nil"/>
            </w:tcBorders>
            <w:vAlign w:val="center"/>
            <w:hideMark/>
          </w:tcPr>
          <w:p w14:paraId="32B54543" w14:textId="77777777" w:rsidR="00C93C5B" w:rsidRPr="00F35C44" w:rsidRDefault="00C93C5B" w:rsidP="00BD564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2024</w:t>
            </w:r>
          </w:p>
        </w:tc>
        <w:tc>
          <w:tcPr>
            <w:tcW w:w="1607" w:type="dxa"/>
            <w:tcBorders>
              <w:top w:val="single" w:sz="2" w:space="0" w:color="8EAADB" w:themeColor="accent5" w:themeTint="99"/>
              <w:left w:val="nil"/>
              <w:bottom w:val="nil"/>
              <w:right w:val="nil"/>
            </w:tcBorders>
            <w:shd w:val="clear" w:color="auto" w:fill="F2F2F2" w:themeFill="background1" w:themeFillShade="F2"/>
            <w:vAlign w:val="center"/>
            <w:hideMark/>
          </w:tcPr>
          <w:p w14:paraId="6F2EEC8F" w14:textId="03296CC8" w:rsidR="00C93C5B" w:rsidRPr="00F35C44" w:rsidRDefault="00C93C5B" w:rsidP="00BD564D">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Chg</w:t>
            </w:r>
            <w:proofErr w:type="spellEnd"/>
            <w:r w:rsidRPr="00F35C44">
              <w:rPr>
                <w:rFonts w:cs="Arial"/>
                <w:lang w:eastAsia="en-US"/>
              </w:rPr>
              <w:t>.</w:t>
            </w:r>
            <w:r>
              <w:rPr>
                <w:rFonts w:cs="Arial"/>
                <w:lang w:eastAsia="en-US"/>
              </w:rPr>
              <w:t xml:space="preserve"> p.p.</w:t>
            </w:r>
          </w:p>
        </w:tc>
      </w:tr>
      <w:tr w:rsidR="00C93C5B" w:rsidRPr="00F35C44" w14:paraId="7724EF49"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6" w:type="dxa"/>
            <w:tcBorders>
              <w:top w:val="nil"/>
              <w:left w:val="nil"/>
              <w:bottom w:val="single" w:sz="2" w:space="0" w:color="8EAADB" w:themeColor="accent5" w:themeTint="99"/>
              <w:right w:val="nil"/>
            </w:tcBorders>
            <w:shd w:val="clear" w:color="auto" w:fill="auto"/>
          </w:tcPr>
          <w:p w14:paraId="166672A4" w14:textId="77777777" w:rsidR="00C93C5B" w:rsidRPr="00F35C44" w:rsidRDefault="00C93C5B" w:rsidP="00BD564D">
            <w:pPr>
              <w:pStyle w:val="08-Tabelageral"/>
              <w:jc w:val="left"/>
              <w:rPr>
                <w:rFonts w:cs="Arial"/>
                <w:bCs w:val="0"/>
                <w:szCs w:val="14"/>
                <w:lang w:eastAsia="en-US"/>
              </w:rPr>
            </w:pPr>
          </w:p>
        </w:tc>
        <w:tc>
          <w:tcPr>
            <w:tcW w:w="3213" w:type="dxa"/>
            <w:gridSpan w:val="2"/>
            <w:vMerge/>
            <w:tcBorders>
              <w:left w:val="nil"/>
              <w:bottom w:val="single" w:sz="2" w:space="0" w:color="8EAADB" w:themeColor="accent5" w:themeTint="99"/>
              <w:right w:val="nil"/>
            </w:tcBorders>
            <w:shd w:val="clear" w:color="auto" w:fill="auto"/>
            <w:vAlign w:val="center"/>
            <w:hideMark/>
          </w:tcPr>
          <w:p w14:paraId="7348CE20" w14:textId="77777777" w:rsidR="00C93C5B" w:rsidRPr="00F35C44" w:rsidRDefault="00C93C5B" w:rsidP="00BD564D">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3213" w:type="dxa"/>
            <w:gridSpan w:val="2"/>
            <w:vMerge/>
            <w:tcBorders>
              <w:left w:val="nil"/>
              <w:bottom w:val="single" w:sz="2" w:space="0" w:color="8EAADB" w:themeColor="accent5" w:themeTint="99"/>
              <w:right w:val="nil"/>
            </w:tcBorders>
            <w:shd w:val="clear" w:color="auto" w:fill="auto"/>
            <w:vAlign w:val="center"/>
            <w:hideMark/>
          </w:tcPr>
          <w:p w14:paraId="4B188594" w14:textId="77777777" w:rsidR="00C93C5B" w:rsidRPr="00F35C44" w:rsidRDefault="00C93C5B" w:rsidP="00BD564D">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607" w:type="dxa"/>
            <w:tcBorders>
              <w:top w:val="nil"/>
              <w:left w:val="nil"/>
              <w:bottom w:val="single" w:sz="2" w:space="0" w:color="8EAADB" w:themeColor="accent5" w:themeTint="99"/>
              <w:right w:val="nil"/>
            </w:tcBorders>
            <w:shd w:val="clear" w:color="auto" w:fill="F2F2F2" w:themeFill="background1" w:themeFillShade="F2"/>
            <w:vAlign w:val="center"/>
            <w:hideMark/>
          </w:tcPr>
          <w:p w14:paraId="06C96499" w14:textId="1FED58C0" w:rsidR="00C93C5B" w:rsidRPr="00F35C44"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Pr>
                <w:rFonts w:cs="Arial"/>
                <w:b/>
                <w:color w:val="auto"/>
                <w:lang w:eastAsia="en-US"/>
              </w:rPr>
              <w:t>on</w:t>
            </w:r>
            <w:proofErr w:type="spellEnd"/>
            <w:r w:rsidRPr="00F35C44">
              <w:rPr>
                <w:rFonts w:cs="Arial"/>
                <w:b/>
                <w:color w:val="auto"/>
                <w:lang w:eastAsia="en-US"/>
              </w:rPr>
              <w:t xml:space="preserve"> 202</w:t>
            </w:r>
            <w:r>
              <w:rPr>
                <w:rFonts w:cs="Arial"/>
                <w:b/>
                <w:color w:val="auto"/>
                <w:lang w:eastAsia="en-US"/>
              </w:rPr>
              <w:t>4</w:t>
            </w:r>
          </w:p>
        </w:tc>
      </w:tr>
      <w:tr w:rsidR="00C93C5B" w:rsidRPr="00434580" w14:paraId="2AC72877" w14:textId="77777777" w:rsidTr="00BD564D">
        <w:trPr>
          <w:trHeight w:hRule="exact" w:val="539"/>
        </w:trPr>
        <w:tc>
          <w:tcPr>
            <w:cnfStyle w:val="001000000000" w:firstRow="0" w:lastRow="0" w:firstColumn="1" w:lastColumn="0" w:oddVBand="0" w:evenVBand="0" w:oddHBand="0" w:evenHBand="0" w:firstRowFirstColumn="0" w:firstRowLastColumn="0" w:lastRowFirstColumn="0" w:lastRowLastColumn="0"/>
            <w:tcW w:w="1606" w:type="dxa"/>
            <w:tcBorders>
              <w:top w:val="single" w:sz="2" w:space="0" w:color="8EAADB" w:themeColor="accent5" w:themeTint="99"/>
              <w:left w:val="nil"/>
              <w:bottom w:val="nil"/>
              <w:right w:val="nil"/>
            </w:tcBorders>
            <w:vAlign w:val="center"/>
            <w:hideMark/>
          </w:tcPr>
          <w:p w14:paraId="5EFCBC14" w14:textId="703818E4" w:rsidR="00C93C5B" w:rsidRPr="00F35C44" w:rsidRDefault="00C93C5B" w:rsidP="00BD564D">
            <w:pPr>
              <w:pStyle w:val="08-Tabelageral"/>
              <w:jc w:val="left"/>
              <w:rPr>
                <w:rFonts w:cs="Arial"/>
                <w:snapToGrid w:val="0"/>
                <w:lang w:eastAsia="en-US"/>
              </w:rPr>
            </w:pPr>
            <w:proofErr w:type="spellStart"/>
            <w:r w:rsidRPr="00C93C5B">
              <w:rPr>
                <w:rFonts w:cs="Arial"/>
                <w:lang w:eastAsia="en-US"/>
              </w:rPr>
              <w:t>Hierarchical</w:t>
            </w:r>
            <w:proofErr w:type="spellEnd"/>
            <w:r w:rsidRPr="00C93C5B">
              <w:rPr>
                <w:rFonts w:cs="Arial"/>
                <w:lang w:eastAsia="en-US"/>
              </w:rPr>
              <w:t xml:space="preserve"> </w:t>
            </w:r>
            <w:proofErr w:type="spellStart"/>
            <w:r w:rsidRPr="00C93C5B">
              <w:rPr>
                <w:rFonts w:cs="Arial"/>
                <w:lang w:eastAsia="en-US"/>
              </w:rPr>
              <w:t>Level</w:t>
            </w:r>
            <w:proofErr w:type="spellEnd"/>
          </w:p>
        </w:tc>
        <w:tc>
          <w:tcPr>
            <w:tcW w:w="1607" w:type="dxa"/>
            <w:tcBorders>
              <w:top w:val="single" w:sz="2" w:space="0" w:color="8EAADB" w:themeColor="accent5" w:themeTint="99"/>
              <w:left w:val="nil"/>
              <w:bottom w:val="nil"/>
              <w:right w:val="nil"/>
            </w:tcBorders>
            <w:vAlign w:val="center"/>
          </w:tcPr>
          <w:p w14:paraId="20C82F26" w14:textId="19589B24"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roofErr w:type="spellStart"/>
            <w:r>
              <w:rPr>
                <w:rFonts w:cs="Arial"/>
                <w:b/>
                <w:szCs w:val="14"/>
                <w:lang w:eastAsia="en-US"/>
              </w:rPr>
              <w:t>Quantity</w:t>
            </w:r>
            <w:proofErr w:type="spellEnd"/>
          </w:p>
        </w:tc>
        <w:tc>
          <w:tcPr>
            <w:tcW w:w="1606" w:type="dxa"/>
            <w:tcBorders>
              <w:top w:val="single" w:sz="2" w:space="0" w:color="8EAADB" w:themeColor="accent5" w:themeTint="99"/>
              <w:left w:val="nil"/>
              <w:bottom w:val="nil"/>
              <w:right w:val="nil"/>
            </w:tcBorders>
            <w:vAlign w:val="center"/>
          </w:tcPr>
          <w:p w14:paraId="3AC57D27" w14:textId="483F0D0B" w:rsidR="00C93C5B" w:rsidRPr="00C93C5B"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val="en-US" w:eastAsia="en-US"/>
              </w:rPr>
            </w:pPr>
            <w:r w:rsidRPr="00C93C5B">
              <w:rPr>
                <w:rFonts w:cs="Arial"/>
                <w:b/>
                <w:color w:val="auto"/>
                <w:szCs w:val="14"/>
                <w:lang w:val="en-US" w:eastAsia="en-US"/>
              </w:rPr>
              <w:t>Percentage of women in</w:t>
            </w:r>
            <w:r>
              <w:rPr>
                <w:rFonts w:cs="Arial"/>
                <w:b/>
                <w:color w:val="auto"/>
                <w:szCs w:val="14"/>
                <w:lang w:val="en-US" w:eastAsia="en-US"/>
              </w:rPr>
              <w:t xml:space="preserve"> the role</w:t>
            </w:r>
          </w:p>
        </w:tc>
        <w:tc>
          <w:tcPr>
            <w:tcW w:w="1607" w:type="dxa"/>
            <w:tcBorders>
              <w:top w:val="single" w:sz="2" w:space="0" w:color="8EAADB" w:themeColor="accent5" w:themeTint="99"/>
              <w:left w:val="nil"/>
              <w:right w:val="nil"/>
            </w:tcBorders>
            <w:vAlign w:val="center"/>
          </w:tcPr>
          <w:p w14:paraId="455F0B6C" w14:textId="1BAE2038"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roofErr w:type="spellStart"/>
            <w:r>
              <w:rPr>
                <w:rFonts w:cs="Arial"/>
                <w:b/>
                <w:szCs w:val="14"/>
                <w:lang w:eastAsia="en-US"/>
              </w:rPr>
              <w:t>Quantity</w:t>
            </w:r>
            <w:proofErr w:type="spellEnd"/>
          </w:p>
        </w:tc>
        <w:tc>
          <w:tcPr>
            <w:tcW w:w="1606" w:type="dxa"/>
            <w:tcBorders>
              <w:top w:val="single" w:sz="2" w:space="0" w:color="8EAADB" w:themeColor="accent5" w:themeTint="99"/>
              <w:left w:val="nil"/>
              <w:right w:val="nil"/>
            </w:tcBorders>
            <w:vAlign w:val="center"/>
          </w:tcPr>
          <w:p w14:paraId="6A46084C" w14:textId="1EB44EDA" w:rsidR="00C93C5B" w:rsidRPr="00C93C5B"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val="en-US" w:eastAsia="en-US"/>
              </w:rPr>
            </w:pPr>
            <w:r w:rsidRPr="00C93C5B">
              <w:rPr>
                <w:rFonts w:cs="Arial"/>
                <w:b/>
                <w:color w:val="auto"/>
                <w:szCs w:val="14"/>
                <w:lang w:val="en-US" w:eastAsia="en-US"/>
              </w:rPr>
              <w:t>Percentage of women in</w:t>
            </w:r>
            <w:r>
              <w:rPr>
                <w:rFonts w:cs="Arial"/>
                <w:b/>
                <w:color w:val="auto"/>
                <w:szCs w:val="14"/>
                <w:lang w:val="en-US" w:eastAsia="en-US"/>
              </w:rPr>
              <w:t xml:space="preserve"> the role</w:t>
            </w:r>
          </w:p>
        </w:tc>
        <w:tc>
          <w:tcPr>
            <w:tcW w:w="1607" w:type="dxa"/>
            <w:tcBorders>
              <w:top w:val="single" w:sz="2" w:space="0" w:color="8EAADB" w:themeColor="accent5" w:themeTint="99"/>
              <w:left w:val="nil"/>
              <w:bottom w:val="nil"/>
              <w:right w:val="nil"/>
            </w:tcBorders>
            <w:shd w:val="clear" w:color="auto" w:fill="F2F2F2" w:themeFill="background1" w:themeFillShade="F2"/>
            <w:vAlign w:val="center"/>
          </w:tcPr>
          <w:p w14:paraId="1BB93230" w14:textId="001CC0DE" w:rsidR="00C93C5B" w:rsidRPr="00C93C5B"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val="en-US" w:eastAsia="en-US"/>
              </w:rPr>
            </w:pPr>
            <w:r w:rsidRPr="00C93C5B">
              <w:rPr>
                <w:rFonts w:cs="Arial"/>
                <w:b/>
                <w:bCs/>
                <w:color w:val="auto"/>
                <w:szCs w:val="14"/>
                <w:lang w:val="en-US" w:eastAsia="en-US"/>
              </w:rPr>
              <w:t>Percentage of women in the role</w:t>
            </w:r>
          </w:p>
        </w:tc>
      </w:tr>
      <w:tr w:rsidR="00C93C5B" w:rsidRPr="00F35C44" w14:paraId="380C4395"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6" w:type="dxa"/>
            <w:tcBorders>
              <w:top w:val="nil"/>
              <w:left w:val="nil"/>
              <w:bottom w:val="nil"/>
              <w:right w:val="nil"/>
            </w:tcBorders>
            <w:shd w:val="clear" w:color="auto" w:fill="auto"/>
          </w:tcPr>
          <w:p w14:paraId="35682C95" w14:textId="4A320C1C" w:rsidR="00C93C5B" w:rsidRPr="00F35C44" w:rsidRDefault="00C93C5B" w:rsidP="00BD564D">
            <w:pPr>
              <w:pStyle w:val="08-Tabelageral"/>
              <w:ind w:left="113"/>
              <w:jc w:val="left"/>
              <w:rPr>
                <w:rFonts w:cs="Arial"/>
                <w:b w:val="0"/>
                <w:snapToGrid w:val="0"/>
                <w:lang w:eastAsia="en-US"/>
              </w:rPr>
            </w:pPr>
            <w:proofErr w:type="spellStart"/>
            <w:r>
              <w:rPr>
                <w:rFonts w:cs="Arial"/>
                <w:b w:val="0"/>
                <w:snapToGrid w:val="0"/>
                <w:lang w:eastAsia="en-US"/>
              </w:rPr>
              <w:t>Executive</w:t>
            </w:r>
            <w:proofErr w:type="spellEnd"/>
          </w:p>
        </w:tc>
        <w:tc>
          <w:tcPr>
            <w:tcW w:w="1607" w:type="dxa"/>
            <w:tcBorders>
              <w:top w:val="nil"/>
              <w:left w:val="nil"/>
              <w:bottom w:val="nil"/>
              <w:right w:val="nil"/>
            </w:tcBorders>
            <w:shd w:val="clear" w:color="auto" w:fill="auto"/>
            <w:vAlign w:val="center"/>
          </w:tcPr>
          <w:p w14:paraId="78831150" w14:textId="77777777"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0</w:t>
            </w:r>
          </w:p>
        </w:tc>
        <w:tc>
          <w:tcPr>
            <w:tcW w:w="1606" w:type="dxa"/>
            <w:tcBorders>
              <w:top w:val="nil"/>
              <w:left w:val="nil"/>
              <w:bottom w:val="nil"/>
              <w:right w:val="nil"/>
            </w:tcBorders>
            <w:shd w:val="clear" w:color="auto" w:fill="auto"/>
            <w:vAlign w:val="center"/>
          </w:tcPr>
          <w:p w14:paraId="573C2B50" w14:textId="77777777"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w:t>
            </w:r>
          </w:p>
        </w:tc>
        <w:tc>
          <w:tcPr>
            <w:tcW w:w="1607" w:type="dxa"/>
            <w:tcBorders>
              <w:left w:val="nil"/>
              <w:right w:val="nil"/>
            </w:tcBorders>
            <w:shd w:val="clear" w:color="auto" w:fill="auto"/>
            <w:vAlign w:val="center"/>
          </w:tcPr>
          <w:p w14:paraId="3A5682A4" w14:textId="77777777"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w:t>
            </w:r>
          </w:p>
        </w:tc>
        <w:tc>
          <w:tcPr>
            <w:tcW w:w="1606" w:type="dxa"/>
            <w:tcBorders>
              <w:left w:val="nil"/>
              <w:right w:val="nil"/>
            </w:tcBorders>
            <w:shd w:val="clear" w:color="auto" w:fill="auto"/>
            <w:vAlign w:val="center"/>
          </w:tcPr>
          <w:p w14:paraId="23DE9A9B" w14:textId="3C2040F0"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20.0%</w:t>
            </w:r>
          </w:p>
        </w:tc>
        <w:tc>
          <w:tcPr>
            <w:tcW w:w="1607" w:type="dxa"/>
            <w:tcBorders>
              <w:top w:val="nil"/>
              <w:left w:val="nil"/>
              <w:bottom w:val="nil"/>
              <w:right w:val="nil"/>
            </w:tcBorders>
            <w:shd w:val="clear" w:color="auto" w:fill="F2F2F2" w:themeFill="background1" w:themeFillShade="F2"/>
          </w:tcPr>
          <w:p w14:paraId="2DDDFBA9" w14:textId="5A688E6C"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(20.0)</w:t>
            </w:r>
          </w:p>
        </w:tc>
      </w:tr>
      <w:tr w:rsidR="00C93C5B" w:rsidRPr="00F35C44" w14:paraId="064506A1" w14:textId="77777777" w:rsidTr="00BD564D">
        <w:trPr>
          <w:trHeight w:hRule="exact" w:val="238"/>
        </w:trPr>
        <w:tc>
          <w:tcPr>
            <w:cnfStyle w:val="001000000000" w:firstRow="0" w:lastRow="0" w:firstColumn="1" w:lastColumn="0" w:oddVBand="0" w:evenVBand="0" w:oddHBand="0" w:evenHBand="0" w:firstRowFirstColumn="0" w:firstRowLastColumn="0" w:lastRowFirstColumn="0" w:lastRowLastColumn="0"/>
            <w:tcW w:w="1606" w:type="dxa"/>
            <w:tcBorders>
              <w:top w:val="nil"/>
              <w:left w:val="nil"/>
              <w:bottom w:val="nil"/>
              <w:right w:val="nil"/>
            </w:tcBorders>
          </w:tcPr>
          <w:p w14:paraId="49898604" w14:textId="57213C14" w:rsidR="00C93C5B" w:rsidRPr="00F35C44" w:rsidRDefault="00C93C5B" w:rsidP="00BD564D">
            <w:pPr>
              <w:pStyle w:val="08-Tabelageral"/>
              <w:ind w:left="113"/>
              <w:jc w:val="left"/>
              <w:rPr>
                <w:rFonts w:cs="Arial"/>
                <w:b w:val="0"/>
                <w:snapToGrid w:val="0"/>
                <w:lang w:eastAsia="en-US"/>
              </w:rPr>
            </w:pPr>
            <w:proofErr w:type="spellStart"/>
            <w:r>
              <w:rPr>
                <w:rFonts w:cs="Arial"/>
                <w:b w:val="0"/>
                <w:snapToGrid w:val="0"/>
                <w:lang w:eastAsia="en-US"/>
              </w:rPr>
              <w:t>Managerial</w:t>
            </w:r>
            <w:proofErr w:type="spellEnd"/>
          </w:p>
        </w:tc>
        <w:tc>
          <w:tcPr>
            <w:tcW w:w="1607" w:type="dxa"/>
            <w:tcBorders>
              <w:top w:val="nil"/>
              <w:left w:val="nil"/>
              <w:bottom w:val="nil"/>
              <w:right w:val="nil"/>
            </w:tcBorders>
            <w:vAlign w:val="center"/>
          </w:tcPr>
          <w:p w14:paraId="3BE72DF5" w14:textId="77777777"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8</w:t>
            </w:r>
          </w:p>
        </w:tc>
        <w:tc>
          <w:tcPr>
            <w:tcW w:w="1606" w:type="dxa"/>
            <w:tcBorders>
              <w:top w:val="nil"/>
              <w:left w:val="nil"/>
              <w:bottom w:val="nil"/>
              <w:right w:val="nil"/>
            </w:tcBorders>
            <w:vAlign w:val="center"/>
          </w:tcPr>
          <w:p w14:paraId="2EDAD610" w14:textId="578976D5"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23.4%</w:t>
            </w:r>
          </w:p>
        </w:tc>
        <w:tc>
          <w:tcPr>
            <w:tcW w:w="1607" w:type="dxa"/>
            <w:tcBorders>
              <w:left w:val="nil"/>
              <w:right w:val="nil"/>
            </w:tcBorders>
            <w:vAlign w:val="center"/>
          </w:tcPr>
          <w:p w14:paraId="1C52F749" w14:textId="77777777"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8</w:t>
            </w:r>
          </w:p>
        </w:tc>
        <w:tc>
          <w:tcPr>
            <w:tcW w:w="1606" w:type="dxa"/>
            <w:tcBorders>
              <w:left w:val="nil"/>
              <w:right w:val="nil"/>
            </w:tcBorders>
            <w:vAlign w:val="center"/>
          </w:tcPr>
          <w:p w14:paraId="35E56C55" w14:textId="7EEF1062"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25.0%</w:t>
            </w:r>
          </w:p>
        </w:tc>
        <w:tc>
          <w:tcPr>
            <w:tcW w:w="1607" w:type="dxa"/>
            <w:tcBorders>
              <w:top w:val="nil"/>
              <w:left w:val="nil"/>
              <w:bottom w:val="nil"/>
              <w:right w:val="nil"/>
            </w:tcBorders>
            <w:shd w:val="clear" w:color="auto" w:fill="F2F2F2" w:themeFill="background1" w:themeFillShade="F2"/>
          </w:tcPr>
          <w:p w14:paraId="3D79D74A" w14:textId="67549A3B"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(1.6)</w:t>
            </w:r>
          </w:p>
        </w:tc>
      </w:tr>
      <w:tr w:rsidR="00C93C5B" w:rsidRPr="00F35C44" w14:paraId="39940B8D"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6" w:type="dxa"/>
            <w:tcBorders>
              <w:top w:val="nil"/>
              <w:left w:val="nil"/>
              <w:bottom w:val="nil"/>
              <w:right w:val="nil"/>
            </w:tcBorders>
            <w:shd w:val="clear" w:color="auto" w:fill="auto"/>
          </w:tcPr>
          <w:p w14:paraId="211C12AD" w14:textId="36035920" w:rsidR="00C93C5B" w:rsidRPr="00F35C44" w:rsidRDefault="00C93C5B" w:rsidP="00BD564D">
            <w:pPr>
              <w:pStyle w:val="08-Tabelageral"/>
              <w:ind w:left="113"/>
              <w:jc w:val="left"/>
              <w:rPr>
                <w:rFonts w:cs="Arial"/>
                <w:b w:val="0"/>
                <w:snapToGrid w:val="0"/>
                <w:lang w:eastAsia="en-US"/>
              </w:rPr>
            </w:pPr>
            <w:proofErr w:type="spellStart"/>
            <w:r>
              <w:rPr>
                <w:rFonts w:cs="Arial"/>
                <w:b w:val="0"/>
                <w:snapToGrid w:val="0"/>
                <w:lang w:eastAsia="en-US"/>
              </w:rPr>
              <w:t>Technical</w:t>
            </w:r>
            <w:proofErr w:type="spellEnd"/>
          </w:p>
        </w:tc>
        <w:tc>
          <w:tcPr>
            <w:tcW w:w="1607" w:type="dxa"/>
            <w:tcBorders>
              <w:top w:val="nil"/>
              <w:left w:val="nil"/>
              <w:bottom w:val="nil"/>
              <w:right w:val="nil"/>
            </w:tcBorders>
            <w:shd w:val="clear" w:color="auto" w:fill="auto"/>
            <w:vAlign w:val="center"/>
          </w:tcPr>
          <w:p w14:paraId="4D053590" w14:textId="77777777"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59</w:t>
            </w:r>
          </w:p>
        </w:tc>
        <w:tc>
          <w:tcPr>
            <w:tcW w:w="1606" w:type="dxa"/>
            <w:tcBorders>
              <w:top w:val="nil"/>
              <w:left w:val="nil"/>
              <w:bottom w:val="nil"/>
              <w:right w:val="nil"/>
            </w:tcBorders>
            <w:shd w:val="clear" w:color="auto" w:fill="auto"/>
            <w:vAlign w:val="center"/>
          </w:tcPr>
          <w:p w14:paraId="5BE4B06D" w14:textId="622F1B2B"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39.1%</w:t>
            </w:r>
          </w:p>
        </w:tc>
        <w:tc>
          <w:tcPr>
            <w:tcW w:w="1607" w:type="dxa"/>
            <w:tcBorders>
              <w:left w:val="nil"/>
              <w:right w:val="nil"/>
            </w:tcBorders>
            <w:shd w:val="clear" w:color="auto" w:fill="auto"/>
            <w:vAlign w:val="center"/>
          </w:tcPr>
          <w:p w14:paraId="6F511AA4" w14:textId="77777777"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60</w:t>
            </w:r>
          </w:p>
        </w:tc>
        <w:tc>
          <w:tcPr>
            <w:tcW w:w="1606" w:type="dxa"/>
            <w:tcBorders>
              <w:left w:val="nil"/>
              <w:right w:val="nil"/>
            </w:tcBorders>
            <w:shd w:val="clear" w:color="auto" w:fill="auto"/>
            <w:vAlign w:val="center"/>
          </w:tcPr>
          <w:p w14:paraId="1577E5A4" w14:textId="2A5B80B4"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41.4%</w:t>
            </w:r>
          </w:p>
        </w:tc>
        <w:tc>
          <w:tcPr>
            <w:tcW w:w="1607" w:type="dxa"/>
            <w:tcBorders>
              <w:top w:val="nil"/>
              <w:left w:val="nil"/>
              <w:bottom w:val="nil"/>
              <w:right w:val="nil"/>
            </w:tcBorders>
            <w:shd w:val="clear" w:color="auto" w:fill="F2F2F2" w:themeFill="background1" w:themeFillShade="F2"/>
          </w:tcPr>
          <w:p w14:paraId="33B172F6" w14:textId="29576F58" w:rsidR="00C93C5B" w:rsidRPr="003E6037"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(2.3)</w:t>
            </w:r>
          </w:p>
        </w:tc>
      </w:tr>
      <w:tr w:rsidR="00C93C5B" w:rsidRPr="00F35C44" w14:paraId="2426EAD9" w14:textId="77777777" w:rsidTr="00BD564D">
        <w:trPr>
          <w:trHeight w:hRule="exact" w:val="238"/>
        </w:trPr>
        <w:tc>
          <w:tcPr>
            <w:cnfStyle w:val="001000000000" w:firstRow="0" w:lastRow="0" w:firstColumn="1" w:lastColumn="0" w:oddVBand="0" w:evenVBand="0" w:oddHBand="0" w:evenHBand="0" w:firstRowFirstColumn="0" w:firstRowLastColumn="0" w:lastRowFirstColumn="0" w:lastRowLastColumn="0"/>
            <w:tcW w:w="1606" w:type="dxa"/>
            <w:tcBorders>
              <w:top w:val="nil"/>
              <w:left w:val="nil"/>
              <w:bottom w:val="single" w:sz="4" w:space="0" w:color="9CC2E5" w:themeColor="accent1" w:themeTint="99"/>
              <w:right w:val="nil"/>
            </w:tcBorders>
            <w:hideMark/>
          </w:tcPr>
          <w:p w14:paraId="7F8C054C" w14:textId="77777777" w:rsidR="00C93C5B" w:rsidRPr="00F35C44" w:rsidRDefault="00C93C5B" w:rsidP="00BD564D">
            <w:pPr>
              <w:pStyle w:val="08-Tabelageral"/>
              <w:jc w:val="left"/>
              <w:rPr>
                <w:rFonts w:cs="Arial"/>
                <w:b w:val="0"/>
                <w:snapToGrid w:val="0"/>
                <w:lang w:eastAsia="en-US"/>
              </w:rPr>
            </w:pPr>
            <w:r>
              <w:rPr>
                <w:rFonts w:cs="Arial"/>
                <w:lang w:eastAsia="en-US"/>
              </w:rPr>
              <w:t>Total</w:t>
            </w:r>
            <w:r w:rsidRPr="00F35C44">
              <w:rPr>
                <w:rFonts w:cs="Arial"/>
                <w:lang w:eastAsia="en-US"/>
              </w:rPr>
              <w:t xml:space="preserve"> </w:t>
            </w:r>
          </w:p>
        </w:tc>
        <w:tc>
          <w:tcPr>
            <w:tcW w:w="1607" w:type="dxa"/>
            <w:tcBorders>
              <w:top w:val="nil"/>
              <w:left w:val="nil"/>
              <w:bottom w:val="single" w:sz="4" w:space="0" w:color="9CC2E5" w:themeColor="accent1" w:themeTint="99"/>
              <w:right w:val="nil"/>
            </w:tcBorders>
            <w:vAlign w:val="center"/>
          </w:tcPr>
          <w:p w14:paraId="39B43616" w14:textId="77777777" w:rsidR="00C93C5B" w:rsidRPr="002304B5"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2304B5">
              <w:rPr>
                <w:rFonts w:cs="Arial"/>
                <w:b/>
                <w:bCs/>
                <w:szCs w:val="14"/>
                <w:lang w:eastAsia="en-US"/>
              </w:rPr>
              <w:t>67</w:t>
            </w:r>
          </w:p>
        </w:tc>
        <w:tc>
          <w:tcPr>
            <w:tcW w:w="1606" w:type="dxa"/>
            <w:tcBorders>
              <w:top w:val="nil"/>
              <w:left w:val="nil"/>
              <w:bottom w:val="single" w:sz="4" w:space="0" w:color="9CC2E5" w:themeColor="accent1" w:themeTint="99"/>
              <w:right w:val="nil"/>
            </w:tcBorders>
            <w:vAlign w:val="center"/>
          </w:tcPr>
          <w:p w14:paraId="518BBF09" w14:textId="521F67AD" w:rsidR="00C93C5B" w:rsidRPr="002304B5"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2304B5">
              <w:rPr>
                <w:rFonts w:cs="Arial"/>
                <w:b/>
                <w:bCs/>
                <w:color w:val="auto"/>
                <w:szCs w:val="14"/>
                <w:lang w:eastAsia="en-US"/>
              </w:rPr>
              <w:t>34</w:t>
            </w:r>
            <w:r>
              <w:rPr>
                <w:rFonts w:cs="Arial"/>
                <w:b/>
                <w:bCs/>
                <w:color w:val="auto"/>
                <w:szCs w:val="14"/>
                <w:lang w:eastAsia="en-US"/>
              </w:rPr>
              <w:t>.</w:t>
            </w:r>
            <w:r w:rsidRPr="002304B5">
              <w:rPr>
                <w:rFonts w:cs="Arial"/>
                <w:b/>
                <w:bCs/>
                <w:color w:val="auto"/>
                <w:szCs w:val="14"/>
                <w:lang w:eastAsia="en-US"/>
              </w:rPr>
              <w:t>6%</w:t>
            </w:r>
          </w:p>
        </w:tc>
        <w:tc>
          <w:tcPr>
            <w:tcW w:w="1607" w:type="dxa"/>
            <w:tcBorders>
              <w:left w:val="nil"/>
              <w:bottom w:val="single" w:sz="4" w:space="0" w:color="9CC2E5" w:themeColor="accent1" w:themeTint="99"/>
              <w:right w:val="nil"/>
            </w:tcBorders>
            <w:vAlign w:val="center"/>
          </w:tcPr>
          <w:p w14:paraId="792C9C53" w14:textId="77777777" w:rsidR="00C93C5B" w:rsidRPr="002304B5"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2304B5">
              <w:rPr>
                <w:rFonts w:cs="Arial"/>
                <w:b/>
                <w:bCs/>
                <w:szCs w:val="14"/>
                <w:lang w:eastAsia="en-US"/>
              </w:rPr>
              <w:t>69</w:t>
            </w:r>
          </w:p>
        </w:tc>
        <w:tc>
          <w:tcPr>
            <w:tcW w:w="1606" w:type="dxa"/>
            <w:tcBorders>
              <w:left w:val="nil"/>
              <w:bottom w:val="single" w:sz="4" w:space="0" w:color="9CC2E5" w:themeColor="accent1" w:themeTint="99"/>
              <w:right w:val="nil"/>
            </w:tcBorders>
            <w:vAlign w:val="center"/>
          </w:tcPr>
          <w:p w14:paraId="3F76171C" w14:textId="2E42D21F" w:rsidR="00C93C5B" w:rsidRPr="002304B5"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2304B5">
              <w:rPr>
                <w:rFonts w:cs="Arial"/>
                <w:b/>
                <w:bCs/>
                <w:color w:val="auto"/>
                <w:szCs w:val="14"/>
                <w:lang w:eastAsia="en-US"/>
              </w:rPr>
              <w:t>37</w:t>
            </w:r>
            <w:r>
              <w:rPr>
                <w:rFonts w:cs="Arial"/>
                <w:b/>
                <w:bCs/>
                <w:color w:val="auto"/>
                <w:szCs w:val="14"/>
                <w:lang w:eastAsia="en-US"/>
              </w:rPr>
              <w:t>.</w:t>
            </w:r>
            <w:r w:rsidRPr="002304B5">
              <w:rPr>
                <w:rFonts w:cs="Arial"/>
                <w:b/>
                <w:bCs/>
                <w:color w:val="auto"/>
                <w:szCs w:val="14"/>
                <w:lang w:eastAsia="en-US"/>
              </w:rPr>
              <w:t>1%</w:t>
            </w:r>
          </w:p>
        </w:tc>
        <w:tc>
          <w:tcPr>
            <w:tcW w:w="1607" w:type="dxa"/>
            <w:tcBorders>
              <w:top w:val="nil"/>
              <w:left w:val="nil"/>
              <w:bottom w:val="single" w:sz="4" w:space="0" w:color="9CC2E5" w:themeColor="accent1" w:themeTint="99"/>
              <w:right w:val="nil"/>
            </w:tcBorders>
            <w:shd w:val="clear" w:color="auto" w:fill="F2F2F2" w:themeFill="background1" w:themeFillShade="F2"/>
          </w:tcPr>
          <w:p w14:paraId="306169DC" w14:textId="1F493FA8" w:rsidR="00C93C5B" w:rsidRPr="003E6037" w:rsidRDefault="00C93C5B" w:rsidP="00BD564D">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Pr>
                <w:rFonts w:cs="Arial"/>
                <w:b/>
                <w:bCs/>
                <w:color w:val="auto"/>
                <w:szCs w:val="14"/>
                <w:lang w:eastAsia="en-US"/>
              </w:rPr>
              <w:t>(2.5)</w:t>
            </w:r>
          </w:p>
        </w:tc>
      </w:tr>
    </w:tbl>
    <w:p w14:paraId="040C5D14" w14:textId="77777777" w:rsidR="00C93C5B" w:rsidRDefault="00C93C5B" w:rsidP="00C93C5B">
      <w:pPr>
        <w:pStyle w:val="05-Textonormal"/>
        <w:rPr>
          <w:rFonts w:cs="Arial"/>
        </w:rPr>
      </w:pPr>
    </w:p>
    <w:p w14:paraId="695B7E5D" w14:textId="7AB26E64" w:rsidR="00C93C5B" w:rsidRPr="00B70FB9" w:rsidRDefault="00C93C5B" w:rsidP="00C93C5B">
      <w:pPr>
        <w:pStyle w:val="01-TtulodeNota"/>
        <w:rPr>
          <w:rFonts w:cs="Arial"/>
          <w:b w:val="0"/>
          <w:sz w:val="14"/>
          <w:lang w:val="en-US"/>
        </w:rPr>
      </w:pPr>
      <w:proofErr w:type="spellStart"/>
      <w:r w:rsidRPr="00B70FB9">
        <w:rPr>
          <w:rFonts w:cs="Arial"/>
          <w:b w:val="0"/>
          <w:sz w:val="14"/>
          <w:szCs w:val="14"/>
          <w:lang w:val="en-US"/>
        </w:rPr>
        <w:t>Tabela</w:t>
      </w:r>
      <w:proofErr w:type="spellEnd"/>
      <w:r w:rsidRPr="00B70FB9">
        <w:rPr>
          <w:rFonts w:cs="Arial"/>
          <w:b w:val="0"/>
          <w:sz w:val="14"/>
          <w:szCs w:val="14"/>
          <w:lang w:val="en-US"/>
        </w:rPr>
        <w:t xml:space="preserve"> </w:t>
      </w:r>
      <w:r w:rsidRPr="00F35C44">
        <w:rPr>
          <w:rFonts w:cs="Arial"/>
          <w:b w:val="0"/>
          <w:sz w:val="14"/>
          <w:szCs w:val="14"/>
        </w:rPr>
        <w:fldChar w:fldCharType="begin"/>
      </w:r>
      <w:r w:rsidRPr="00B70FB9">
        <w:rPr>
          <w:rFonts w:cs="Arial"/>
          <w:b w:val="0"/>
          <w:sz w:val="14"/>
          <w:szCs w:val="14"/>
          <w:lang w:val="en-US"/>
        </w:rPr>
        <w:instrText xml:space="preserve"> SEQ Tabela \* ARABIC </w:instrText>
      </w:r>
      <w:r w:rsidRPr="00F35C44">
        <w:rPr>
          <w:rFonts w:cs="Arial"/>
          <w:b w:val="0"/>
          <w:sz w:val="14"/>
          <w:szCs w:val="14"/>
        </w:rPr>
        <w:fldChar w:fldCharType="separate"/>
      </w:r>
      <w:r w:rsidRPr="00B70FB9">
        <w:rPr>
          <w:rFonts w:cs="Arial"/>
          <w:b w:val="0"/>
          <w:noProof/>
          <w:sz w:val="14"/>
          <w:szCs w:val="14"/>
          <w:lang w:val="en-US"/>
        </w:rPr>
        <w:t>2</w:t>
      </w:r>
      <w:r w:rsidRPr="00F35C44">
        <w:rPr>
          <w:rFonts w:cs="Arial"/>
          <w:b w:val="0"/>
          <w:noProof/>
          <w:sz w:val="14"/>
          <w:szCs w:val="14"/>
        </w:rPr>
        <w:fldChar w:fldCharType="end"/>
      </w:r>
      <w:r w:rsidRPr="00B70FB9">
        <w:rPr>
          <w:rFonts w:cs="Arial"/>
          <w:b w:val="0"/>
          <w:sz w:val="14"/>
          <w:lang w:val="en-US"/>
        </w:rPr>
        <w:t xml:space="preserve"> – </w:t>
      </w:r>
      <w:r w:rsidR="00B70FB9" w:rsidRPr="00B70FB9">
        <w:rPr>
          <w:rFonts w:cs="Arial"/>
          <w:b w:val="0"/>
          <w:sz w:val="14"/>
          <w:lang w:val="en-US"/>
        </w:rPr>
        <w:t>Occupancy of statutory executive positions at</w:t>
      </w:r>
      <w:r w:rsidRPr="00B70FB9">
        <w:rPr>
          <w:rFonts w:cs="Arial"/>
          <w:b w:val="0"/>
          <w:sz w:val="14"/>
          <w:lang w:val="en-US"/>
        </w:rPr>
        <w:t xml:space="preserve"> BB Seguridade </w:t>
      </w:r>
    </w:p>
    <w:tbl>
      <w:tblPr>
        <w:tblStyle w:val="TabeladeLista6Colorida-nfase5"/>
        <w:tblW w:w="9639" w:type="dxa"/>
        <w:tblLook w:val="04A0" w:firstRow="1" w:lastRow="0" w:firstColumn="1" w:lastColumn="0" w:noHBand="0" w:noVBand="1"/>
      </w:tblPr>
      <w:tblGrid>
        <w:gridCol w:w="1601"/>
        <w:gridCol w:w="825"/>
        <w:gridCol w:w="1402"/>
        <w:gridCol w:w="1402"/>
        <w:gridCol w:w="1402"/>
        <w:gridCol w:w="1403"/>
        <w:gridCol w:w="1604"/>
      </w:tblGrid>
      <w:tr w:rsidR="00C93C5B" w:rsidRPr="00F35C44" w14:paraId="4FD8C335" w14:textId="77777777" w:rsidTr="00BD564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601" w:type="dxa"/>
            <w:tcBorders>
              <w:top w:val="single" w:sz="2" w:space="0" w:color="8EAADB" w:themeColor="accent5" w:themeTint="99"/>
              <w:left w:val="nil"/>
              <w:bottom w:val="nil"/>
              <w:right w:val="nil"/>
            </w:tcBorders>
            <w:vAlign w:val="center"/>
          </w:tcPr>
          <w:p w14:paraId="760B952A" w14:textId="77777777" w:rsidR="00C93C5B" w:rsidRPr="00B70FB9" w:rsidRDefault="00C93C5B" w:rsidP="00BD564D">
            <w:pPr>
              <w:pStyle w:val="08-Tabelageral"/>
              <w:jc w:val="left"/>
              <w:rPr>
                <w:rFonts w:cs="Arial"/>
                <w:lang w:val="en-US" w:eastAsia="en-US"/>
              </w:rPr>
            </w:pPr>
          </w:p>
        </w:tc>
        <w:tc>
          <w:tcPr>
            <w:tcW w:w="825" w:type="dxa"/>
            <w:vMerge w:val="restart"/>
            <w:tcBorders>
              <w:top w:val="single" w:sz="2" w:space="0" w:color="8EAADB" w:themeColor="accent5" w:themeTint="99"/>
              <w:left w:val="nil"/>
              <w:right w:val="nil"/>
            </w:tcBorders>
            <w:vAlign w:val="center"/>
            <w:hideMark/>
          </w:tcPr>
          <w:p w14:paraId="3566753A" w14:textId="77777777" w:rsidR="00C93C5B" w:rsidRPr="00B70FB9" w:rsidRDefault="00C93C5B" w:rsidP="00BD564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b w:val="0"/>
                <w:bCs w:val="0"/>
                <w:lang w:val="en-US" w:eastAsia="en-US"/>
              </w:rPr>
            </w:pPr>
          </w:p>
        </w:tc>
        <w:tc>
          <w:tcPr>
            <w:tcW w:w="2804" w:type="dxa"/>
            <w:gridSpan w:val="2"/>
            <w:vMerge w:val="restart"/>
            <w:tcBorders>
              <w:top w:val="single" w:sz="2" w:space="0" w:color="8EAADB" w:themeColor="accent5" w:themeTint="99"/>
              <w:left w:val="nil"/>
              <w:right w:val="nil"/>
            </w:tcBorders>
            <w:vAlign w:val="center"/>
          </w:tcPr>
          <w:p w14:paraId="36AC0D69" w14:textId="77777777" w:rsidR="00C93C5B" w:rsidRPr="00BE4B1D" w:rsidRDefault="00C93C5B" w:rsidP="00BD564D">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color w:val="auto"/>
                <w:szCs w:val="14"/>
                <w:lang w:eastAsia="en-US"/>
              </w:rPr>
            </w:pPr>
            <w:r w:rsidRPr="00BE4B1D">
              <w:rPr>
                <w:rFonts w:cs="Arial"/>
                <w:bCs w:val="0"/>
                <w:color w:val="auto"/>
                <w:szCs w:val="14"/>
                <w:lang w:eastAsia="en-US"/>
              </w:rPr>
              <w:t>2025</w:t>
            </w:r>
          </w:p>
        </w:tc>
        <w:tc>
          <w:tcPr>
            <w:tcW w:w="2805" w:type="dxa"/>
            <w:gridSpan w:val="2"/>
            <w:vMerge w:val="restart"/>
            <w:tcBorders>
              <w:top w:val="single" w:sz="2" w:space="0" w:color="8EAADB" w:themeColor="accent5" w:themeTint="99"/>
              <w:left w:val="nil"/>
              <w:right w:val="nil"/>
            </w:tcBorders>
            <w:vAlign w:val="center"/>
            <w:hideMark/>
          </w:tcPr>
          <w:p w14:paraId="018B38BC" w14:textId="77777777" w:rsidR="00C93C5B" w:rsidRPr="00F35C44" w:rsidRDefault="00C93C5B" w:rsidP="00BD564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2024</w:t>
            </w:r>
          </w:p>
        </w:tc>
        <w:tc>
          <w:tcPr>
            <w:tcW w:w="1604" w:type="dxa"/>
            <w:tcBorders>
              <w:top w:val="single" w:sz="2" w:space="0" w:color="8EAADB" w:themeColor="accent5" w:themeTint="99"/>
              <w:left w:val="nil"/>
              <w:bottom w:val="nil"/>
              <w:right w:val="nil"/>
            </w:tcBorders>
            <w:shd w:val="clear" w:color="auto" w:fill="F2F2F2" w:themeFill="background1" w:themeFillShade="F2"/>
            <w:vAlign w:val="center"/>
            <w:hideMark/>
          </w:tcPr>
          <w:p w14:paraId="550C31A1" w14:textId="0E8CBF5A" w:rsidR="00C93C5B" w:rsidRPr="00F35C44" w:rsidRDefault="00C93C5B" w:rsidP="00BD564D">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Chg</w:t>
            </w:r>
            <w:proofErr w:type="spellEnd"/>
            <w:r w:rsidRPr="00F35C44">
              <w:rPr>
                <w:rFonts w:cs="Arial"/>
                <w:lang w:eastAsia="en-US"/>
              </w:rPr>
              <w:t>.</w:t>
            </w:r>
            <w:r>
              <w:rPr>
                <w:rFonts w:cs="Arial"/>
                <w:lang w:eastAsia="en-US"/>
              </w:rPr>
              <w:t xml:space="preserve"> p.p.</w:t>
            </w:r>
          </w:p>
        </w:tc>
      </w:tr>
      <w:tr w:rsidR="00C93C5B" w:rsidRPr="00F35C44" w14:paraId="6C3F73A3"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1" w:type="dxa"/>
            <w:tcBorders>
              <w:top w:val="nil"/>
              <w:left w:val="nil"/>
              <w:bottom w:val="single" w:sz="2" w:space="0" w:color="8EAADB" w:themeColor="accent5" w:themeTint="99"/>
              <w:right w:val="nil"/>
            </w:tcBorders>
            <w:shd w:val="clear" w:color="auto" w:fill="auto"/>
          </w:tcPr>
          <w:p w14:paraId="49C5A5C4" w14:textId="77777777" w:rsidR="00C93C5B" w:rsidRPr="00F35C44" w:rsidRDefault="00C93C5B" w:rsidP="00BD564D">
            <w:pPr>
              <w:pStyle w:val="08-Tabelageral"/>
              <w:jc w:val="left"/>
              <w:rPr>
                <w:rFonts w:cs="Arial"/>
                <w:bCs w:val="0"/>
                <w:szCs w:val="14"/>
                <w:lang w:eastAsia="en-US"/>
              </w:rPr>
            </w:pPr>
          </w:p>
        </w:tc>
        <w:tc>
          <w:tcPr>
            <w:tcW w:w="825" w:type="dxa"/>
            <w:vMerge/>
            <w:tcBorders>
              <w:left w:val="nil"/>
              <w:bottom w:val="single" w:sz="2" w:space="0" w:color="8EAADB" w:themeColor="accent5" w:themeTint="99"/>
              <w:right w:val="nil"/>
            </w:tcBorders>
            <w:shd w:val="clear" w:color="auto" w:fill="auto"/>
            <w:vAlign w:val="center"/>
            <w:hideMark/>
          </w:tcPr>
          <w:p w14:paraId="3E751E0E" w14:textId="77777777" w:rsidR="00C93C5B" w:rsidRPr="00F35C44" w:rsidRDefault="00C93C5B" w:rsidP="00BD564D">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2804" w:type="dxa"/>
            <w:gridSpan w:val="2"/>
            <w:vMerge/>
            <w:tcBorders>
              <w:left w:val="nil"/>
              <w:right w:val="nil"/>
            </w:tcBorders>
            <w:shd w:val="clear" w:color="auto" w:fill="auto"/>
            <w:vAlign w:val="center"/>
          </w:tcPr>
          <w:p w14:paraId="2E0ECE5D" w14:textId="77777777" w:rsidR="00C93C5B" w:rsidRPr="00F35C44"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2805" w:type="dxa"/>
            <w:gridSpan w:val="2"/>
            <w:vMerge/>
            <w:tcBorders>
              <w:left w:val="nil"/>
              <w:bottom w:val="single" w:sz="2" w:space="0" w:color="8EAADB" w:themeColor="accent5" w:themeTint="99"/>
              <w:right w:val="nil"/>
            </w:tcBorders>
            <w:shd w:val="clear" w:color="auto" w:fill="auto"/>
            <w:vAlign w:val="center"/>
            <w:hideMark/>
          </w:tcPr>
          <w:p w14:paraId="090F8002" w14:textId="77777777" w:rsidR="00C93C5B" w:rsidRPr="00F35C44" w:rsidRDefault="00C93C5B" w:rsidP="00BD564D">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604" w:type="dxa"/>
            <w:tcBorders>
              <w:top w:val="nil"/>
              <w:left w:val="nil"/>
              <w:bottom w:val="single" w:sz="2" w:space="0" w:color="8EAADB" w:themeColor="accent5" w:themeTint="99"/>
              <w:right w:val="nil"/>
            </w:tcBorders>
            <w:shd w:val="clear" w:color="auto" w:fill="F2F2F2" w:themeFill="background1" w:themeFillShade="F2"/>
            <w:vAlign w:val="center"/>
            <w:hideMark/>
          </w:tcPr>
          <w:p w14:paraId="32AE8560" w14:textId="429EBC05" w:rsidR="00C93C5B" w:rsidRPr="00F35C44" w:rsidRDefault="00C93C5B" w:rsidP="00BD564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Pr>
                <w:rFonts w:cs="Arial"/>
                <w:b/>
                <w:color w:val="auto"/>
                <w:lang w:eastAsia="en-US"/>
              </w:rPr>
              <w:t>on</w:t>
            </w:r>
            <w:proofErr w:type="spellEnd"/>
            <w:r w:rsidRPr="00F35C44">
              <w:rPr>
                <w:rFonts w:cs="Arial"/>
                <w:b/>
                <w:color w:val="auto"/>
                <w:lang w:eastAsia="en-US"/>
              </w:rPr>
              <w:t xml:space="preserve"> 202</w:t>
            </w:r>
            <w:r>
              <w:rPr>
                <w:rFonts w:cs="Arial"/>
                <w:b/>
                <w:color w:val="auto"/>
                <w:lang w:eastAsia="en-US"/>
              </w:rPr>
              <w:t>4</w:t>
            </w:r>
          </w:p>
        </w:tc>
      </w:tr>
      <w:tr w:rsidR="00C93C5B" w:rsidRPr="00F35C44" w14:paraId="1BE4D630" w14:textId="77777777" w:rsidTr="00BD564D">
        <w:trPr>
          <w:trHeight w:hRule="exact" w:val="539"/>
        </w:trPr>
        <w:tc>
          <w:tcPr>
            <w:cnfStyle w:val="001000000000" w:firstRow="0" w:lastRow="0" w:firstColumn="1" w:lastColumn="0" w:oddVBand="0" w:evenVBand="0" w:oddHBand="0" w:evenHBand="0" w:firstRowFirstColumn="0" w:firstRowLastColumn="0" w:lastRowFirstColumn="0" w:lastRowLastColumn="0"/>
            <w:tcW w:w="1601" w:type="dxa"/>
            <w:tcBorders>
              <w:top w:val="single" w:sz="2" w:space="0" w:color="8EAADB" w:themeColor="accent5" w:themeTint="99"/>
              <w:left w:val="nil"/>
              <w:bottom w:val="nil"/>
              <w:right w:val="nil"/>
            </w:tcBorders>
            <w:vAlign w:val="center"/>
            <w:hideMark/>
          </w:tcPr>
          <w:p w14:paraId="59442428" w14:textId="75A1F1C4" w:rsidR="00C93C5B" w:rsidRPr="00F35C44" w:rsidRDefault="00C93C5B" w:rsidP="00C93C5B">
            <w:pPr>
              <w:pStyle w:val="08-Tabelageral"/>
              <w:jc w:val="left"/>
              <w:rPr>
                <w:rFonts w:cs="Arial"/>
                <w:snapToGrid w:val="0"/>
                <w:lang w:eastAsia="en-US"/>
              </w:rPr>
            </w:pPr>
            <w:r>
              <w:rPr>
                <w:rFonts w:cs="Arial"/>
                <w:lang w:eastAsia="en-US"/>
              </w:rPr>
              <w:t>Body</w:t>
            </w:r>
          </w:p>
        </w:tc>
        <w:tc>
          <w:tcPr>
            <w:tcW w:w="825" w:type="dxa"/>
            <w:tcBorders>
              <w:top w:val="single" w:sz="2" w:space="0" w:color="8EAADB" w:themeColor="accent5" w:themeTint="99"/>
              <w:left w:val="nil"/>
              <w:bottom w:val="nil"/>
              <w:right w:val="nil"/>
            </w:tcBorders>
            <w:vAlign w:val="center"/>
          </w:tcPr>
          <w:p w14:paraId="262BFAC2" w14:textId="7D3560F0"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roofErr w:type="spellStart"/>
            <w:r>
              <w:rPr>
                <w:rFonts w:cs="Arial"/>
                <w:b/>
                <w:szCs w:val="14"/>
                <w:lang w:eastAsia="en-US"/>
              </w:rPr>
              <w:t>Members</w:t>
            </w:r>
            <w:proofErr w:type="spellEnd"/>
          </w:p>
        </w:tc>
        <w:tc>
          <w:tcPr>
            <w:tcW w:w="1402" w:type="dxa"/>
            <w:tcBorders>
              <w:left w:val="nil"/>
              <w:right w:val="nil"/>
            </w:tcBorders>
            <w:vAlign w:val="center"/>
          </w:tcPr>
          <w:p w14:paraId="003FB15B" w14:textId="03B7D7C3"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roofErr w:type="spellStart"/>
            <w:r>
              <w:rPr>
                <w:rFonts w:cs="Arial"/>
                <w:b/>
                <w:szCs w:val="14"/>
                <w:lang w:eastAsia="en-US"/>
              </w:rPr>
              <w:t>Number</w:t>
            </w:r>
            <w:proofErr w:type="spellEnd"/>
            <w:r>
              <w:rPr>
                <w:rFonts w:cs="Arial"/>
                <w:b/>
                <w:szCs w:val="14"/>
                <w:lang w:eastAsia="en-US"/>
              </w:rPr>
              <w:t xml:space="preserve"> </w:t>
            </w:r>
            <w:proofErr w:type="spellStart"/>
            <w:r>
              <w:rPr>
                <w:rFonts w:cs="Arial"/>
                <w:b/>
                <w:szCs w:val="14"/>
                <w:lang w:eastAsia="en-US"/>
              </w:rPr>
              <w:t>of</w:t>
            </w:r>
            <w:proofErr w:type="spellEnd"/>
            <w:r>
              <w:rPr>
                <w:rFonts w:cs="Arial"/>
                <w:b/>
                <w:szCs w:val="14"/>
                <w:lang w:eastAsia="en-US"/>
              </w:rPr>
              <w:t xml:space="preserve"> </w:t>
            </w:r>
            <w:proofErr w:type="spellStart"/>
            <w:r>
              <w:rPr>
                <w:rFonts w:cs="Arial"/>
                <w:b/>
                <w:szCs w:val="14"/>
                <w:lang w:eastAsia="en-US"/>
              </w:rPr>
              <w:t>women</w:t>
            </w:r>
            <w:proofErr w:type="spellEnd"/>
          </w:p>
        </w:tc>
        <w:tc>
          <w:tcPr>
            <w:tcW w:w="1402" w:type="dxa"/>
            <w:tcBorders>
              <w:left w:val="nil"/>
              <w:right w:val="nil"/>
            </w:tcBorders>
            <w:vAlign w:val="center"/>
          </w:tcPr>
          <w:p w14:paraId="2683B179" w14:textId="001108C8"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proofErr w:type="spellStart"/>
            <w:r>
              <w:rPr>
                <w:rFonts w:cs="Arial"/>
                <w:b/>
                <w:color w:val="auto"/>
                <w:szCs w:val="14"/>
                <w:lang w:eastAsia="en-US"/>
              </w:rPr>
              <w:t>Percentage</w:t>
            </w:r>
            <w:proofErr w:type="spellEnd"/>
            <w:r>
              <w:rPr>
                <w:rFonts w:cs="Arial"/>
                <w:b/>
                <w:color w:val="auto"/>
                <w:szCs w:val="14"/>
                <w:lang w:eastAsia="en-US"/>
              </w:rPr>
              <w:t xml:space="preserve"> </w:t>
            </w:r>
            <w:proofErr w:type="spellStart"/>
            <w:r>
              <w:rPr>
                <w:rFonts w:cs="Arial"/>
                <w:b/>
                <w:color w:val="auto"/>
                <w:szCs w:val="14"/>
                <w:lang w:eastAsia="en-US"/>
              </w:rPr>
              <w:t>of</w:t>
            </w:r>
            <w:proofErr w:type="spellEnd"/>
            <w:r>
              <w:rPr>
                <w:rFonts w:cs="Arial"/>
                <w:b/>
                <w:color w:val="auto"/>
                <w:szCs w:val="14"/>
                <w:lang w:eastAsia="en-US"/>
              </w:rPr>
              <w:t xml:space="preserve"> </w:t>
            </w:r>
            <w:proofErr w:type="spellStart"/>
            <w:r>
              <w:rPr>
                <w:rFonts w:cs="Arial"/>
                <w:b/>
                <w:color w:val="auto"/>
                <w:szCs w:val="14"/>
                <w:lang w:eastAsia="en-US"/>
              </w:rPr>
              <w:t>women</w:t>
            </w:r>
            <w:proofErr w:type="spellEnd"/>
          </w:p>
        </w:tc>
        <w:tc>
          <w:tcPr>
            <w:tcW w:w="1402" w:type="dxa"/>
            <w:tcBorders>
              <w:top w:val="single" w:sz="2" w:space="0" w:color="8EAADB" w:themeColor="accent5" w:themeTint="99"/>
              <w:left w:val="nil"/>
              <w:right w:val="nil"/>
            </w:tcBorders>
            <w:vAlign w:val="center"/>
          </w:tcPr>
          <w:p w14:paraId="253C3864" w14:textId="7AB50D3C"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roofErr w:type="spellStart"/>
            <w:r>
              <w:rPr>
                <w:rFonts w:cs="Arial"/>
                <w:b/>
                <w:szCs w:val="14"/>
                <w:lang w:eastAsia="en-US"/>
              </w:rPr>
              <w:t>Number</w:t>
            </w:r>
            <w:proofErr w:type="spellEnd"/>
            <w:r>
              <w:rPr>
                <w:rFonts w:cs="Arial"/>
                <w:b/>
                <w:szCs w:val="14"/>
                <w:lang w:eastAsia="en-US"/>
              </w:rPr>
              <w:t xml:space="preserve"> </w:t>
            </w:r>
            <w:proofErr w:type="spellStart"/>
            <w:r>
              <w:rPr>
                <w:rFonts w:cs="Arial"/>
                <w:b/>
                <w:szCs w:val="14"/>
                <w:lang w:eastAsia="en-US"/>
              </w:rPr>
              <w:t>of</w:t>
            </w:r>
            <w:proofErr w:type="spellEnd"/>
            <w:r>
              <w:rPr>
                <w:rFonts w:cs="Arial"/>
                <w:b/>
                <w:szCs w:val="14"/>
                <w:lang w:eastAsia="en-US"/>
              </w:rPr>
              <w:t xml:space="preserve"> </w:t>
            </w:r>
            <w:proofErr w:type="spellStart"/>
            <w:r>
              <w:rPr>
                <w:rFonts w:cs="Arial"/>
                <w:b/>
                <w:szCs w:val="14"/>
                <w:lang w:eastAsia="en-US"/>
              </w:rPr>
              <w:t>women</w:t>
            </w:r>
            <w:proofErr w:type="spellEnd"/>
          </w:p>
        </w:tc>
        <w:tc>
          <w:tcPr>
            <w:tcW w:w="1403" w:type="dxa"/>
            <w:tcBorders>
              <w:top w:val="single" w:sz="2" w:space="0" w:color="8EAADB" w:themeColor="accent5" w:themeTint="99"/>
              <w:left w:val="nil"/>
              <w:right w:val="nil"/>
            </w:tcBorders>
            <w:vAlign w:val="center"/>
          </w:tcPr>
          <w:p w14:paraId="124C167E" w14:textId="67FD7518"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proofErr w:type="spellStart"/>
            <w:r>
              <w:rPr>
                <w:rFonts w:cs="Arial"/>
                <w:b/>
                <w:color w:val="auto"/>
                <w:szCs w:val="14"/>
                <w:lang w:eastAsia="en-US"/>
              </w:rPr>
              <w:t>Percentage</w:t>
            </w:r>
            <w:proofErr w:type="spellEnd"/>
            <w:r>
              <w:rPr>
                <w:rFonts w:cs="Arial"/>
                <w:b/>
                <w:color w:val="auto"/>
                <w:szCs w:val="14"/>
                <w:lang w:eastAsia="en-US"/>
              </w:rPr>
              <w:t xml:space="preserve"> </w:t>
            </w:r>
            <w:proofErr w:type="spellStart"/>
            <w:r>
              <w:rPr>
                <w:rFonts w:cs="Arial"/>
                <w:b/>
                <w:color w:val="auto"/>
                <w:szCs w:val="14"/>
                <w:lang w:eastAsia="en-US"/>
              </w:rPr>
              <w:t>of</w:t>
            </w:r>
            <w:proofErr w:type="spellEnd"/>
            <w:r>
              <w:rPr>
                <w:rFonts w:cs="Arial"/>
                <w:b/>
                <w:color w:val="auto"/>
                <w:szCs w:val="14"/>
                <w:lang w:eastAsia="en-US"/>
              </w:rPr>
              <w:t xml:space="preserve"> </w:t>
            </w:r>
            <w:proofErr w:type="spellStart"/>
            <w:r>
              <w:rPr>
                <w:rFonts w:cs="Arial"/>
                <w:b/>
                <w:color w:val="auto"/>
                <w:szCs w:val="14"/>
                <w:lang w:eastAsia="en-US"/>
              </w:rPr>
              <w:t>women</w:t>
            </w:r>
            <w:proofErr w:type="spellEnd"/>
          </w:p>
        </w:tc>
        <w:tc>
          <w:tcPr>
            <w:tcW w:w="1604" w:type="dxa"/>
            <w:tcBorders>
              <w:top w:val="single" w:sz="2" w:space="0" w:color="8EAADB" w:themeColor="accent5" w:themeTint="99"/>
              <w:left w:val="nil"/>
              <w:bottom w:val="nil"/>
              <w:right w:val="nil"/>
            </w:tcBorders>
            <w:shd w:val="clear" w:color="auto" w:fill="F2F2F2" w:themeFill="background1" w:themeFillShade="F2"/>
            <w:vAlign w:val="center"/>
          </w:tcPr>
          <w:p w14:paraId="0C07A22A" w14:textId="4C1FDBFE"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proofErr w:type="spellStart"/>
            <w:r>
              <w:rPr>
                <w:rFonts w:cs="Arial"/>
                <w:b/>
                <w:bCs/>
                <w:color w:val="auto"/>
                <w:szCs w:val="14"/>
                <w:lang w:eastAsia="en-US"/>
              </w:rPr>
              <w:t>Percentage</w:t>
            </w:r>
            <w:proofErr w:type="spellEnd"/>
            <w:r>
              <w:rPr>
                <w:rFonts w:cs="Arial"/>
                <w:b/>
                <w:bCs/>
                <w:color w:val="auto"/>
                <w:szCs w:val="14"/>
                <w:lang w:eastAsia="en-US"/>
              </w:rPr>
              <w:t xml:space="preserve"> </w:t>
            </w:r>
            <w:proofErr w:type="spellStart"/>
            <w:r>
              <w:rPr>
                <w:rFonts w:cs="Arial"/>
                <w:b/>
                <w:bCs/>
                <w:color w:val="auto"/>
                <w:szCs w:val="14"/>
                <w:lang w:eastAsia="en-US"/>
              </w:rPr>
              <w:t>of</w:t>
            </w:r>
            <w:proofErr w:type="spellEnd"/>
            <w:r>
              <w:rPr>
                <w:rFonts w:cs="Arial"/>
                <w:b/>
                <w:bCs/>
                <w:color w:val="auto"/>
                <w:szCs w:val="14"/>
                <w:lang w:eastAsia="en-US"/>
              </w:rPr>
              <w:t xml:space="preserve"> </w:t>
            </w:r>
            <w:proofErr w:type="spellStart"/>
            <w:r>
              <w:rPr>
                <w:rFonts w:cs="Arial"/>
                <w:b/>
                <w:bCs/>
                <w:color w:val="auto"/>
                <w:szCs w:val="14"/>
                <w:lang w:eastAsia="en-US"/>
              </w:rPr>
              <w:t>women</w:t>
            </w:r>
            <w:proofErr w:type="spellEnd"/>
          </w:p>
        </w:tc>
      </w:tr>
      <w:tr w:rsidR="00C93C5B" w:rsidRPr="00F35C44" w14:paraId="7E1CDC44"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1" w:type="dxa"/>
            <w:tcBorders>
              <w:top w:val="nil"/>
              <w:left w:val="nil"/>
              <w:bottom w:val="nil"/>
              <w:right w:val="nil"/>
            </w:tcBorders>
            <w:shd w:val="clear" w:color="auto" w:fill="auto"/>
            <w:vAlign w:val="center"/>
          </w:tcPr>
          <w:p w14:paraId="34F9BA5E" w14:textId="57E3C106" w:rsidR="00C93C5B" w:rsidRPr="00F35C44" w:rsidRDefault="00B70FB9" w:rsidP="00C93C5B">
            <w:pPr>
              <w:pStyle w:val="08-Tabelageral"/>
              <w:ind w:left="113"/>
              <w:jc w:val="left"/>
              <w:rPr>
                <w:rFonts w:cs="Arial"/>
                <w:b w:val="0"/>
                <w:snapToGrid w:val="0"/>
                <w:lang w:eastAsia="en-US"/>
              </w:rPr>
            </w:pPr>
            <w:proofErr w:type="spellStart"/>
            <w:r>
              <w:rPr>
                <w:rFonts w:cs="Arial"/>
                <w:b w:val="0"/>
                <w:snapToGrid w:val="0"/>
                <w:lang w:eastAsia="en-US"/>
              </w:rPr>
              <w:t>Executive</w:t>
            </w:r>
            <w:proofErr w:type="spellEnd"/>
            <w:r>
              <w:rPr>
                <w:rFonts w:cs="Arial"/>
                <w:b w:val="0"/>
                <w:snapToGrid w:val="0"/>
                <w:lang w:eastAsia="en-US"/>
              </w:rPr>
              <w:t xml:space="preserve"> board</w:t>
            </w:r>
          </w:p>
        </w:tc>
        <w:tc>
          <w:tcPr>
            <w:tcW w:w="825" w:type="dxa"/>
            <w:tcBorders>
              <w:top w:val="nil"/>
              <w:left w:val="nil"/>
              <w:bottom w:val="nil"/>
              <w:right w:val="nil"/>
            </w:tcBorders>
            <w:shd w:val="clear" w:color="auto" w:fill="auto"/>
            <w:vAlign w:val="center"/>
          </w:tcPr>
          <w:p w14:paraId="6B6F7433"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4</w:t>
            </w:r>
          </w:p>
        </w:tc>
        <w:tc>
          <w:tcPr>
            <w:tcW w:w="1402" w:type="dxa"/>
            <w:tcBorders>
              <w:left w:val="nil"/>
              <w:right w:val="nil"/>
            </w:tcBorders>
            <w:shd w:val="clear" w:color="auto" w:fill="auto"/>
            <w:vAlign w:val="center"/>
          </w:tcPr>
          <w:p w14:paraId="2DC9B061"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0</w:t>
            </w:r>
          </w:p>
        </w:tc>
        <w:tc>
          <w:tcPr>
            <w:tcW w:w="1402" w:type="dxa"/>
            <w:tcBorders>
              <w:left w:val="nil"/>
              <w:right w:val="nil"/>
            </w:tcBorders>
            <w:shd w:val="clear" w:color="auto" w:fill="auto"/>
            <w:vAlign w:val="center"/>
          </w:tcPr>
          <w:p w14:paraId="2D8049CA"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w:t>
            </w:r>
          </w:p>
        </w:tc>
        <w:tc>
          <w:tcPr>
            <w:tcW w:w="1402" w:type="dxa"/>
            <w:tcBorders>
              <w:left w:val="nil"/>
              <w:right w:val="nil"/>
            </w:tcBorders>
            <w:shd w:val="clear" w:color="auto" w:fill="auto"/>
            <w:vAlign w:val="center"/>
          </w:tcPr>
          <w:p w14:paraId="2D9B87FA"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w:t>
            </w:r>
          </w:p>
        </w:tc>
        <w:tc>
          <w:tcPr>
            <w:tcW w:w="1403" w:type="dxa"/>
            <w:tcBorders>
              <w:left w:val="nil"/>
              <w:right w:val="nil"/>
            </w:tcBorders>
            <w:shd w:val="clear" w:color="auto" w:fill="auto"/>
            <w:vAlign w:val="center"/>
          </w:tcPr>
          <w:p w14:paraId="42BC4123"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w:t>
            </w:r>
          </w:p>
        </w:tc>
        <w:tc>
          <w:tcPr>
            <w:tcW w:w="1604" w:type="dxa"/>
            <w:tcBorders>
              <w:top w:val="nil"/>
              <w:left w:val="nil"/>
              <w:bottom w:val="nil"/>
              <w:right w:val="nil"/>
            </w:tcBorders>
            <w:shd w:val="clear" w:color="auto" w:fill="F2F2F2" w:themeFill="background1" w:themeFillShade="F2"/>
          </w:tcPr>
          <w:p w14:paraId="4B1BA1D9" w14:textId="7777777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Pr>
                <w:rFonts w:cs="Arial"/>
                <w:color w:val="auto"/>
                <w:szCs w:val="14"/>
                <w:lang w:eastAsia="en-US"/>
              </w:rPr>
              <w:t>-</w:t>
            </w:r>
          </w:p>
        </w:tc>
      </w:tr>
      <w:tr w:rsidR="00C93C5B" w:rsidRPr="00F35C44" w14:paraId="0366BA4B" w14:textId="77777777" w:rsidTr="00BD564D">
        <w:trPr>
          <w:trHeight w:hRule="exact" w:val="362"/>
        </w:trPr>
        <w:tc>
          <w:tcPr>
            <w:cnfStyle w:val="001000000000" w:firstRow="0" w:lastRow="0" w:firstColumn="1" w:lastColumn="0" w:oddVBand="0" w:evenVBand="0" w:oddHBand="0" w:evenHBand="0" w:firstRowFirstColumn="0" w:firstRowLastColumn="0" w:lastRowFirstColumn="0" w:lastRowLastColumn="0"/>
            <w:tcW w:w="1601" w:type="dxa"/>
            <w:tcBorders>
              <w:top w:val="nil"/>
              <w:left w:val="nil"/>
              <w:bottom w:val="nil"/>
              <w:right w:val="nil"/>
            </w:tcBorders>
            <w:vAlign w:val="center"/>
          </w:tcPr>
          <w:p w14:paraId="343B261F" w14:textId="5D31F90A" w:rsidR="00C93C5B" w:rsidRPr="00F35C44" w:rsidRDefault="00B70FB9" w:rsidP="00C93C5B">
            <w:pPr>
              <w:pStyle w:val="08-Tabelageral"/>
              <w:ind w:left="113"/>
              <w:jc w:val="left"/>
              <w:rPr>
                <w:rFonts w:cs="Arial"/>
                <w:b w:val="0"/>
                <w:snapToGrid w:val="0"/>
                <w:lang w:eastAsia="en-US"/>
              </w:rPr>
            </w:pPr>
            <w:r>
              <w:rPr>
                <w:rFonts w:cs="Arial"/>
                <w:b w:val="0"/>
                <w:snapToGrid w:val="0"/>
                <w:lang w:eastAsia="en-US"/>
              </w:rPr>
              <w:t xml:space="preserve">Board </w:t>
            </w:r>
            <w:proofErr w:type="spellStart"/>
            <w:r>
              <w:rPr>
                <w:rFonts w:cs="Arial"/>
                <w:b w:val="0"/>
                <w:snapToGrid w:val="0"/>
                <w:lang w:eastAsia="en-US"/>
              </w:rPr>
              <w:t>of</w:t>
            </w:r>
            <w:proofErr w:type="spellEnd"/>
            <w:r>
              <w:rPr>
                <w:rFonts w:cs="Arial"/>
                <w:b w:val="0"/>
                <w:snapToGrid w:val="0"/>
                <w:lang w:eastAsia="en-US"/>
              </w:rPr>
              <w:t xml:space="preserve"> </w:t>
            </w:r>
            <w:proofErr w:type="spellStart"/>
            <w:r>
              <w:rPr>
                <w:rFonts w:cs="Arial"/>
                <w:b w:val="0"/>
                <w:snapToGrid w:val="0"/>
                <w:lang w:eastAsia="en-US"/>
              </w:rPr>
              <w:t>Directors</w:t>
            </w:r>
            <w:proofErr w:type="spellEnd"/>
          </w:p>
        </w:tc>
        <w:tc>
          <w:tcPr>
            <w:tcW w:w="825" w:type="dxa"/>
            <w:tcBorders>
              <w:top w:val="nil"/>
              <w:left w:val="nil"/>
              <w:bottom w:val="nil"/>
              <w:right w:val="nil"/>
            </w:tcBorders>
            <w:vAlign w:val="center"/>
          </w:tcPr>
          <w:p w14:paraId="5C325232" w14:textId="77777777"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7</w:t>
            </w:r>
          </w:p>
        </w:tc>
        <w:tc>
          <w:tcPr>
            <w:tcW w:w="1402" w:type="dxa"/>
            <w:tcBorders>
              <w:left w:val="nil"/>
              <w:right w:val="nil"/>
            </w:tcBorders>
            <w:vAlign w:val="center"/>
          </w:tcPr>
          <w:p w14:paraId="11882753" w14:textId="77777777"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w:t>
            </w:r>
          </w:p>
        </w:tc>
        <w:tc>
          <w:tcPr>
            <w:tcW w:w="1402" w:type="dxa"/>
            <w:tcBorders>
              <w:left w:val="nil"/>
              <w:right w:val="nil"/>
            </w:tcBorders>
            <w:vAlign w:val="center"/>
          </w:tcPr>
          <w:p w14:paraId="2F5968DB" w14:textId="6A09D934"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14</w:t>
            </w:r>
            <w:r w:rsidR="00B70FB9">
              <w:rPr>
                <w:rFonts w:cs="Arial"/>
                <w:color w:val="auto"/>
                <w:szCs w:val="14"/>
                <w:lang w:eastAsia="en-US"/>
              </w:rPr>
              <w:t>.</w:t>
            </w:r>
            <w:r>
              <w:rPr>
                <w:rFonts w:cs="Arial"/>
                <w:color w:val="auto"/>
                <w:szCs w:val="14"/>
                <w:lang w:eastAsia="en-US"/>
              </w:rPr>
              <w:t>3%</w:t>
            </w:r>
          </w:p>
        </w:tc>
        <w:tc>
          <w:tcPr>
            <w:tcW w:w="1402" w:type="dxa"/>
            <w:tcBorders>
              <w:left w:val="nil"/>
              <w:right w:val="nil"/>
            </w:tcBorders>
            <w:vAlign w:val="center"/>
          </w:tcPr>
          <w:p w14:paraId="14185AE6" w14:textId="77777777"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2</w:t>
            </w:r>
          </w:p>
        </w:tc>
        <w:tc>
          <w:tcPr>
            <w:tcW w:w="1403" w:type="dxa"/>
            <w:tcBorders>
              <w:left w:val="nil"/>
              <w:right w:val="nil"/>
            </w:tcBorders>
            <w:vAlign w:val="center"/>
          </w:tcPr>
          <w:p w14:paraId="0563EC05" w14:textId="7884284A"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28</w:t>
            </w:r>
            <w:r w:rsidR="00B70FB9">
              <w:rPr>
                <w:rFonts w:cs="Arial"/>
                <w:color w:val="auto"/>
                <w:szCs w:val="14"/>
                <w:lang w:eastAsia="en-US"/>
              </w:rPr>
              <w:t>.</w:t>
            </w:r>
            <w:r>
              <w:rPr>
                <w:rFonts w:cs="Arial"/>
                <w:color w:val="auto"/>
                <w:szCs w:val="14"/>
                <w:lang w:eastAsia="en-US"/>
              </w:rPr>
              <w:t>6%</w:t>
            </w:r>
          </w:p>
        </w:tc>
        <w:tc>
          <w:tcPr>
            <w:tcW w:w="1604" w:type="dxa"/>
            <w:tcBorders>
              <w:top w:val="nil"/>
              <w:left w:val="nil"/>
              <w:bottom w:val="nil"/>
              <w:right w:val="nil"/>
            </w:tcBorders>
            <w:shd w:val="clear" w:color="auto" w:fill="F2F2F2" w:themeFill="background1" w:themeFillShade="F2"/>
          </w:tcPr>
          <w:p w14:paraId="656233B6" w14:textId="01E5FC29" w:rsidR="00C93C5B" w:rsidRPr="003E6037" w:rsidRDefault="00C93C5B" w:rsidP="00C93C5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Pr>
                <w:rFonts w:cs="Arial"/>
                <w:color w:val="auto"/>
                <w:szCs w:val="14"/>
                <w:lang w:eastAsia="en-US"/>
              </w:rPr>
              <w:t>(14</w:t>
            </w:r>
            <w:r w:rsidR="00B70FB9">
              <w:rPr>
                <w:rFonts w:cs="Arial"/>
                <w:color w:val="auto"/>
                <w:szCs w:val="14"/>
                <w:lang w:eastAsia="en-US"/>
              </w:rPr>
              <w:t>.</w:t>
            </w:r>
            <w:r>
              <w:rPr>
                <w:rFonts w:cs="Arial"/>
                <w:color w:val="auto"/>
                <w:szCs w:val="14"/>
                <w:lang w:eastAsia="en-US"/>
              </w:rPr>
              <w:t>3)</w:t>
            </w:r>
          </w:p>
        </w:tc>
      </w:tr>
      <w:tr w:rsidR="00C93C5B" w:rsidRPr="00F35C44" w14:paraId="7245147E" w14:textId="77777777" w:rsidTr="00BD564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601" w:type="dxa"/>
            <w:tcBorders>
              <w:top w:val="nil"/>
              <w:left w:val="nil"/>
              <w:bottom w:val="single" w:sz="4" w:space="0" w:color="9CC2E5" w:themeColor="accent1" w:themeTint="99"/>
              <w:right w:val="nil"/>
            </w:tcBorders>
            <w:shd w:val="clear" w:color="auto" w:fill="auto"/>
            <w:vAlign w:val="center"/>
            <w:hideMark/>
          </w:tcPr>
          <w:p w14:paraId="17057550" w14:textId="77777777" w:rsidR="00C93C5B" w:rsidRPr="00F35C44" w:rsidRDefault="00C93C5B" w:rsidP="00C93C5B">
            <w:pPr>
              <w:pStyle w:val="08-Tabelageral"/>
              <w:jc w:val="left"/>
              <w:rPr>
                <w:rFonts w:cs="Arial"/>
                <w:b w:val="0"/>
                <w:snapToGrid w:val="0"/>
                <w:lang w:eastAsia="en-US"/>
              </w:rPr>
            </w:pPr>
            <w:r>
              <w:rPr>
                <w:rFonts w:cs="Arial"/>
                <w:lang w:eastAsia="en-US"/>
              </w:rPr>
              <w:t>Total</w:t>
            </w:r>
            <w:r w:rsidRPr="00F35C44">
              <w:rPr>
                <w:rFonts w:cs="Arial"/>
                <w:lang w:eastAsia="en-US"/>
              </w:rPr>
              <w:t xml:space="preserve"> </w:t>
            </w:r>
          </w:p>
        </w:tc>
        <w:tc>
          <w:tcPr>
            <w:tcW w:w="825" w:type="dxa"/>
            <w:tcBorders>
              <w:top w:val="nil"/>
              <w:left w:val="nil"/>
              <w:bottom w:val="single" w:sz="4" w:space="0" w:color="9CC2E5" w:themeColor="accent1" w:themeTint="99"/>
              <w:right w:val="nil"/>
            </w:tcBorders>
            <w:shd w:val="clear" w:color="auto" w:fill="auto"/>
            <w:vAlign w:val="center"/>
          </w:tcPr>
          <w:p w14:paraId="47723C07" w14:textId="77777777" w:rsidR="00C93C5B" w:rsidRPr="002304B5"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szCs w:val="14"/>
                <w:lang w:eastAsia="en-US"/>
              </w:rPr>
              <w:t>11</w:t>
            </w:r>
          </w:p>
        </w:tc>
        <w:tc>
          <w:tcPr>
            <w:tcW w:w="1402" w:type="dxa"/>
            <w:tcBorders>
              <w:left w:val="nil"/>
              <w:bottom w:val="single" w:sz="4" w:space="0" w:color="9CC2E5" w:themeColor="accent1" w:themeTint="99"/>
              <w:right w:val="nil"/>
            </w:tcBorders>
            <w:shd w:val="clear" w:color="auto" w:fill="auto"/>
            <w:vAlign w:val="center"/>
          </w:tcPr>
          <w:p w14:paraId="0475BAB4" w14:textId="77777777" w:rsidR="00C93C5B" w:rsidRPr="002304B5"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szCs w:val="14"/>
                <w:lang w:eastAsia="en-US"/>
              </w:rPr>
              <w:t>1</w:t>
            </w:r>
          </w:p>
        </w:tc>
        <w:tc>
          <w:tcPr>
            <w:tcW w:w="1402" w:type="dxa"/>
            <w:tcBorders>
              <w:left w:val="nil"/>
              <w:bottom w:val="single" w:sz="4" w:space="0" w:color="9CC2E5" w:themeColor="accent1" w:themeTint="99"/>
              <w:right w:val="nil"/>
            </w:tcBorders>
            <w:shd w:val="clear" w:color="auto" w:fill="auto"/>
            <w:vAlign w:val="center"/>
          </w:tcPr>
          <w:p w14:paraId="33883CEB" w14:textId="71ED95B6" w:rsidR="00C93C5B" w:rsidRPr="002304B5"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Pr>
                <w:rFonts w:cs="Arial"/>
                <w:b/>
                <w:bCs/>
                <w:color w:val="auto"/>
                <w:szCs w:val="14"/>
                <w:lang w:eastAsia="en-US"/>
              </w:rPr>
              <w:t>9</w:t>
            </w:r>
            <w:r w:rsidR="00B70FB9">
              <w:rPr>
                <w:rFonts w:cs="Arial"/>
                <w:b/>
                <w:bCs/>
                <w:color w:val="auto"/>
                <w:szCs w:val="14"/>
                <w:lang w:eastAsia="en-US"/>
              </w:rPr>
              <w:t>.</w:t>
            </w:r>
            <w:r>
              <w:rPr>
                <w:rFonts w:cs="Arial"/>
                <w:b/>
                <w:bCs/>
                <w:color w:val="auto"/>
                <w:szCs w:val="14"/>
                <w:lang w:eastAsia="en-US"/>
              </w:rPr>
              <w:t>1%</w:t>
            </w:r>
          </w:p>
        </w:tc>
        <w:tc>
          <w:tcPr>
            <w:tcW w:w="1402" w:type="dxa"/>
            <w:tcBorders>
              <w:left w:val="nil"/>
              <w:bottom w:val="single" w:sz="4" w:space="0" w:color="9CC2E5" w:themeColor="accent1" w:themeTint="99"/>
              <w:right w:val="nil"/>
            </w:tcBorders>
            <w:shd w:val="clear" w:color="auto" w:fill="auto"/>
            <w:vAlign w:val="center"/>
          </w:tcPr>
          <w:p w14:paraId="0C95DFB0" w14:textId="77777777" w:rsidR="00C93C5B" w:rsidRPr="002304B5"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szCs w:val="14"/>
                <w:lang w:eastAsia="en-US"/>
              </w:rPr>
              <w:t>2</w:t>
            </w:r>
          </w:p>
        </w:tc>
        <w:tc>
          <w:tcPr>
            <w:tcW w:w="1403" w:type="dxa"/>
            <w:tcBorders>
              <w:left w:val="nil"/>
              <w:bottom w:val="single" w:sz="4" w:space="0" w:color="9CC2E5" w:themeColor="accent1" w:themeTint="99"/>
              <w:right w:val="nil"/>
            </w:tcBorders>
            <w:shd w:val="clear" w:color="auto" w:fill="auto"/>
            <w:vAlign w:val="center"/>
          </w:tcPr>
          <w:p w14:paraId="6CB30E05" w14:textId="0E131180" w:rsidR="00C93C5B" w:rsidRPr="002304B5"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Pr>
                <w:rFonts w:cs="Arial"/>
                <w:b/>
                <w:bCs/>
                <w:color w:val="auto"/>
                <w:szCs w:val="14"/>
                <w:lang w:eastAsia="en-US"/>
              </w:rPr>
              <w:t>18</w:t>
            </w:r>
            <w:r w:rsidR="00B70FB9">
              <w:rPr>
                <w:rFonts w:cs="Arial"/>
                <w:b/>
                <w:bCs/>
                <w:color w:val="auto"/>
                <w:szCs w:val="14"/>
                <w:lang w:eastAsia="en-US"/>
              </w:rPr>
              <w:t>.</w:t>
            </w:r>
            <w:r>
              <w:rPr>
                <w:rFonts w:cs="Arial"/>
                <w:b/>
                <w:bCs/>
                <w:color w:val="auto"/>
                <w:szCs w:val="14"/>
                <w:lang w:eastAsia="en-US"/>
              </w:rPr>
              <w:t>2%</w:t>
            </w:r>
          </w:p>
        </w:tc>
        <w:tc>
          <w:tcPr>
            <w:tcW w:w="1604" w:type="dxa"/>
            <w:tcBorders>
              <w:top w:val="nil"/>
              <w:left w:val="nil"/>
              <w:bottom w:val="single" w:sz="4" w:space="0" w:color="9CC2E5" w:themeColor="accent1" w:themeTint="99"/>
              <w:right w:val="nil"/>
            </w:tcBorders>
            <w:shd w:val="clear" w:color="auto" w:fill="F2F2F2" w:themeFill="background1" w:themeFillShade="F2"/>
          </w:tcPr>
          <w:p w14:paraId="2C2DC0AA" w14:textId="08EBDA67" w:rsidR="00C93C5B" w:rsidRPr="003E6037" w:rsidRDefault="00C93C5B" w:rsidP="00C93C5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Pr>
                <w:rFonts w:cs="Arial"/>
                <w:b/>
                <w:bCs/>
                <w:color w:val="auto"/>
                <w:szCs w:val="14"/>
                <w:lang w:eastAsia="en-US"/>
              </w:rPr>
              <w:t>(9</w:t>
            </w:r>
            <w:r w:rsidR="00B70FB9">
              <w:rPr>
                <w:rFonts w:cs="Arial"/>
                <w:b/>
                <w:bCs/>
                <w:color w:val="auto"/>
                <w:szCs w:val="14"/>
                <w:lang w:eastAsia="en-US"/>
              </w:rPr>
              <w:t>.</w:t>
            </w:r>
            <w:r>
              <w:rPr>
                <w:rFonts w:cs="Arial"/>
                <w:b/>
                <w:bCs/>
                <w:color w:val="auto"/>
                <w:szCs w:val="14"/>
                <w:lang w:eastAsia="en-US"/>
              </w:rPr>
              <w:t>1)</w:t>
            </w:r>
          </w:p>
        </w:tc>
      </w:tr>
    </w:tbl>
    <w:p w14:paraId="12D0DD88" w14:textId="77777777" w:rsidR="00C81A16" w:rsidRDefault="00C81A16" w:rsidP="00C81A16">
      <w:pPr>
        <w:pStyle w:val="05-Textonormal"/>
        <w:rPr>
          <w:rFonts w:cs="Arial"/>
          <w:lang w:val="en-US"/>
        </w:rPr>
      </w:pPr>
    </w:p>
    <w:p w14:paraId="4C7F1093" w14:textId="38C35167" w:rsidR="0099315B" w:rsidRDefault="0099315B" w:rsidP="00C81A16">
      <w:pPr>
        <w:pStyle w:val="05-Textonormal"/>
        <w:rPr>
          <w:rFonts w:cs="Arial"/>
          <w:lang w:val="en-US"/>
        </w:rPr>
      </w:pPr>
      <w:r w:rsidRPr="0099315B">
        <w:rPr>
          <w:rFonts w:cs="Arial"/>
          <w:lang w:val="en-US"/>
        </w:rPr>
        <w:t>BB Seguridade is part of the B3 Diversity Index (IDIVERSA B3), ranking among the companies with the best diversity scores on the Brazilian stock exchange. The Company does not differentiate compensation based on gender, race or any social marker. Salaries and role</w:t>
      </w:r>
      <w:r w:rsidRPr="0099315B">
        <w:rPr>
          <w:rFonts w:ascii="Cambria Math" w:hAnsi="Cambria Math" w:cs="Cambria Math"/>
          <w:lang w:val="en-US"/>
        </w:rPr>
        <w:t>‑</w:t>
      </w:r>
      <w:r w:rsidRPr="0099315B">
        <w:rPr>
          <w:rFonts w:cs="Arial"/>
          <w:lang w:val="en-US"/>
        </w:rPr>
        <w:t>related compensation are defined strictly according to the functions performed, ensuring equal treatment between men and women.</w:t>
      </w:r>
    </w:p>
    <w:p w14:paraId="772FBC26" w14:textId="77777777" w:rsidR="0099315B" w:rsidRDefault="0099315B" w:rsidP="00C81A16">
      <w:pPr>
        <w:pStyle w:val="05-Textonormal"/>
        <w:rPr>
          <w:rFonts w:cs="Arial"/>
          <w:lang w:val="en-US"/>
        </w:rPr>
      </w:pPr>
    </w:p>
    <w:p w14:paraId="010E3CC0" w14:textId="224F9AFB" w:rsidR="00BC754A" w:rsidRPr="008A2CB8" w:rsidRDefault="008F368D" w:rsidP="00B72C8E">
      <w:pPr>
        <w:pStyle w:val="01-TtulodeNota"/>
        <w:rPr>
          <w:color w:val="1F4E79" w:themeColor="accent1" w:themeShade="80"/>
          <w:lang w:val="en-US"/>
        </w:rPr>
      </w:pPr>
      <w:r w:rsidRPr="008A2CB8">
        <w:rPr>
          <w:color w:val="1F4E79" w:themeColor="accent1" w:themeShade="80"/>
          <w:lang w:val="en-US"/>
        </w:rPr>
        <w:t>FINANCIAL PERFORMANCE</w:t>
      </w:r>
    </w:p>
    <w:p w14:paraId="7D111AA3" w14:textId="40A92433" w:rsidR="008F368D" w:rsidRPr="008F368D" w:rsidRDefault="008F368D" w:rsidP="008F368D">
      <w:pPr>
        <w:pStyle w:val="06-Rmil"/>
        <w:jc w:val="both"/>
        <w:rPr>
          <w:rFonts w:cs="Arial"/>
          <w:b w:val="0"/>
          <w:sz w:val="18"/>
          <w:lang w:val="en-US"/>
        </w:rPr>
      </w:pPr>
      <w:r w:rsidRPr="008F368D">
        <w:rPr>
          <w:rFonts w:cs="Arial"/>
          <w:b w:val="0"/>
          <w:sz w:val="18"/>
          <w:lang w:val="en-US"/>
        </w:rPr>
        <w:t xml:space="preserve">As a holding company, BB </w:t>
      </w:r>
      <w:proofErr w:type="spellStart"/>
      <w:r w:rsidRPr="008F368D">
        <w:rPr>
          <w:rFonts w:cs="Arial"/>
          <w:b w:val="0"/>
          <w:sz w:val="18"/>
          <w:lang w:val="en-US"/>
        </w:rPr>
        <w:t>Seguridade’s</w:t>
      </w:r>
      <w:proofErr w:type="spellEnd"/>
      <w:r w:rsidRPr="008F368D">
        <w:rPr>
          <w:rFonts w:cs="Arial"/>
          <w:b w:val="0"/>
          <w:sz w:val="18"/>
          <w:lang w:val="en-US"/>
        </w:rPr>
        <w:t xml:space="preserve"> net income consists of the equity income arising from its investees, along with the holding standalone operating and financial income and expenses. </w:t>
      </w:r>
    </w:p>
    <w:p w14:paraId="3FD19C21" w14:textId="77777777" w:rsidR="00B72C8E" w:rsidRDefault="00B72C8E" w:rsidP="008F368D">
      <w:pPr>
        <w:pStyle w:val="06-Rmil"/>
        <w:jc w:val="both"/>
        <w:rPr>
          <w:rFonts w:cs="Arial"/>
          <w:b w:val="0"/>
          <w:sz w:val="18"/>
          <w:lang w:val="en-US"/>
        </w:rPr>
      </w:pPr>
    </w:p>
    <w:p w14:paraId="48C69403" w14:textId="65E5778D" w:rsidR="00BC754A" w:rsidRPr="008F368D" w:rsidRDefault="008F368D" w:rsidP="008F368D">
      <w:pPr>
        <w:pStyle w:val="06-Rmil"/>
        <w:jc w:val="both"/>
        <w:rPr>
          <w:rFonts w:cs="Arial"/>
          <w:lang w:val="en-US"/>
        </w:rPr>
      </w:pPr>
      <w:r w:rsidRPr="008F368D">
        <w:rPr>
          <w:rFonts w:cs="Arial"/>
          <w:b w:val="0"/>
          <w:sz w:val="18"/>
          <w:lang w:val="en-US"/>
        </w:rPr>
        <w:t xml:space="preserve">The table below presents BB </w:t>
      </w:r>
      <w:proofErr w:type="spellStart"/>
      <w:r w:rsidRPr="008F368D">
        <w:rPr>
          <w:rFonts w:cs="Arial"/>
          <w:b w:val="0"/>
          <w:sz w:val="18"/>
          <w:lang w:val="en-US"/>
        </w:rPr>
        <w:t>Seguridade´s</w:t>
      </w:r>
      <w:proofErr w:type="spellEnd"/>
      <w:r w:rsidRPr="008F368D">
        <w:rPr>
          <w:rFonts w:cs="Arial"/>
          <w:b w:val="0"/>
          <w:sz w:val="18"/>
          <w:lang w:val="en-US"/>
        </w:rPr>
        <w:t xml:space="preserve"> income statement for 202</w:t>
      </w:r>
      <w:r w:rsidR="00B72C8E">
        <w:rPr>
          <w:rFonts w:cs="Arial"/>
          <w:b w:val="0"/>
          <w:sz w:val="18"/>
          <w:lang w:val="en-US"/>
        </w:rPr>
        <w:t>5</w:t>
      </w:r>
      <w:r w:rsidRPr="008F368D">
        <w:rPr>
          <w:rFonts w:cs="Arial"/>
          <w:b w:val="0"/>
          <w:sz w:val="18"/>
          <w:lang w:val="en-US"/>
        </w:rPr>
        <w:t xml:space="preserve"> and 202</w:t>
      </w:r>
      <w:r w:rsidR="00B72C8E">
        <w:rPr>
          <w:rFonts w:cs="Arial"/>
          <w:b w:val="0"/>
          <w:sz w:val="18"/>
          <w:lang w:val="en-US"/>
        </w:rPr>
        <w:t>4</w:t>
      </w:r>
      <w:r w:rsidRPr="008F368D">
        <w:rPr>
          <w:rFonts w:cs="Arial"/>
          <w:b w:val="0"/>
          <w:sz w:val="18"/>
          <w:lang w:val="en-US"/>
        </w:rPr>
        <w:t xml:space="preserve">, </w:t>
      </w:r>
      <w:r w:rsidR="009F4CD6">
        <w:rPr>
          <w:rFonts w:cs="Arial"/>
          <w:b w:val="0"/>
          <w:sz w:val="18"/>
          <w:lang w:val="en-US"/>
        </w:rPr>
        <w:t xml:space="preserve">according to the IFRS 17 standards, </w:t>
      </w:r>
      <w:r w:rsidRPr="008F368D">
        <w:rPr>
          <w:rFonts w:cs="Arial"/>
          <w:b w:val="0"/>
          <w:sz w:val="18"/>
          <w:lang w:val="en-US"/>
        </w:rPr>
        <w:t>as well as the comments on the main variations of the year:</w:t>
      </w:r>
    </w:p>
    <w:p w14:paraId="052919D9" w14:textId="575D8214" w:rsidR="00BC754A" w:rsidRDefault="00BC754A" w:rsidP="00BC754A">
      <w:pPr>
        <w:pStyle w:val="01-TtulodeNota"/>
        <w:rPr>
          <w:b w:val="0"/>
          <w:sz w:val="14"/>
          <w:lang w:val="en-US"/>
        </w:rPr>
      </w:pPr>
      <w:r w:rsidRPr="008F368D">
        <w:rPr>
          <w:rFonts w:cs="Arial"/>
          <w:b w:val="0"/>
          <w:sz w:val="14"/>
          <w:szCs w:val="14"/>
          <w:lang w:val="en-US"/>
        </w:rPr>
        <w:t>Tabl</w:t>
      </w:r>
      <w:r w:rsidR="00CB0B73" w:rsidRPr="008F368D">
        <w:rPr>
          <w:rFonts w:cs="Arial"/>
          <w:b w:val="0"/>
          <w:sz w:val="14"/>
          <w:szCs w:val="14"/>
          <w:lang w:val="en-US"/>
        </w:rPr>
        <w:t>e</w:t>
      </w:r>
      <w:r w:rsidRPr="008F368D">
        <w:rPr>
          <w:rFonts w:cs="Arial"/>
          <w:b w:val="0"/>
          <w:sz w:val="14"/>
          <w:szCs w:val="14"/>
          <w:lang w:val="en-US"/>
        </w:rPr>
        <w:t xml:space="preserve"> </w:t>
      </w:r>
      <w:r w:rsidRPr="008F368D">
        <w:rPr>
          <w:rFonts w:cs="Arial"/>
          <w:b w:val="0"/>
          <w:sz w:val="14"/>
          <w:szCs w:val="14"/>
        </w:rPr>
        <w:fldChar w:fldCharType="begin"/>
      </w:r>
      <w:r w:rsidRPr="008F368D">
        <w:rPr>
          <w:rFonts w:cs="Arial"/>
          <w:b w:val="0"/>
          <w:sz w:val="14"/>
          <w:szCs w:val="14"/>
          <w:lang w:val="en-US"/>
        </w:rPr>
        <w:instrText xml:space="preserve"> SEQ Tabela \* ARABIC </w:instrText>
      </w:r>
      <w:r w:rsidRPr="008F368D">
        <w:rPr>
          <w:rFonts w:cs="Arial"/>
          <w:b w:val="0"/>
          <w:sz w:val="14"/>
          <w:szCs w:val="14"/>
        </w:rPr>
        <w:fldChar w:fldCharType="separate"/>
      </w:r>
      <w:r w:rsidR="00A12A48">
        <w:rPr>
          <w:rFonts w:cs="Arial"/>
          <w:b w:val="0"/>
          <w:noProof/>
          <w:sz w:val="14"/>
          <w:szCs w:val="14"/>
          <w:lang w:val="en-US"/>
        </w:rPr>
        <w:t>1</w:t>
      </w:r>
      <w:r w:rsidRPr="008F368D">
        <w:rPr>
          <w:rFonts w:cs="Arial"/>
          <w:b w:val="0"/>
          <w:noProof/>
          <w:sz w:val="14"/>
          <w:szCs w:val="14"/>
        </w:rPr>
        <w:fldChar w:fldCharType="end"/>
      </w:r>
      <w:r w:rsidRPr="008F368D">
        <w:rPr>
          <w:b w:val="0"/>
          <w:sz w:val="14"/>
          <w:lang w:val="en-US"/>
        </w:rPr>
        <w:t xml:space="preserve"> – </w:t>
      </w:r>
      <w:r w:rsidR="008F368D" w:rsidRPr="008F368D">
        <w:rPr>
          <w:b w:val="0"/>
          <w:sz w:val="14"/>
          <w:lang w:val="en-US"/>
        </w:rPr>
        <w:t>Financial performance</w:t>
      </w:r>
      <w:r w:rsidRPr="008F368D">
        <w:rPr>
          <w:b w:val="0"/>
          <w:sz w:val="14"/>
          <w:lang w:val="en-US"/>
        </w:rPr>
        <w:t xml:space="preserve"> | </w:t>
      </w:r>
      <w:r w:rsidR="008F368D" w:rsidRPr="008F368D">
        <w:rPr>
          <w:b w:val="0"/>
          <w:sz w:val="14"/>
          <w:lang w:val="en-US"/>
        </w:rPr>
        <w:t>Income statement –</w:t>
      </w:r>
      <w:r w:rsidRPr="008F368D">
        <w:rPr>
          <w:b w:val="0"/>
          <w:sz w:val="14"/>
          <w:lang w:val="en-US"/>
        </w:rPr>
        <w:t xml:space="preserve"> </w:t>
      </w:r>
      <w:r w:rsidR="003A77BD">
        <w:rPr>
          <w:b w:val="0"/>
          <w:sz w:val="14"/>
          <w:lang w:val="en-US"/>
        </w:rPr>
        <w:t>Parent</w:t>
      </w:r>
      <w:r w:rsidR="008F368D" w:rsidRPr="008F368D">
        <w:rPr>
          <w:b w:val="0"/>
          <w:sz w:val="14"/>
          <w:lang w:val="en-US"/>
        </w:rPr>
        <w:t>.</w:t>
      </w:r>
    </w:p>
    <w:tbl>
      <w:tblPr>
        <w:tblStyle w:val="TabeladeLista6Colorida-nfase5"/>
        <w:tblW w:w="9639" w:type="dxa"/>
        <w:tblLook w:val="04A0" w:firstRow="1" w:lastRow="0" w:firstColumn="1" w:lastColumn="0" w:noHBand="0" w:noVBand="1"/>
      </w:tblPr>
      <w:tblGrid>
        <w:gridCol w:w="4066"/>
        <w:gridCol w:w="1860"/>
        <w:gridCol w:w="1860"/>
        <w:gridCol w:w="1853"/>
      </w:tblGrid>
      <w:tr w:rsidR="007D7876" w:rsidRPr="006970A5" w14:paraId="1DB1F3F1" w14:textId="77777777" w:rsidTr="001607D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vAlign w:val="center"/>
          </w:tcPr>
          <w:p w14:paraId="6EA837DD" w14:textId="5BAB08CC" w:rsidR="007D7876" w:rsidRPr="006970A5" w:rsidRDefault="007D7876" w:rsidP="001607D7">
            <w:pPr>
              <w:pStyle w:val="08-Tabelageral"/>
              <w:jc w:val="left"/>
              <w:rPr>
                <w:rFonts w:cs="Arial"/>
                <w:lang w:eastAsia="en-US"/>
              </w:rPr>
            </w:pPr>
            <w:bookmarkStart w:id="0" w:name="_Hlk157580692"/>
            <w:r>
              <w:rPr>
                <w:rFonts w:cs="Arial"/>
                <w:lang w:eastAsia="en-US"/>
              </w:rPr>
              <w:t xml:space="preserve">BRL </w:t>
            </w:r>
            <w:proofErr w:type="spellStart"/>
            <w:r>
              <w:rPr>
                <w:rFonts w:cs="Arial"/>
                <w:lang w:eastAsia="en-US"/>
              </w:rPr>
              <w:t>thousand</w:t>
            </w:r>
            <w:proofErr w:type="spellEnd"/>
          </w:p>
        </w:tc>
        <w:tc>
          <w:tcPr>
            <w:tcW w:w="1860" w:type="dxa"/>
            <w:vMerge w:val="restart"/>
            <w:tcBorders>
              <w:top w:val="single" w:sz="2" w:space="0" w:color="8EAADB" w:themeColor="accent5" w:themeTint="99"/>
              <w:left w:val="nil"/>
              <w:bottom w:val="single" w:sz="2" w:space="0" w:color="8EAADB" w:themeColor="accent5" w:themeTint="99"/>
              <w:right w:val="nil"/>
            </w:tcBorders>
            <w:vAlign w:val="center"/>
            <w:hideMark/>
          </w:tcPr>
          <w:p w14:paraId="46741032" w14:textId="14D8E7EA" w:rsidR="007D7876" w:rsidRPr="009E13DC" w:rsidRDefault="007D7876" w:rsidP="001607D7">
            <w:pPr>
              <w:pStyle w:val="08-Tabelageral"/>
              <w:ind w:right="-57"/>
              <w:cnfStyle w:val="100000000000" w:firstRow="1" w:lastRow="0" w:firstColumn="0" w:lastColumn="0" w:oddVBand="0" w:evenVBand="0" w:oddHBand="0" w:evenHBand="0" w:firstRowFirstColumn="0" w:firstRowLastColumn="0" w:lastRowFirstColumn="0" w:lastRowLastColumn="0"/>
              <w:rPr>
                <w:rFonts w:cs="Arial"/>
                <w:color w:val="auto"/>
                <w:lang w:eastAsia="en-US"/>
              </w:rPr>
            </w:pPr>
            <w:r w:rsidRPr="009E13DC">
              <w:rPr>
                <w:rFonts w:cs="Arial"/>
                <w:color w:val="auto"/>
                <w:lang w:eastAsia="en-US"/>
              </w:rPr>
              <w:t>FY 202</w:t>
            </w:r>
            <w:r w:rsidR="009E13DC" w:rsidRPr="009E13DC">
              <w:rPr>
                <w:rFonts w:cs="Arial"/>
                <w:color w:val="auto"/>
                <w:lang w:eastAsia="en-US"/>
              </w:rPr>
              <w:t>5</w:t>
            </w:r>
          </w:p>
        </w:tc>
        <w:tc>
          <w:tcPr>
            <w:tcW w:w="1860" w:type="dxa"/>
            <w:vMerge w:val="restart"/>
            <w:tcBorders>
              <w:top w:val="single" w:sz="2" w:space="0" w:color="8EAADB" w:themeColor="accent5" w:themeTint="99"/>
              <w:left w:val="nil"/>
              <w:bottom w:val="single" w:sz="2" w:space="0" w:color="8EAADB" w:themeColor="accent5" w:themeTint="99"/>
              <w:right w:val="nil"/>
            </w:tcBorders>
            <w:vAlign w:val="center"/>
            <w:hideMark/>
          </w:tcPr>
          <w:p w14:paraId="6D9E3231" w14:textId="6B0B497F" w:rsidR="007D7876" w:rsidRPr="009E13DC" w:rsidRDefault="007D7876" w:rsidP="009F4CD6">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bCs w:val="0"/>
                <w:color w:val="auto"/>
                <w:lang w:eastAsia="en-US"/>
              </w:rPr>
            </w:pPr>
            <w:r w:rsidRPr="009E13DC">
              <w:rPr>
                <w:rFonts w:cs="Arial"/>
                <w:color w:val="auto"/>
                <w:lang w:eastAsia="en-US"/>
              </w:rPr>
              <w:t>FY 202</w:t>
            </w:r>
            <w:r w:rsidR="009E13DC" w:rsidRPr="009E13DC">
              <w:rPr>
                <w:rFonts w:cs="Arial"/>
                <w:color w:val="auto"/>
                <w:lang w:eastAsia="en-US"/>
              </w:rPr>
              <w:t>4</w:t>
            </w:r>
          </w:p>
        </w:tc>
        <w:tc>
          <w:tcPr>
            <w:tcW w:w="1853" w:type="dxa"/>
            <w:tcBorders>
              <w:top w:val="single" w:sz="2" w:space="0" w:color="8EAADB" w:themeColor="accent5" w:themeTint="99"/>
              <w:left w:val="nil"/>
              <w:bottom w:val="nil"/>
              <w:right w:val="nil"/>
            </w:tcBorders>
            <w:vAlign w:val="center"/>
            <w:hideMark/>
          </w:tcPr>
          <w:p w14:paraId="68F86E72" w14:textId="649818EC" w:rsidR="007D7876" w:rsidRPr="009E13DC" w:rsidRDefault="0099315B" w:rsidP="001607D7">
            <w:pPr>
              <w:pStyle w:val="08-Tabelageral"/>
              <w:ind w:right="-57"/>
              <w:cnfStyle w:val="100000000000" w:firstRow="1" w:lastRow="0" w:firstColumn="0" w:lastColumn="0" w:oddVBand="0" w:evenVBand="0" w:oddHBand="0" w:evenHBand="0" w:firstRowFirstColumn="0" w:firstRowLastColumn="0" w:lastRowFirstColumn="0" w:lastRowLastColumn="0"/>
              <w:rPr>
                <w:rFonts w:cs="Arial"/>
                <w:color w:val="auto"/>
                <w:lang w:eastAsia="en-US"/>
              </w:rPr>
            </w:pPr>
            <w:proofErr w:type="spellStart"/>
            <w:proofErr w:type="gramStart"/>
            <w:r w:rsidRPr="009E13DC">
              <w:rPr>
                <w:rFonts w:cs="Arial"/>
                <w:color w:val="auto"/>
                <w:lang w:eastAsia="en-US"/>
              </w:rPr>
              <w:t>Chg</w:t>
            </w:r>
            <w:proofErr w:type="spellEnd"/>
            <w:r w:rsidR="007D7876" w:rsidRPr="009E13DC">
              <w:rPr>
                <w:rFonts w:cs="Arial"/>
                <w:color w:val="auto"/>
                <w:lang w:eastAsia="en-US"/>
              </w:rPr>
              <w:t>.%</w:t>
            </w:r>
            <w:proofErr w:type="gramEnd"/>
          </w:p>
        </w:tc>
      </w:tr>
      <w:tr w:rsidR="007D7876" w:rsidRPr="006970A5" w14:paraId="40E227EB" w14:textId="77777777" w:rsidTr="001607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shd w:val="clear" w:color="auto" w:fill="auto"/>
          </w:tcPr>
          <w:p w14:paraId="4EE826F0" w14:textId="77777777" w:rsidR="007D7876" w:rsidRPr="006970A5" w:rsidRDefault="007D7876" w:rsidP="001607D7">
            <w:pPr>
              <w:pStyle w:val="08-Tabelageral"/>
              <w:jc w:val="left"/>
              <w:rPr>
                <w:rFonts w:cs="Arial"/>
                <w:bCs w:val="0"/>
                <w:szCs w:val="14"/>
                <w:lang w:eastAsia="en-US"/>
              </w:rPr>
            </w:pPr>
          </w:p>
        </w:tc>
        <w:tc>
          <w:tcPr>
            <w:tcW w:w="0" w:type="auto"/>
            <w:vMerge/>
            <w:tcBorders>
              <w:top w:val="single" w:sz="2" w:space="0" w:color="8EAADB" w:themeColor="accent5" w:themeTint="99"/>
              <w:left w:val="nil"/>
              <w:bottom w:val="single" w:sz="2" w:space="0" w:color="8EAADB" w:themeColor="accent5" w:themeTint="99"/>
              <w:right w:val="nil"/>
            </w:tcBorders>
            <w:shd w:val="clear" w:color="auto" w:fill="auto"/>
            <w:vAlign w:val="center"/>
            <w:hideMark/>
          </w:tcPr>
          <w:p w14:paraId="3B2A9C7B" w14:textId="77777777" w:rsidR="007D7876" w:rsidRPr="009E13DC" w:rsidRDefault="007D7876" w:rsidP="001607D7">
            <w:pPr>
              <w:cnfStyle w:val="000000100000" w:firstRow="0" w:lastRow="0" w:firstColumn="0" w:lastColumn="0" w:oddVBand="0" w:evenVBand="0" w:oddHBand="1" w:evenHBand="0" w:firstRowFirstColumn="0" w:firstRowLastColumn="0" w:lastRowFirstColumn="0" w:lastRowLastColumn="0"/>
              <w:rPr>
                <w:rFonts w:eastAsia="Times New Roman" w:cs="Arial"/>
                <w:b/>
                <w:bCs/>
                <w:color w:val="auto"/>
                <w:spacing w:val="-2"/>
                <w:sz w:val="14"/>
                <w:szCs w:val="18"/>
              </w:rPr>
            </w:pPr>
          </w:p>
        </w:tc>
        <w:tc>
          <w:tcPr>
            <w:tcW w:w="0" w:type="auto"/>
            <w:vMerge/>
            <w:tcBorders>
              <w:top w:val="single" w:sz="2" w:space="0" w:color="8EAADB" w:themeColor="accent5" w:themeTint="99"/>
              <w:left w:val="nil"/>
              <w:bottom w:val="single" w:sz="2" w:space="0" w:color="8EAADB" w:themeColor="accent5" w:themeTint="99"/>
              <w:right w:val="nil"/>
            </w:tcBorders>
            <w:shd w:val="clear" w:color="auto" w:fill="auto"/>
            <w:vAlign w:val="center"/>
            <w:hideMark/>
          </w:tcPr>
          <w:p w14:paraId="6CC1E59C" w14:textId="77777777" w:rsidR="007D7876" w:rsidRPr="009E13DC" w:rsidRDefault="007D7876" w:rsidP="001607D7">
            <w:pPr>
              <w:cnfStyle w:val="000000100000" w:firstRow="0" w:lastRow="0" w:firstColumn="0" w:lastColumn="0" w:oddVBand="0" w:evenVBand="0" w:oddHBand="1" w:evenHBand="0" w:firstRowFirstColumn="0" w:firstRowLastColumn="0" w:lastRowFirstColumn="0" w:lastRowLastColumn="0"/>
              <w:rPr>
                <w:rFonts w:eastAsia="Times New Roman" w:cs="Arial"/>
                <w:b/>
                <w:bCs/>
                <w:color w:val="auto"/>
                <w:spacing w:val="-2"/>
                <w:sz w:val="14"/>
                <w:szCs w:val="18"/>
              </w:rPr>
            </w:pPr>
          </w:p>
        </w:tc>
        <w:tc>
          <w:tcPr>
            <w:tcW w:w="1853" w:type="dxa"/>
            <w:tcBorders>
              <w:top w:val="nil"/>
              <w:left w:val="nil"/>
              <w:bottom w:val="single" w:sz="2" w:space="0" w:color="8EAADB" w:themeColor="accent5" w:themeTint="99"/>
              <w:right w:val="nil"/>
            </w:tcBorders>
            <w:shd w:val="clear" w:color="auto" w:fill="auto"/>
            <w:vAlign w:val="center"/>
            <w:hideMark/>
          </w:tcPr>
          <w:p w14:paraId="65928416" w14:textId="0978505D" w:rsidR="007D7876" w:rsidRPr="009E13DC" w:rsidRDefault="007D7876" w:rsidP="001607D7">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sidRPr="009E13DC">
              <w:rPr>
                <w:rFonts w:cs="Arial"/>
                <w:b/>
                <w:color w:val="auto"/>
                <w:lang w:eastAsia="en-US"/>
              </w:rPr>
              <w:t>on</w:t>
            </w:r>
            <w:proofErr w:type="spellEnd"/>
            <w:r w:rsidRPr="009E13DC">
              <w:rPr>
                <w:rFonts w:cs="Arial"/>
                <w:b/>
                <w:color w:val="auto"/>
                <w:lang w:eastAsia="en-US"/>
              </w:rPr>
              <w:t xml:space="preserve"> 202</w:t>
            </w:r>
            <w:r w:rsidR="009E13DC" w:rsidRPr="009E13DC">
              <w:rPr>
                <w:rFonts w:cs="Arial"/>
                <w:b/>
                <w:color w:val="auto"/>
                <w:lang w:eastAsia="en-US"/>
              </w:rPr>
              <w:t>4</w:t>
            </w:r>
          </w:p>
        </w:tc>
      </w:tr>
      <w:tr w:rsidR="009E13DC" w:rsidRPr="006970A5" w14:paraId="48856DAE" w14:textId="77777777" w:rsidTr="005F38A5">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3F2239BD" w14:textId="3BAE391F" w:rsidR="009E13DC" w:rsidRPr="006970A5" w:rsidRDefault="009E13DC" w:rsidP="009E13DC">
            <w:pPr>
              <w:pStyle w:val="08-Tabelageral"/>
              <w:jc w:val="left"/>
              <w:rPr>
                <w:rFonts w:cs="Arial"/>
                <w:snapToGrid w:val="0"/>
                <w:lang w:eastAsia="en-US"/>
              </w:rPr>
            </w:pPr>
            <w:r w:rsidRPr="008F368D">
              <w:rPr>
                <w:rFonts w:cs="Arial"/>
                <w:lang w:eastAsia="en-US"/>
              </w:rPr>
              <w:t>Equity income</w:t>
            </w:r>
          </w:p>
        </w:tc>
        <w:tc>
          <w:tcPr>
            <w:tcW w:w="1860" w:type="dxa"/>
            <w:tcBorders>
              <w:top w:val="single" w:sz="2" w:space="0" w:color="8EAADB" w:themeColor="accent5" w:themeTint="99"/>
              <w:left w:val="nil"/>
              <w:bottom w:val="nil"/>
              <w:right w:val="nil"/>
            </w:tcBorders>
            <w:vAlign w:val="center"/>
            <w:hideMark/>
          </w:tcPr>
          <w:p w14:paraId="1F0DD98F" w14:textId="6E12A9BF"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color w:val="auto"/>
                <w:szCs w:val="14"/>
                <w:lang w:eastAsia="en-US"/>
              </w:rPr>
              <w:t>8</w:t>
            </w:r>
            <w:r w:rsidR="00882F2E">
              <w:rPr>
                <w:rFonts w:cs="Arial"/>
                <w:b/>
                <w:color w:val="auto"/>
                <w:szCs w:val="14"/>
                <w:lang w:eastAsia="en-US"/>
              </w:rPr>
              <w:t>,</w:t>
            </w:r>
            <w:r w:rsidRPr="00725CD4">
              <w:rPr>
                <w:rFonts w:cs="Arial"/>
                <w:b/>
                <w:color w:val="auto"/>
                <w:szCs w:val="14"/>
                <w:lang w:eastAsia="en-US"/>
              </w:rPr>
              <w:t>956</w:t>
            </w:r>
            <w:r w:rsidR="00882F2E">
              <w:rPr>
                <w:rFonts w:cs="Arial"/>
                <w:b/>
                <w:color w:val="auto"/>
                <w:szCs w:val="14"/>
                <w:lang w:eastAsia="en-US"/>
              </w:rPr>
              <w:t>,</w:t>
            </w:r>
            <w:r w:rsidRPr="00725CD4">
              <w:rPr>
                <w:rFonts w:cs="Arial"/>
                <w:b/>
                <w:color w:val="auto"/>
                <w:szCs w:val="14"/>
                <w:lang w:eastAsia="en-US"/>
              </w:rPr>
              <w:t>297</w:t>
            </w:r>
          </w:p>
        </w:tc>
        <w:tc>
          <w:tcPr>
            <w:tcW w:w="1860" w:type="dxa"/>
            <w:tcBorders>
              <w:top w:val="single" w:sz="2" w:space="0" w:color="8EAADB" w:themeColor="accent5" w:themeTint="99"/>
              <w:left w:val="nil"/>
              <w:bottom w:val="nil"/>
              <w:right w:val="nil"/>
            </w:tcBorders>
            <w:vAlign w:val="center"/>
            <w:hideMark/>
          </w:tcPr>
          <w:p w14:paraId="71600AE1" w14:textId="3644B9CD"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3E6037">
              <w:rPr>
                <w:rFonts w:cs="Arial"/>
                <w:b/>
                <w:color w:val="auto"/>
                <w:szCs w:val="14"/>
                <w:lang w:eastAsia="en-US"/>
              </w:rPr>
              <w:t>8</w:t>
            </w:r>
            <w:r w:rsidR="00882F2E">
              <w:rPr>
                <w:rFonts w:cs="Arial"/>
                <w:b/>
                <w:color w:val="auto"/>
                <w:szCs w:val="14"/>
                <w:lang w:eastAsia="en-US"/>
              </w:rPr>
              <w:t>,</w:t>
            </w:r>
            <w:r w:rsidRPr="003E6037">
              <w:rPr>
                <w:rFonts w:cs="Arial"/>
                <w:b/>
                <w:color w:val="auto"/>
                <w:szCs w:val="14"/>
                <w:lang w:eastAsia="en-US"/>
              </w:rPr>
              <w:t>683</w:t>
            </w:r>
            <w:r w:rsidR="00882F2E">
              <w:rPr>
                <w:rFonts w:cs="Arial"/>
                <w:b/>
                <w:color w:val="auto"/>
                <w:szCs w:val="14"/>
                <w:lang w:eastAsia="en-US"/>
              </w:rPr>
              <w:t>,</w:t>
            </w:r>
            <w:r w:rsidRPr="003E6037">
              <w:rPr>
                <w:rFonts w:cs="Arial"/>
                <w:b/>
                <w:color w:val="auto"/>
                <w:szCs w:val="14"/>
                <w:lang w:eastAsia="en-US"/>
              </w:rPr>
              <w:t>817</w:t>
            </w:r>
          </w:p>
        </w:tc>
        <w:tc>
          <w:tcPr>
            <w:tcW w:w="1853" w:type="dxa"/>
            <w:tcBorders>
              <w:top w:val="single" w:sz="2" w:space="0" w:color="8EAADB" w:themeColor="accent5" w:themeTint="99"/>
              <w:left w:val="nil"/>
              <w:bottom w:val="nil"/>
              <w:right w:val="nil"/>
            </w:tcBorders>
            <w:hideMark/>
          </w:tcPr>
          <w:p w14:paraId="0C8E41F8" w14:textId="309015CE"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bCs/>
                <w:color w:val="auto"/>
                <w:szCs w:val="14"/>
              </w:rPr>
              <w:t>3</w:t>
            </w:r>
            <w:r w:rsidR="00882F2E">
              <w:rPr>
                <w:rFonts w:cs="Arial"/>
                <w:b/>
                <w:bCs/>
                <w:color w:val="auto"/>
                <w:szCs w:val="14"/>
              </w:rPr>
              <w:t>.</w:t>
            </w:r>
            <w:r w:rsidRPr="00725CD4">
              <w:rPr>
                <w:rFonts w:cs="Arial"/>
                <w:b/>
                <w:bCs/>
                <w:color w:val="auto"/>
                <w:szCs w:val="14"/>
              </w:rPr>
              <w:t>1</w:t>
            </w:r>
          </w:p>
        </w:tc>
      </w:tr>
      <w:tr w:rsidR="009E13DC" w:rsidRPr="006970A5" w14:paraId="4378B243" w14:textId="77777777" w:rsidTr="005F38A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41CD9AF5" w14:textId="44D241EF" w:rsidR="009E13DC" w:rsidRPr="006970A5" w:rsidRDefault="009E13DC" w:rsidP="009E13DC">
            <w:pPr>
              <w:pStyle w:val="08-Tabelageral"/>
              <w:ind w:left="113"/>
              <w:jc w:val="left"/>
              <w:rPr>
                <w:rFonts w:cs="Arial"/>
                <w:b w:val="0"/>
                <w:snapToGrid w:val="0"/>
                <w:lang w:eastAsia="en-US"/>
              </w:rPr>
            </w:pPr>
            <w:r w:rsidRPr="008F368D">
              <w:rPr>
                <w:rFonts w:cs="Arial"/>
                <w:b w:val="0"/>
                <w:lang w:eastAsia="en-US"/>
              </w:rPr>
              <w:t xml:space="preserve">BB MAPFRE Participações </w:t>
            </w:r>
            <w:proofErr w:type="gramStart"/>
            <w:r w:rsidRPr="008F368D">
              <w:rPr>
                <w:rFonts w:cs="Arial"/>
                <w:b w:val="0"/>
                <w:lang w:eastAsia="en-US"/>
              </w:rPr>
              <w:t>S</w:t>
            </w:r>
            <w:r>
              <w:rPr>
                <w:rFonts w:cs="Arial"/>
                <w:b w:val="0"/>
                <w:lang w:eastAsia="en-US"/>
              </w:rPr>
              <w:t>,</w:t>
            </w:r>
            <w:r w:rsidRPr="008F368D">
              <w:rPr>
                <w:rFonts w:cs="Arial"/>
                <w:b w:val="0"/>
                <w:lang w:eastAsia="en-US"/>
              </w:rPr>
              <w:t>A</w:t>
            </w:r>
            <w:proofErr w:type="gramEnd"/>
            <w:r>
              <w:rPr>
                <w:rFonts w:cs="Arial"/>
                <w:b w:val="0"/>
                <w:lang w:eastAsia="en-US"/>
              </w:rPr>
              <w:t>,</w:t>
            </w:r>
            <w:r w:rsidRPr="008F368D">
              <w:rPr>
                <w:rFonts w:cs="Arial"/>
                <w:b w:val="0"/>
                <w:lang w:eastAsia="en-US"/>
              </w:rPr>
              <w:t xml:space="preserve"> (</w:t>
            </w:r>
            <w:proofErr w:type="spellStart"/>
            <w:r w:rsidRPr="008F368D">
              <w:rPr>
                <w:rFonts w:cs="Arial"/>
                <w:b w:val="0"/>
                <w:lang w:eastAsia="en-US"/>
              </w:rPr>
              <w:t>Brasilseg</w:t>
            </w:r>
            <w:proofErr w:type="spellEnd"/>
            <w:r>
              <w:rPr>
                <w:rFonts w:cs="Arial"/>
                <w:b w:val="0"/>
                <w:lang w:eastAsia="en-US"/>
              </w:rPr>
              <w:t xml:space="preserve"> </w:t>
            </w:r>
            <w:proofErr w:type="spellStart"/>
            <w:r>
              <w:rPr>
                <w:rFonts w:cs="Arial"/>
                <w:b w:val="0"/>
                <w:lang w:eastAsia="en-US"/>
              </w:rPr>
              <w:t>and</w:t>
            </w:r>
            <w:proofErr w:type="spellEnd"/>
            <w:r>
              <w:rPr>
                <w:rFonts w:cs="Arial"/>
                <w:b w:val="0"/>
                <w:lang w:eastAsia="en-US"/>
              </w:rPr>
              <w:t xml:space="preserve"> ABS</w:t>
            </w:r>
            <w:r w:rsidRPr="008F368D">
              <w:rPr>
                <w:rFonts w:cs="Arial"/>
                <w:b w:val="0"/>
                <w:lang w:eastAsia="en-US"/>
              </w:rPr>
              <w:t>)</w:t>
            </w:r>
          </w:p>
        </w:tc>
        <w:tc>
          <w:tcPr>
            <w:tcW w:w="1860" w:type="dxa"/>
            <w:tcBorders>
              <w:top w:val="nil"/>
              <w:left w:val="nil"/>
              <w:bottom w:val="nil"/>
              <w:right w:val="nil"/>
            </w:tcBorders>
            <w:shd w:val="clear" w:color="auto" w:fill="auto"/>
            <w:vAlign w:val="center"/>
            <w:hideMark/>
          </w:tcPr>
          <w:p w14:paraId="07BE6E51" w14:textId="69B52C7A"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3</w:t>
            </w:r>
            <w:r w:rsidR="00882F2E">
              <w:rPr>
                <w:rFonts w:cs="Arial"/>
                <w:color w:val="auto"/>
                <w:szCs w:val="14"/>
                <w:lang w:eastAsia="en-US"/>
              </w:rPr>
              <w:t>,</w:t>
            </w:r>
            <w:r>
              <w:rPr>
                <w:rFonts w:cs="Arial"/>
                <w:color w:val="auto"/>
                <w:szCs w:val="14"/>
                <w:lang w:eastAsia="en-US"/>
              </w:rPr>
              <w:t>781</w:t>
            </w:r>
            <w:r w:rsidR="00882F2E">
              <w:rPr>
                <w:rFonts w:cs="Arial"/>
                <w:color w:val="auto"/>
                <w:szCs w:val="14"/>
                <w:lang w:eastAsia="en-US"/>
              </w:rPr>
              <w:t>,</w:t>
            </w:r>
            <w:r>
              <w:rPr>
                <w:rFonts w:cs="Arial"/>
                <w:color w:val="auto"/>
                <w:szCs w:val="14"/>
                <w:lang w:eastAsia="en-US"/>
              </w:rPr>
              <w:t>342</w:t>
            </w:r>
          </w:p>
        </w:tc>
        <w:tc>
          <w:tcPr>
            <w:tcW w:w="1860" w:type="dxa"/>
            <w:tcBorders>
              <w:top w:val="nil"/>
              <w:left w:val="nil"/>
              <w:bottom w:val="nil"/>
              <w:right w:val="nil"/>
            </w:tcBorders>
            <w:shd w:val="clear" w:color="auto" w:fill="auto"/>
            <w:vAlign w:val="center"/>
            <w:hideMark/>
          </w:tcPr>
          <w:p w14:paraId="2F9ACD94" w14:textId="604B71E9"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color w:val="auto"/>
                <w:szCs w:val="14"/>
                <w:lang w:eastAsia="en-US"/>
              </w:rPr>
              <w:t>3</w:t>
            </w:r>
            <w:r w:rsidR="00882F2E">
              <w:rPr>
                <w:rFonts w:cs="Arial"/>
                <w:color w:val="auto"/>
                <w:szCs w:val="14"/>
                <w:lang w:eastAsia="en-US"/>
              </w:rPr>
              <w:t>,</w:t>
            </w:r>
            <w:r w:rsidRPr="003E6037">
              <w:rPr>
                <w:rFonts w:cs="Arial"/>
                <w:color w:val="auto"/>
                <w:szCs w:val="14"/>
                <w:lang w:eastAsia="en-US"/>
              </w:rPr>
              <w:t>295</w:t>
            </w:r>
            <w:r w:rsidR="00882F2E">
              <w:rPr>
                <w:rFonts w:cs="Arial"/>
                <w:color w:val="auto"/>
                <w:szCs w:val="14"/>
                <w:lang w:eastAsia="en-US"/>
              </w:rPr>
              <w:t>,</w:t>
            </w:r>
            <w:r w:rsidRPr="003E6037">
              <w:rPr>
                <w:rFonts w:cs="Arial"/>
                <w:color w:val="auto"/>
                <w:szCs w:val="14"/>
                <w:lang w:eastAsia="en-US"/>
              </w:rPr>
              <w:t>563</w:t>
            </w:r>
          </w:p>
        </w:tc>
        <w:tc>
          <w:tcPr>
            <w:tcW w:w="1853" w:type="dxa"/>
            <w:tcBorders>
              <w:top w:val="nil"/>
              <w:left w:val="nil"/>
              <w:bottom w:val="nil"/>
              <w:right w:val="nil"/>
            </w:tcBorders>
            <w:shd w:val="clear" w:color="auto" w:fill="auto"/>
            <w:hideMark/>
          </w:tcPr>
          <w:p w14:paraId="60CD6A6D" w14:textId="200BD547"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rPr>
              <w:t>14</w:t>
            </w:r>
            <w:r w:rsidR="00882F2E">
              <w:rPr>
                <w:rFonts w:cs="Arial"/>
                <w:color w:val="auto"/>
                <w:szCs w:val="14"/>
              </w:rPr>
              <w:t>.</w:t>
            </w:r>
            <w:r>
              <w:rPr>
                <w:rFonts w:cs="Arial"/>
                <w:color w:val="auto"/>
                <w:szCs w:val="14"/>
              </w:rPr>
              <w:t>7</w:t>
            </w:r>
          </w:p>
        </w:tc>
      </w:tr>
      <w:tr w:rsidR="009E13DC" w:rsidRPr="006970A5" w14:paraId="1CEB59AA"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85B85F1" w14:textId="6437613D" w:rsidR="009E13DC" w:rsidRPr="006970A5" w:rsidRDefault="009E13DC" w:rsidP="009E13DC">
            <w:pPr>
              <w:pStyle w:val="08-Tabelageral"/>
              <w:ind w:left="113"/>
              <w:jc w:val="left"/>
              <w:rPr>
                <w:rFonts w:cs="Arial"/>
                <w:b w:val="0"/>
                <w:snapToGrid w:val="0"/>
                <w:lang w:eastAsia="en-US"/>
              </w:rPr>
            </w:pPr>
            <w:r w:rsidRPr="008F368D">
              <w:rPr>
                <w:rFonts w:cs="Arial"/>
                <w:b w:val="0"/>
                <w:lang w:eastAsia="en-US"/>
              </w:rPr>
              <w:t xml:space="preserve">Brasilprev Seguros e Previdência </w:t>
            </w:r>
            <w:proofErr w:type="gramStart"/>
            <w:r w:rsidRPr="008F368D">
              <w:rPr>
                <w:rFonts w:cs="Arial"/>
                <w:b w:val="0"/>
                <w:lang w:eastAsia="en-US"/>
              </w:rPr>
              <w:t>S</w:t>
            </w:r>
            <w:r>
              <w:rPr>
                <w:rFonts w:cs="Arial"/>
                <w:b w:val="0"/>
                <w:lang w:eastAsia="en-US"/>
              </w:rPr>
              <w:t>,</w:t>
            </w:r>
            <w:r w:rsidRPr="008F368D">
              <w:rPr>
                <w:rFonts w:cs="Arial"/>
                <w:b w:val="0"/>
                <w:lang w:eastAsia="en-US"/>
              </w:rPr>
              <w:t>A</w:t>
            </w:r>
            <w:proofErr w:type="gramEnd"/>
            <w:r>
              <w:rPr>
                <w:rFonts w:cs="Arial"/>
                <w:b w:val="0"/>
                <w:lang w:eastAsia="en-US"/>
              </w:rPr>
              <w:t>,</w:t>
            </w:r>
          </w:p>
        </w:tc>
        <w:tc>
          <w:tcPr>
            <w:tcW w:w="1860" w:type="dxa"/>
            <w:tcBorders>
              <w:top w:val="nil"/>
              <w:left w:val="nil"/>
              <w:bottom w:val="nil"/>
              <w:right w:val="nil"/>
            </w:tcBorders>
            <w:vAlign w:val="center"/>
            <w:hideMark/>
          </w:tcPr>
          <w:p w14:paraId="3A2E1A9C" w14:textId="6DD76FD8"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color w:val="auto"/>
                <w:szCs w:val="14"/>
                <w:lang w:eastAsia="en-US"/>
              </w:rPr>
              <w:t>1</w:t>
            </w:r>
            <w:r w:rsidR="00882F2E">
              <w:rPr>
                <w:rFonts w:cs="Arial"/>
                <w:color w:val="auto"/>
                <w:szCs w:val="14"/>
                <w:lang w:eastAsia="en-US"/>
              </w:rPr>
              <w:t>,</w:t>
            </w:r>
            <w:r>
              <w:rPr>
                <w:rFonts w:cs="Arial"/>
                <w:color w:val="auto"/>
                <w:szCs w:val="14"/>
                <w:lang w:eastAsia="en-US"/>
              </w:rPr>
              <w:t>318</w:t>
            </w:r>
            <w:r w:rsidR="00882F2E">
              <w:rPr>
                <w:rFonts w:cs="Arial"/>
                <w:color w:val="auto"/>
                <w:szCs w:val="14"/>
                <w:lang w:eastAsia="en-US"/>
              </w:rPr>
              <w:t>,</w:t>
            </w:r>
            <w:r>
              <w:rPr>
                <w:rFonts w:cs="Arial"/>
                <w:color w:val="auto"/>
                <w:szCs w:val="14"/>
                <w:lang w:eastAsia="en-US"/>
              </w:rPr>
              <w:t>673</w:t>
            </w:r>
          </w:p>
        </w:tc>
        <w:tc>
          <w:tcPr>
            <w:tcW w:w="1860" w:type="dxa"/>
            <w:tcBorders>
              <w:top w:val="nil"/>
              <w:left w:val="nil"/>
              <w:bottom w:val="nil"/>
              <w:right w:val="nil"/>
            </w:tcBorders>
            <w:vAlign w:val="center"/>
            <w:hideMark/>
          </w:tcPr>
          <w:p w14:paraId="15BFA505" w14:textId="692DD793"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color w:val="auto"/>
                <w:szCs w:val="14"/>
                <w:lang w:eastAsia="en-US"/>
              </w:rPr>
              <w:t>1</w:t>
            </w:r>
            <w:r w:rsidR="00882F2E">
              <w:rPr>
                <w:rFonts w:cs="Arial"/>
                <w:color w:val="auto"/>
                <w:szCs w:val="14"/>
                <w:lang w:eastAsia="en-US"/>
              </w:rPr>
              <w:t>,</w:t>
            </w:r>
            <w:r w:rsidRPr="003E6037">
              <w:rPr>
                <w:rFonts w:cs="Arial"/>
                <w:color w:val="auto"/>
                <w:szCs w:val="14"/>
                <w:lang w:eastAsia="en-US"/>
              </w:rPr>
              <w:t>801</w:t>
            </w:r>
            <w:r w:rsidR="00882F2E">
              <w:rPr>
                <w:rFonts w:cs="Arial"/>
                <w:color w:val="auto"/>
                <w:szCs w:val="14"/>
                <w:lang w:eastAsia="en-US"/>
              </w:rPr>
              <w:t>,</w:t>
            </w:r>
            <w:r w:rsidRPr="003E6037">
              <w:rPr>
                <w:rFonts w:cs="Arial"/>
                <w:color w:val="auto"/>
                <w:szCs w:val="14"/>
                <w:lang w:eastAsia="en-US"/>
              </w:rPr>
              <w:t>907</w:t>
            </w:r>
          </w:p>
        </w:tc>
        <w:tc>
          <w:tcPr>
            <w:tcW w:w="1853" w:type="dxa"/>
            <w:tcBorders>
              <w:top w:val="nil"/>
              <w:left w:val="nil"/>
              <w:bottom w:val="nil"/>
              <w:right w:val="nil"/>
            </w:tcBorders>
            <w:hideMark/>
          </w:tcPr>
          <w:p w14:paraId="742A7C31" w14:textId="3A2C5F0F"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color w:val="auto"/>
                <w:szCs w:val="14"/>
              </w:rPr>
              <w:t>(26</w:t>
            </w:r>
            <w:r w:rsidR="00882F2E">
              <w:rPr>
                <w:rFonts w:cs="Arial"/>
                <w:color w:val="auto"/>
                <w:szCs w:val="14"/>
              </w:rPr>
              <w:t>.</w:t>
            </w:r>
            <w:r>
              <w:rPr>
                <w:rFonts w:cs="Arial"/>
                <w:color w:val="auto"/>
                <w:szCs w:val="14"/>
              </w:rPr>
              <w:t>8)</w:t>
            </w:r>
          </w:p>
        </w:tc>
      </w:tr>
      <w:tr w:rsidR="009E13DC" w:rsidRPr="006970A5" w14:paraId="39E7234A" w14:textId="77777777" w:rsidTr="005F38A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BDB9DF6" w14:textId="67D82CCB" w:rsidR="009E13DC" w:rsidRPr="006970A5" w:rsidRDefault="009E13DC" w:rsidP="009E13DC">
            <w:pPr>
              <w:pStyle w:val="08-Tabelageral"/>
              <w:ind w:left="113"/>
              <w:jc w:val="left"/>
              <w:rPr>
                <w:rFonts w:cs="Arial"/>
                <w:b w:val="0"/>
                <w:snapToGrid w:val="0"/>
                <w:lang w:eastAsia="en-US"/>
              </w:rPr>
            </w:pPr>
            <w:r w:rsidRPr="008F368D">
              <w:rPr>
                <w:rFonts w:cs="Arial"/>
                <w:b w:val="0"/>
                <w:lang w:eastAsia="en-US"/>
              </w:rPr>
              <w:t xml:space="preserve">Brasilcap Capitalização </w:t>
            </w:r>
            <w:proofErr w:type="gramStart"/>
            <w:r w:rsidRPr="008F368D">
              <w:rPr>
                <w:rFonts w:cs="Arial"/>
                <w:b w:val="0"/>
                <w:lang w:eastAsia="en-US"/>
              </w:rPr>
              <w:t>S</w:t>
            </w:r>
            <w:r>
              <w:rPr>
                <w:rFonts w:cs="Arial"/>
                <w:b w:val="0"/>
                <w:lang w:eastAsia="en-US"/>
              </w:rPr>
              <w:t>,</w:t>
            </w:r>
            <w:r w:rsidRPr="008F368D">
              <w:rPr>
                <w:rFonts w:cs="Arial"/>
                <w:b w:val="0"/>
                <w:lang w:eastAsia="en-US"/>
              </w:rPr>
              <w:t>A</w:t>
            </w:r>
            <w:proofErr w:type="gramEnd"/>
            <w:r>
              <w:rPr>
                <w:rFonts w:cs="Arial"/>
                <w:b w:val="0"/>
                <w:lang w:eastAsia="en-US"/>
              </w:rPr>
              <w:t>,</w:t>
            </w:r>
          </w:p>
        </w:tc>
        <w:tc>
          <w:tcPr>
            <w:tcW w:w="1860" w:type="dxa"/>
            <w:tcBorders>
              <w:top w:val="nil"/>
              <w:left w:val="nil"/>
              <w:bottom w:val="nil"/>
              <w:right w:val="nil"/>
            </w:tcBorders>
            <w:shd w:val="clear" w:color="auto" w:fill="auto"/>
            <w:vAlign w:val="center"/>
            <w:hideMark/>
          </w:tcPr>
          <w:p w14:paraId="0347999F" w14:textId="51E88E3B"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212</w:t>
            </w:r>
            <w:r w:rsidR="00882F2E">
              <w:rPr>
                <w:rFonts w:cs="Arial"/>
                <w:color w:val="auto"/>
                <w:szCs w:val="14"/>
                <w:lang w:eastAsia="en-US"/>
              </w:rPr>
              <w:t>,</w:t>
            </w:r>
            <w:r>
              <w:rPr>
                <w:rFonts w:cs="Arial"/>
                <w:color w:val="auto"/>
                <w:szCs w:val="14"/>
                <w:lang w:eastAsia="en-US"/>
              </w:rPr>
              <w:t>431</w:t>
            </w:r>
          </w:p>
        </w:tc>
        <w:tc>
          <w:tcPr>
            <w:tcW w:w="1860" w:type="dxa"/>
            <w:tcBorders>
              <w:top w:val="nil"/>
              <w:left w:val="nil"/>
              <w:bottom w:val="nil"/>
              <w:right w:val="nil"/>
            </w:tcBorders>
            <w:shd w:val="clear" w:color="auto" w:fill="auto"/>
            <w:vAlign w:val="center"/>
            <w:hideMark/>
          </w:tcPr>
          <w:p w14:paraId="6CDD2587" w14:textId="7BE8F0C9"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color w:val="auto"/>
                <w:szCs w:val="14"/>
                <w:lang w:eastAsia="en-US"/>
              </w:rPr>
              <w:t>187</w:t>
            </w:r>
            <w:r w:rsidR="00882F2E">
              <w:rPr>
                <w:rFonts w:cs="Arial"/>
                <w:color w:val="auto"/>
                <w:szCs w:val="14"/>
                <w:lang w:eastAsia="en-US"/>
              </w:rPr>
              <w:t>,</w:t>
            </w:r>
            <w:r w:rsidRPr="003E6037">
              <w:rPr>
                <w:rFonts w:cs="Arial"/>
                <w:color w:val="auto"/>
                <w:szCs w:val="14"/>
                <w:lang w:eastAsia="en-US"/>
              </w:rPr>
              <w:t>464</w:t>
            </w:r>
          </w:p>
        </w:tc>
        <w:tc>
          <w:tcPr>
            <w:tcW w:w="1853" w:type="dxa"/>
            <w:tcBorders>
              <w:top w:val="nil"/>
              <w:left w:val="nil"/>
              <w:bottom w:val="nil"/>
              <w:right w:val="nil"/>
            </w:tcBorders>
            <w:shd w:val="clear" w:color="auto" w:fill="auto"/>
            <w:hideMark/>
          </w:tcPr>
          <w:p w14:paraId="7AF591CB" w14:textId="7AEADB0B"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rPr>
              <w:t>13</w:t>
            </w:r>
            <w:r w:rsidR="00882F2E">
              <w:rPr>
                <w:rFonts w:cs="Arial"/>
                <w:color w:val="auto"/>
                <w:szCs w:val="14"/>
              </w:rPr>
              <w:t>.</w:t>
            </w:r>
            <w:r>
              <w:rPr>
                <w:rFonts w:cs="Arial"/>
                <w:color w:val="auto"/>
                <w:szCs w:val="14"/>
              </w:rPr>
              <w:t>3</w:t>
            </w:r>
          </w:p>
        </w:tc>
      </w:tr>
      <w:tr w:rsidR="009E13DC" w:rsidRPr="006970A5" w14:paraId="648B6A6D"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341A22D" w14:textId="6057665D" w:rsidR="009E13DC" w:rsidRPr="006970A5" w:rsidRDefault="009E13DC" w:rsidP="009E13DC">
            <w:pPr>
              <w:pStyle w:val="08-Tabelageral"/>
              <w:ind w:left="113"/>
              <w:jc w:val="left"/>
              <w:rPr>
                <w:rFonts w:cs="Arial"/>
                <w:b w:val="0"/>
                <w:snapToGrid w:val="0"/>
                <w:vertAlign w:val="superscript"/>
                <w:lang w:eastAsia="en-US"/>
              </w:rPr>
            </w:pPr>
            <w:r w:rsidRPr="008F368D">
              <w:rPr>
                <w:rFonts w:cs="Arial"/>
                <w:b w:val="0"/>
                <w:lang w:eastAsia="en-US"/>
              </w:rPr>
              <w:t xml:space="preserve">Brasildental Operadora de Planos Odontológicos </w:t>
            </w:r>
            <w:proofErr w:type="gramStart"/>
            <w:r w:rsidRPr="008F368D">
              <w:rPr>
                <w:rFonts w:cs="Arial"/>
                <w:b w:val="0"/>
                <w:lang w:eastAsia="en-US"/>
              </w:rPr>
              <w:t>S</w:t>
            </w:r>
            <w:r>
              <w:rPr>
                <w:rFonts w:cs="Arial"/>
                <w:b w:val="0"/>
                <w:lang w:eastAsia="en-US"/>
              </w:rPr>
              <w:t>,</w:t>
            </w:r>
            <w:r w:rsidRPr="008F368D">
              <w:rPr>
                <w:rFonts w:cs="Arial"/>
                <w:b w:val="0"/>
                <w:lang w:eastAsia="en-US"/>
              </w:rPr>
              <w:t>A</w:t>
            </w:r>
            <w:proofErr w:type="gramEnd"/>
            <w:r>
              <w:rPr>
                <w:rFonts w:cs="Arial"/>
                <w:b w:val="0"/>
                <w:lang w:eastAsia="en-US"/>
              </w:rPr>
              <w:t>,</w:t>
            </w:r>
          </w:p>
        </w:tc>
        <w:tc>
          <w:tcPr>
            <w:tcW w:w="1860" w:type="dxa"/>
            <w:tcBorders>
              <w:top w:val="nil"/>
              <w:left w:val="nil"/>
              <w:bottom w:val="nil"/>
              <w:right w:val="nil"/>
            </w:tcBorders>
            <w:vAlign w:val="center"/>
            <w:hideMark/>
          </w:tcPr>
          <w:p w14:paraId="37F77F73" w14:textId="1B5329A0"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725CD4">
              <w:rPr>
                <w:rFonts w:cs="Arial"/>
                <w:color w:val="auto"/>
                <w:lang w:eastAsia="en-US"/>
              </w:rPr>
              <w:t>19</w:t>
            </w:r>
            <w:r w:rsidR="00882F2E">
              <w:rPr>
                <w:rFonts w:cs="Arial"/>
                <w:color w:val="auto"/>
                <w:lang w:eastAsia="en-US"/>
              </w:rPr>
              <w:t>,</w:t>
            </w:r>
            <w:r>
              <w:rPr>
                <w:rFonts w:cs="Arial"/>
                <w:color w:val="auto"/>
                <w:lang w:eastAsia="en-US"/>
              </w:rPr>
              <w:t>505</w:t>
            </w:r>
          </w:p>
        </w:tc>
        <w:tc>
          <w:tcPr>
            <w:tcW w:w="1860" w:type="dxa"/>
            <w:tcBorders>
              <w:top w:val="nil"/>
              <w:left w:val="nil"/>
              <w:bottom w:val="nil"/>
              <w:right w:val="nil"/>
            </w:tcBorders>
            <w:vAlign w:val="center"/>
            <w:hideMark/>
          </w:tcPr>
          <w:p w14:paraId="2CE13638" w14:textId="30D04DAA"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color w:val="auto"/>
                <w:lang w:eastAsia="en-US"/>
              </w:rPr>
              <w:t>19</w:t>
            </w:r>
            <w:r w:rsidR="00882F2E">
              <w:rPr>
                <w:rFonts w:cs="Arial"/>
                <w:color w:val="auto"/>
                <w:lang w:eastAsia="en-US"/>
              </w:rPr>
              <w:t>,</w:t>
            </w:r>
            <w:r w:rsidRPr="003E6037">
              <w:rPr>
                <w:rFonts w:cs="Arial"/>
                <w:color w:val="auto"/>
                <w:lang w:eastAsia="en-US"/>
              </w:rPr>
              <w:t>594</w:t>
            </w:r>
          </w:p>
        </w:tc>
        <w:tc>
          <w:tcPr>
            <w:tcW w:w="1853" w:type="dxa"/>
            <w:tcBorders>
              <w:top w:val="nil"/>
              <w:left w:val="nil"/>
              <w:bottom w:val="nil"/>
              <w:right w:val="nil"/>
            </w:tcBorders>
            <w:hideMark/>
          </w:tcPr>
          <w:p w14:paraId="56E9DB35" w14:textId="6872E803"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color w:val="auto"/>
                <w:szCs w:val="14"/>
              </w:rPr>
              <w:t>(0</w:t>
            </w:r>
            <w:r w:rsidR="00882F2E">
              <w:rPr>
                <w:rFonts w:cs="Arial"/>
                <w:color w:val="auto"/>
                <w:szCs w:val="14"/>
              </w:rPr>
              <w:t>.</w:t>
            </w:r>
            <w:r>
              <w:rPr>
                <w:rFonts w:cs="Arial"/>
                <w:color w:val="auto"/>
                <w:szCs w:val="14"/>
              </w:rPr>
              <w:t>5)</w:t>
            </w:r>
          </w:p>
        </w:tc>
      </w:tr>
      <w:tr w:rsidR="009E13DC" w:rsidRPr="006970A5" w14:paraId="43ECF6D4" w14:textId="77777777" w:rsidTr="005F38A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37EC032" w14:textId="052B9DB9" w:rsidR="009E13DC" w:rsidRPr="006970A5" w:rsidRDefault="009E13DC" w:rsidP="009E13DC">
            <w:pPr>
              <w:pStyle w:val="08-Tabelageral"/>
              <w:ind w:left="113"/>
              <w:jc w:val="left"/>
              <w:rPr>
                <w:rFonts w:cs="Arial"/>
                <w:b w:val="0"/>
                <w:snapToGrid w:val="0"/>
                <w:lang w:eastAsia="en-US"/>
              </w:rPr>
            </w:pPr>
            <w:r w:rsidRPr="008F368D">
              <w:rPr>
                <w:rFonts w:cs="Arial"/>
                <w:b w:val="0"/>
                <w:lang w:eastAsia="en-US"/>
              </w:rPr>
              <w:t xml:space="preserve">BB Corretora de Seguros e Administradora de Bens </w:t>
            </w:r>
            <w:proofErr w:type="gramStart"/>
            <w:r w:rsidRPr="008F368D">
              <w:rPr>
                <w:rFonts w:cs="Arial"/>
                <w:b w:val="0"/>
                <w:lang w:eastAsia="en-US"/>
              </w:rPr>
              <w:t>S</w:t>
            </w:r>
            <w:r>
              <w:rPr>
                <w:rFonts w:cs="Arial"/>
                <w:b w:val="0"/>
                <w:lang w:eastAsia="en-US"/>
              </w:rPr>
              <w:t>,</w:t>
            </w:r>
            <w:r w:rsidRPr="008F368D">
              <w:rPr>
                <w:rFonts w:cs="Arial"/>
                <w:b w:val="0"/>
                <w:lang w:eastAsia="en-US"/>
              </w:rPr>
              <w:t>A</w:t>
            </w:r>
            <w:proofErr w:type="gramEnd"/>
            <w:r>
              <w:rPr>
                <w:rFonts w:cs="Arial"/>
                <w:b w:val="0"/>
                <w:lang w:eastAsia="en-US"/>
              </w:rPr>
              <w:t>,</w:t>
            </w:r>
          </w:p>
        </w:tc>
        <w:tc>
          <w:tcPr>
            <w:tcW w:w="1860" w:type="dxa"/>
            <w:tcBorders>
              <w:top w:val="nil"/>
              <w:left w:val="nil"/>
              <w:bottom w:val="nil"/>
              <w:right w:val="nil"/>
            </w:tcBorders>
            <w:shd w:val="clear" w:color="auto" w:fill="auto"/>
            <w:vAlign w:val="center"/>
            <w:hideMark/>
          </w:tcPr>
          <w:p w14:paraId="40A02DE2" w14:textId="6B5AFC09"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3</w:t>
            </w:r>
            <w:r w:rsidR="00882F2E">
              <w:rPr>
                <w:rFonts w:cs="Arial"/>
                <w:color w:val="auto"/>
                <w:szCs w:val="14"/>
                <w:lang w:eastAsia="en-US"/>
              </w:rPr>
              <w:t>,</w:t>
            </w:r>
            <w:r>
              <w:rPr>
                <w:rFonts w:cs="Arial"/>
                <w:color w:val="auto"/>
                <w:szCs w:val="14"/>
                <w:lang w:eastAsia="en-US"/>
              </w:rPr>
              <w:t>535</w:t>
            </w:r>
            <w:r w:rsidR="00882F2E">
              <w:rPr>
                <w:rFonts w:cs="Arial"/>
                <w:color w:val="auto"/>
                <w:szCs w:val="14"/>
                <w:lang w:eastAsia="en-US"/>
              </w:rPr>
              <w:t>,</w:t>
            </w:r>
            <w:r>
              <w:rPr>
                <w:rFonts w:cs="Arial"/>
                <w:color w:val="auto"/>
                <w:szCs w:val="14"/>
                <w:lang w:eastAsia="en-US"/>
              </w:rPr>
              <w:t>128</w:t>
            </w:r>
          </w:p>
        </w:tc>
        <w:tc>
          <w:tcPr>
            <w:tcW w:w="1860" w:type="dxa"/>
            <w:tcBorders>
              <w:top w:val="nil"/>
              <w:left w:val="nil"/>
              <w:bottom w:val="nil"/>
              <w:right w:val="nil"/>
            </w:tcBorders>
            <w:shd w:val="clear" w:color="auto" w:fill="auto"/>
            <w:vAlign w:val="center"/>
            <w:hideMark/>
          </w:tcPr>
          <w:p w14:paraId="5C0D0A45" w14:textId="15E1F250"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color w:val="auto"/>
                <w:szCs w:val="14"/>
                <w:lang w:eastAsia="en-US"/>
              </w:rPr>
              <w:t>3</w:t>
            </w:r>
            <w:r w:rsidR="00882F2E">
              <w:rPr>
                <w:rFonts w:cs="Arial"/>
                <w:color w:val="auto"/>
                <w:szCs w:val="14"/>
                <w:lang w:eastAsia="en-US"/>
              </w:rPr>
              <w:t>,</w:t>
            </w:r>
            <w:r w:rsidRPr="003E6037">
              <w:rPr>
                <w:rFonts w:cs="Arial"/>
                <w:color w:val="auto"/>
                <w:szCs w:val="14"/>
                <w:lang w:eastAsia="en-US"/>
              </w:rPr>
              <w:t>308</w:t>
            </w:r>
            <w:r w:rsidR="00882F2E">
              <w:rPr>
                <w:rFonts w:cs="Arial"/>
                <w:color w:val="auto"/>
                <w:szCs w:val="14"/>
                <w:lang w:eastAsia="en-US"/>
              </w:rPr>
              <w:t>,</w:t>
            </w:r>
            <w:r w:rsidRPr="003E6037">
              <w:rPr>
                <w:rFonts w:cs="Arial"/>
                <w:color w:val="auto"/>
                <w:szCs w:val="14"/>
                <w:lang w:eastAsia="en-US"/>
              </w:rPr>
              <w:t>139</w:t>
            </w:r>
          </w:p>
        </w:tc>
        <w:tc>
          <w:tcPr>
            <w:tcW w:w="1853" w:type="dxa"/>
            <w:tcBorders>
              <w:top w:val="nil"/>
              <w:left w:val="nil"/>
              <w:bottom w:val="nil"/>
              <w:right w:val="nil"/>
            </w:tcBorders>
            <w:shd w:val="clear" w:color="auto" w:fill="auto"/>
            <w:hideMark/>
          </w:tcPr>
          <w:p w14:paraId="7B4FEABB" w14:textId="5AA47F69"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rPr>
              <w:t>6</w:t>
            </w:r>
            <w:r w:rsidR="00882F2E">
              <w:rPr>
                <w:rFonts w:cs="Arial"/>
                <w:color w:val="auto"/>
                <w:szCs w:val="14"/>
              </w:rPr>
              <w:t>.</w:t>
            </w:r>
            <w:r>
              <w:rPr>
                <w:rFonts w:cs="Arial"/>
                <w:color w:val="auto"/>
                <w:szCs w:val="14"/>
              </w:rPr>
              <w:t>9</w:t>
            </w:r>
          </w:p>
        </w:tc>
      </w:tr>
      <w:tr w:rsidR="009E13DC" w:rsidRPr="006970A5" w14:paraId="44D6A5CD" w14:textId="77777777" w:rsidTr="005F38A5">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4C5F642" w14:textId="025B9A0F" w:rsidR="009E13DC" w:rsidRPr="006970A5" w:rsidRDefault="009E13DC" w:rsidP="009E13DC">
            <w:pPr>
              <w:pStyle w:val="08-Tabelageral"/>
              <w:ind w:left="113"/>
              <w:jc w:val="left"/>
              <w:rPr>
                <w:rFonts w:cs="Arial"/>
                <w:b w:val="0"/>
                <w:lang w:eastAsia="en-US"/>
              </w:rPr>
            </w:pPr>
            <w:r w:rsidRPr="008F368D">
              <w:rPr>
                <w:rFonts w:cs="Arial"/>
                <w:b w:val="0"/>
                <w:lang w:eastAsia="en-US"/>
              </w:rPr>
              <w:t>Other</w:t>
            </w:r>
          </w:p>
        </w:tc>
        <w:tc>
          <w:tcPr>
            <w:tcW w:w="1860" w:type="dxa"/>
            <w:tcBorders>
              <w:top w:val="nil"/>
              <w:left w:val="nil"/>
              <w:bottom w:val="nil"/>
              <w:right w:val="nil"/>
            </w:tcBorders>
            <w:vAlign w:val="center"/>
            <w:hideMark/>
          </w:tcPr>
          <w:p w14:paraId="69853A9C" w14:textId="07249174"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color w:val="auto"/>
                <w:szCs w:val="14"/>
                <w:lang w:eastAsia="en-US"/>
              </w:rPr>
              <w:t>89</w:t>
            </w:r>
            <w:r w:rsidR="00882F2E">
              <w:rPr>
                <w:rFonts w:cs="Arial"/>
                <w:color w:val="auto"/>
                <w:szCs w:val="14"/>
                <w:lang w:eastAsia="en-US"/>
              </w:rPr>
              <w:t>,</w:t>
            </w:r>
            <w:r>
              <w:rPr>
                <w:rFonts w:cs="Arial"/>
                <w:color w:val="auto"/>
                <w:szCs w:val="14"/>
                <w:lang w:eastAsia="en-US"/>
              </w:rPr>
              <w:t>218</w:t>
            </w:r>
          </w:p>
        </w:tc>
        <w:tc>
          <w:tcPr>
            <w:tcW w:w="1860" w:type="dxa"/>
            <w:tcBorders>
              <w:top w:val="nil"/>
              <w:left w:val="nil"/>
              <w:bottom w:val="nil"/>
              <w:right w:val="nil"/>
            </w:tcBorders>
            <w:vAlign w:val="center"/>
            <w:hideMark/>
          </w:tcPr>
          <w:p w14:paraId="37265D98" w14:textId="2D80614F"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color w:val="auto"/>
                <w:szCs w:val="14"/>
                <w:lang w:eastAsia="en-US"/>
              </w:rPr>
              <w:t>71</w:t>
            </w:r>
            <w:r w:rsidR="00882F2E">
              <w:rPr>
                <w:rFonts w:cs="Arial"/>
                <w:color w:val="auto"/>
                <w:szCs w:val="14"/>
                <w:lang w:eastAsia="en-US"/>
              </w:rPr>
              <w:t>,</w:t>
            </w:r>
            <w:r w:rsidRPr="003E6037">
              <w:rPr>
                <w:rFonts w:cs="Arial"/>
                <w:color w:val="auto"/>
                <w:szCs w:val="14"/>
                <w:lang w:eastAsia="en-US"/>
              </w:rPr>
              <w:t>150</w:t>
            </w:r>
          </w:p>
        </w:tc>
        <w:tc>
          <w:tcPr>
            <w:tcW w:w="1853" w:type="dxa"/>
            <w:tcBorders>
              <w:top w:val="nil"/>
              <w:left w:val="nil"/>
              <w:bottom w:val="nil"/>
              <w:right w:val="nil"/>
            </w:tcBorders>
            <w:hideMark/>
          </w:tcPr>
          <w:p w14:paraId="55E171C6" w14:textId="1546578D"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color w:val="auto"/>
                <w:szCs w:val="14"/>
              </w:rPr>
              <w:t>25</w:t>
            </w:r>
            <w:r w:rsidR="00882F2E">
              <w:rPr>
                <w:rFonts w:cs="Arial"/>
                <w:color w:val="auto"/>
                <w:szCs w:val="14"/>
              </w:rPr>
              <w:t>.</w:t>
            </w:r>
            <w:r>
              <w:rPr>
                <w:rFonts w:cs="Arial"/>
                <w:color w:val="auto"/>
                <w:szCs w:val="14"/>
              </w:rPr>
              <w:t>4</w:t>
            </w:r>
          </w:p>
        </w:tc>
      </w:tr>
      <w:tr w:rsidR="009E13DC" w:rsidRPr="006970A5" w14:paraId="366D4D83" w14:textId="77777777" w:rsidTr="005F38A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9A38063" w14:textId="090E1F6E" w:rsidR="009E13DC" w:rsidRPr="006970A5" w:rsidRDefault="009E13DC" w:rsidP="009E13DC">
            <w:pPr>
              <w:pStyle w:val="08-Tabelageral"/>
              <w:jc w:val="left"/>
              <w:rPr>
                <w:rFonts w:cs="Arial"/>
                <w:b w:val="0"/>
                <w:lang w:eastAsia="en-US"/>
              </w:rPr>
            </w:pPr>
            <w:r w:rsidRPr="008F368D">
              <w:rPr>
                <w:rFonts w:cs="Arial"/>
                <w:lang w:eastAsia="en-US"/>
              </w:rPr>
              <w:t xml:space="preserve">Other income </w:t>
            </w:r>
            <w:proofErr w:type="spellStart"/>
            <w:r w:rsidRPr="008F368D">
              <w:rPr>
                <w:rFonts w:cs="Arial"/>
                <w:lang w:eastAsia="en-US"/>
              </w:rPr>
              <w:t>and</w:t>
            </w:r>
            <w:proofErr w:type="spellEnd"/>
            <w:r w:rsidRPr="008F368D">
              <w:rPr>
                <w:rFonts w:cs="Arial"/>
                <w:lang w:eastAsia="en-US"/>
              </w:rPr>
              <w:t xml:space="preserve"> </w:t>
            </w:r>
            <w:proofErr w:type="spellStart"/>
            <w:r w:rsidRPr="008F368D">
              <w:rPr>
                <w:rFonts w:cs="Arial"/>
                <w:lang w:eastAsia="en-US"/>
              </w:rPr>
              <w:t>expenses</w:t>
            </w:r>
            <w:proofErr w:type="spellEnd"/>
          </w:p>
        </w:tc>
        <w:tc>
          <w:tcPr>
            <w:tcW w:w="1860" w:type="dxa"/>
            <w:tcBorders>
              <w:top w:val="nil"/>
              <w:left w:val="nil"/>
              <w:bottom w:val="nil"/>
              <w:right w:val="nil"/>
            </w:tcBorders>
            <w:shd w:val="clear" w:color="auto" w:fill="auto"/>
            <w:vAlign w:val="center"/>
            <w:hideMark/>
          </w:tcPr>
          <w:p w14:paraId="10814AC8" w14:textId="37E442B3"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sidRPr="00725CD4">
              <w:rPr>
                <w:rFonts w:cs="Arial"/>
                <w:b/>
                <w:bCs/>
                <w:color w:val="auto"/>
                <w:szCs w:val="14"/>
                <w:lang w:eastAsia="en-US"/>
              </w:rPr>
              <w:t>(21</w:t>
            </w:r>
            <w:r w:rsidR="00882F2E">
              <w:rPr>
                <w:rFonts w:cs="Arial"/>
                <w:b/>
                <w:bCs/>
                <w:color w:val="auto"/>
                <w:szCs w:val="14"/>
                <w:lang w:eastAsia="en-US"/>
              </w:rPr>
              <w:t>,</w:t>
            </w:r>
            <w:r w:rsidRPr="00725CD4">
              <w:rPr>
                <w:rFonts w:cs="Arial"/>
                <w:b/>
                <w:bCs/>
                <w:color w:val="auto"/>
                <w:szCs w:val="14"/>
                <w:lang w:eastAsia="en-US"/>
              </w:rPr>
              <w:t>680)</w:t>
            </w:r>
          </w:p>
        </w:tc>
        <w:tc>
          <w:tcPr>
            <w:tcW w:w="1860" w:type="dxa"/>
            <w:tcBorders>
              <w:top w:val="nil"/>
              <w:left w:val="nil"/>
              <w:bottom w:val="nil"/>
              <w:right w:val="nil"/>
            </w:tcBorders>
            <w:shd w:val="clear" w:color="auto" w:fill="auto"/>
            <w:vAlign w:val="center"/>
            <w:hideMark/>
          </w:tcPr>
          <w:p w14:paraId="4B1E9506" w14:textId="7BF08C54"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b/>
                <w:bCs/>
                <w:color w:val="auto"/>
                <w:szCs w:val="14"/>
                <w:lang w:eastAsia="en-US"/>
              </w:rPr>
              <w:t>(18</w:t>
            </w:r>
            <w:r w:rsidR="00882F2E">
              <w:rPr>
                <w:rFonts w:cs="Arial"/>
                <w:b/>
                <w:bCs/>
                <w:color w:val="auto"/>
                <w:szCs w:val="14"/>
                <w:lang w:eastAsia="en-US"/>
              </w:rPr>
              <w:t>,</w:t>
            </w:r>
            <w:r w:rsidRPr="003E6037">
              <w:rPr>
                <w:rFonts w:cs="Arial"/>
                <w:b/>
                <w:bCs/>
                <w:color w:val="auto"/>
                <w:szCs w:val="14"/>
                <w:lang w:eastAsia="en-US"/>
              </w:rPr>
              <w:t>972)</w:t>
            </w:r>
          </w:p>
        </w:tc>
        <w:tc>
          <w:tcPr>
            <w:tcW w:w="1853" w:type="dxa"/>
            <w:tcBorders>
              <w:top w:val="nil"/>
              <w:left w:val="nil"/>
              <w:bottom w:val="nil"/>
              <w:right w:val="nil"/>
            </w:tcBorders>
            <w:shd w:val="clear" w:color="auto" w:fill="auto"/>
            <w:hideMark/>
          </w:tcPr>
          <w:p w14:paraId="6F47F41F" w14:textId="09BA9C8B"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sidRPr="00725CD4">
              <w:rPr>
                <w:rFonts w:cs="Arial"/>
                <w:b/>
                <w:bCs/>
                <w:color w:val="auto"/>
                <w:szCs w:val="14"/>
              </w:rPr>
              <w:t>14</w:t>
            </w:r>
            <w:r w:rsidR="00882F2E">
              <w:rPr>
                <w:rFonts w:cs="Arial"/>
                <w:b/>
                <w:bCs/>
                <w:color w:val="auto"/>
                <w:szCs w:val="14"/>
              </w:rPr>
              <w:t>.</w:t>
            </w:r>
            <w:r w:rsidRPr="00725CD4">
              <w:rPr>
                <w:rFonts w:cs="Arial"/>
                <w:b/>
                <w:bCs/>
                <w:color w:val="auto"/>
                <w:szCs w:val="14"/>
              </w:rPr>
              <w:t>3</w:t>
            </w:r>
          </w:p>
        </w:tc>
      </w:tr>
      <w:tr w:rsidR="009E13DC" w:rsidRPr="006970A5" w14:paraId="7491507D"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A4364FF" w14:textId="73A264BF" w:rsidR="009E13DC" w:rsidRPr="006970A5" w:rsidRDefault="009E13DC" w:rsidP="009E13DC">
            <w:pPr>
              <w:pStyle w:val="08-Tabelageral"/>
              <w:ind w:left="113"/>
              <w:jc w:val="left"/>
              <w:rPr>
                <w:rFonts w:cs="Arial"/>
                <w:snapToGrid w:val="0"/>
                <w:lang w:eastAsia="en-US"/>
              </w:rPr>
            </w:pPr>
            <w:proofErr w:type="spellStart"/>
            <w:r w:rsidRPr="008F368D">
              <w:rPr>
                <w:rFonts w:cs="Arial"/>
                <w:b w:val="0"/>
                <w:lang w:eastAsia="en-US"/>
              </w:rPr>
              <w:t>Personnel</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vAlign w:val="center"/>
            <w:hideMark/>
          </w:tcPr>
          <w:p w14:paraId="26864C47" w14:textId="7DA4ABC3"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725CD4">
              <w:rPr>
                <w:rFonts w:cs="Arial"/>
                <w:color w:val="auto"/>
                <w:szCs w:val="14"/>
                <w:lang w:eastAsia="en-US"/>
              </w:rPr>
              <w:t>(12</w:t>
            </w:r>
            <w:r w:rsidR="00882F2E">
              <w:rPr>
                <w:rFonts w:cs="Arial"/>
                <w:color w:val="auto"/>
                <w:szCs w:val="14"/>
                <w:lang w:eastAsia="en-US"/>
              </w:rPr>
              <w:t>,</w:t>
            </w:r>
            <w:r w:rsidRPr="00725CD4">
              <w:rPr>
                <w:rFonts w:cs="Arial"/>
                <w:color w:val="auto"/>
                <w:szCs w:val="14"/>
                <w:lang w:eastAsia="en-US"/>
              </w:rPr>
              <w:t>760)</w:t>
            </w:r>
          </w:p>
        </w:tc>
        <w:tc>
          <w:tcPr>
            <w:tcW w:w="1860" w:type="dxa"/>
            <w:tcBorders>
              <w:top w:val="nil"/>
              <w:left w:val="nil"/>
              <w:bottom w:val="nil"/>
              <w:right w:val="nil"/>
            </w:tcBorders>
            <w:vAlign w:val="center"/>
            <w:hideMark/>
          </w:tcPr>
          <w:p w14:paraId="0928F7C5" w14:textId="1C2560D5"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3E6037">
              <w:rPr>
                <w:rFonts w:cs="Arial"/>
                <w:color w:val="auto"/>
                <w:szCs w:val="14"/>
                <w:lang w:eastAsia="en-US"/>
              </w:rPr>
              <w:t>(11</w:t>
            </w:r>
            <w:r w:rsidR="00882F2E">
              <w:rPr>
                <w:rFonts w:cs="Arial"/>
                <w:color w:val="auto"/>
                <w:szCs w:val="14"/>
                <w:lang w:eastAsia="en-US"/>
              </w:rPr>
              <w:t>,</w:t>
            </w:r>
            <w:r w:rsidRPr="003E6037">
              <w:rPr>
                <w:rFonts w:cs="Arial"/>
                <w:color w:val="auto"/>
                <w:szCs w:val="14"/>
                <w:lang w:eastAsia="en-US"/>
              </w:rPr>
              <w:t>853)</w:t>
            </w:r>
          </w:p>
        </w:tc>
        <w:tc>
          <w:tcPr>
            <w:tcW w:w="1853" w:type="dxa"/>
            <w:tcBorders>
              <w:top w:val="nil"/>
              <w:left w:val="nil"/>
              <w:bottom w:val="nil"/>
              <w:right w:val="nil"/>
            </w:tcBorders>
            <w:hideMark/>
          </w:tcPr>
          <w:p w14:paraId="03B5E7FC" w14:textId="3F930CAD"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725CD4">
              <w:rPr>
                <w:rFonts w:cs="Arial"/>
                <w:color w:val="auto"/>
                <w:szCs w:val="14"/>
              </w:rPr>
              <w:t>7</w:t>
            </w:r>
            <w:r w:rsidR="00882F2E">
              <w:rPr>
                <w:rFonts w:cs="Arial"/>
                <w:color w:val="auto"/>
                <w:szCs w:val="14"/>
              </w:rPr>
              <w:t>.</w:t>
            </w:r>
            <w:r w:rsidRPr="00725CD4">
              <w:rPr>
                <w:rFonts w:cs="Arial"/>
                <w:color w:val="auto"/>
                <w:szCs w:val="14"/>
              </w:rPr>
              <w:t>7</w:t>
            </w:r>
          </w:p>
        </w:tc>
      </w:tr>
      <w:tr w:rsidR="009E13DC" w:rsidRPr="006970A5" w14:paraId="048AF475" w14:textId="77777777" w:rsidTr="005F38A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5C9B01E" w14:textId="6D3CE71F" w:rsidR="009E13DC" w:rsidRPr="006970A5" w:rsidRDefault="009E13DC" w:rsidP="009E13DC">
            <w:pPr>
              <w:pStyle w:val="08-Tabelageral"/>
              <w:ind w:left="113"/>
              <w:jc w:val="left"/>
              <w:rPr>
                <w:rFonts w:cs="Arial"/>
                <w:b w:val="0"/>
                <w:snapToGrid w:val="0"/>
                <w:lang w:eastAsia="en-US"/>
              </w:rPr>
            </w:pPr>
            <w:proofErr w:type="spellStart"/>
            <w:r w:rsidRPr="008F368D">
              <w:rPr>
                <w:rFonts w:cs="Arial"/>
                <w:b w:val="0"/>
                <w:lang w:eastAsia="en-US"/>
              </w:rPr>
              <w:t>Administrative</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2576272C" w14:textId="09F76019"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lang w:eastAsia="en-US"/>
              </w:rPr>
              <w:t>(2</w:t>
            </w:r>
            <w:r w:rsidR="00882F2E">
              <w:rPr>
                <w:rFonts w:cs="Arial"/>
                <w:color w:val="auto"/>
                <w:szCs w:val="14"/>
                <w:lang w:eastAsia="en-US"/>
              </w:rPr>
              <w:t>,</w:t>
            </w:r>
            <w:r w:rsidRPr="00725CD4">
              <w:rPr>
                <w:rFonts w:cs="Arial"/>
                <w:color w:val="auto"/>
                <w:szCs w:val="14"/>
                <w:lang w:eastAsia="en-US"/>
              </w:rPr>
              <w:t>997)</w:t>
            </w:r>
          </w:p>
        </w:tc>
        <w:tc>
          <w:tcPr>
            <w:tcW w:w="1860" w:type="dxa"/>
            <w:tcBorders>
              <w:top w:val="nil"/>
              <w:left w:val="nil"/>
              <w:bottom w:val="nil"/>
              <w:right w:val="nil"/>
            </w:tcBorders>
            <w:shd w:val="clear" w:color="auto" w:fill="auto"/>
            <w:vAlign w:val="center"/>
            <w:hideMark/>
          </w:tcPr>
          <w:p w14:paraId="40C98645" w14:textId="6A3D92AB"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color w:val="auto"/>
                <w:szCs w:val="14"/>
                <w:lang w:eastAsia="en-US"/>
              </w:rPr>
              <w:t>(3</w:t>
            </w:r>
            <w:r w:rsidR="00882F2E">
              <w:rPr>
                <w:rFonts w:cs="Arial"/>
                <w:color w:val="auto"/>
                <w:szCs w:val="14"/>
                <w:lang w:eastAsia="en-US"/>
              </w:rPr>
              <w:t>,</w:t>
            </w:r>
            <w:r w:rsidRPr="003E6037">
              <w:rPr>
                <w:rFonts w:cs="Arial"/>
                <w:color w:val="auto"/>
                <w:szCs w:val="14"/>
                <w:lang w:eastAsia="en-US"/>
              </w:rPr>
              <w:t>890)</w:t>
            </w:r>
          </w:p>
        </w:tc>
        <w:tc>
          <w:tcPr>
            <w:tcW w:w="1853" w:type="dxa"/>
            <w:tcBorders>
              <w:top w:val="nil"/>
              <w:left w:val="nil"/>
              <w:bottom w:val="nil"/>
              <w:right w:val="nil"/>
            </w:tcBorders>
            <w:shd w:val="clear" w:color="auto" w:fill="auto"/>
            <w:hideMark/>
          </w:tcPr>
          <w:p w14:paraId="0E30E341" w14:textId="29FCB413" w:rsidR="009E13DC" w:rsidRPr="0099315B" w:rsidRDefault="009E13DC" w:rsidP="009E13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rPr>
              <w:t>(23</w:t>
            </w:r>
            <w:r w:rsidR="00882F2E">
              <w:rPr>
                <w:rFonts w:cs="Arial"/>
                <w:color w:val="auto"/>
                <w:szCs w:val="14"/>
              </w:rPr>
              <w:t>.</w:t>
            </w:r>
            <w:r w:rsidRPr="00725CD4">
              <w:rPr>
                <w:rFonts w:cs="Arial"/>
                <w:color w:val="auto"/>
                <w:szCs w:val="14"/>
              </w:rPr>
              <w:t>0)</w:t>
            </w:r>
          </w:p>
        </w:tc>
      </w:tr>
      <w:tr w:rsidR="009E13DC" w:rsidRPr="006970A5" w14:paraId="54F0D5DC" w14:textId="77777777" w:rsidTr="005F38A5">
        <w:trPr>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1D0D6B0" w14:textId="23481838" w:rsidR="009E13DC" w:rsidRPr="006970A5" w:rsidRDefault="009E13DC" w:rsidP="009E13DC">
            <w:pPr>
              <w:pStyle w:val="08-Tabelageral"/>
              <w:ind w:left="113"/>
              <w:jc w:val="left"/>
              <w:rPr>
                <w:rFonts w:cs="Arial"/>
                <w:b w:val="0"/>
                <w:lang w:eastAsia="en-US"/>
              </w:rPr>
            </w:pPr>
            <w:proofErr w:type="spellStart"/>
            <w:r w:rsidRPr="008F368D">
              <w:rPr>
                <w:rFonts w:cs="Arial"/>
                <w:b w:val="0"/>
                <w:lang w:eastAsia="en-US"/>
              </w:rPr>
              <w:t>Tax</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vAlign w:val="center"/>
            <w:hideMark/>
          </w:tcPr>
          <w:p w14:paraId="23C901E5" w14:textId="7402C210"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725CD4">
              <w:rPr>
                <w:rFonts w:cs="Arial"/>
                <w:color w:val="auto"/>
                <w:szCs w:val="14"/>
                <w:lang w:eastAsia="en-US"/>
              </w:rPr>
              <w:t>(10</w:t>
            </w:r>
            <w:r w:rsidR="00882F2E">
              <w:rPr>
                <w:rFonts w:cs="Arial"/>
                <w:color w:val="auto"/>
                <w:szCs w:val="14"/>
                <w:lang w:eastAsia="en-US"/>
              </w:rPr>
              <w:t>,</w:t>
            </w:r>
            <w:r w:rsidRPr="00725CD4">
              <w:rPr>
                <w:rFonts w:cs="Arial"/>
                <w:color w:val="auto"/>
                <w:szCs w:val="14"/>
                <w:lang w:eastAsia="en-US"/>
              </w:rPr>
              <w:t>448)</w:t>
            </w:r>
          </w:p>
        </w:tc>
        <w:tc>
          <w:tcPr>
            <w:tcW w:w="1860" w:type="dxa"/>
            <w:tcBorders>
              <w:top w:val="nil"/>
              <w:left w:val="nil"/>
              <w:bottom w:val="nil"/>
              <w:right w:val="nil"/>
            </w:tcBorders>
            <w:vAlign w:val="center"/>
            <w:hideMark/>
          </w:tcPr>
          <w:p w14:paraId="715A6D81" w14:textId="0008EF14"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color w:val="auto"/>
                <w:szCs w:val="14"/>
                <w:lang w:eastAsia="en-US"/>
              </w:rPr>
              <w:t>(4</w:t>
            </w:r>
            <w:r w:rsidR="00882F2E">
              <w:rPr>
                <w:rFonts w:cs="Arial"/>
                <w:color w:val="auto"/>
                <w:szCs w:val="14"/>
                <w:lang w:eastAsia="en-US"/>
              </w:rPr>
              <w:t>,</w:t>
            </w:r>
            <w:r w:rsidRPr="003E6037">
              <w:rPr>
                <w:rFonts w:cs="Arial"/>
                <w:color w:val="auto"/>
                <w:szCs w:val="14"/>
                <w:lang w:eastAsia="en-US"/>
              </w:rPr>
              <w:t>562)</w:t>
            </w:r>
          </w:p>
        </w:tc>
        <w:tc>
          <w:tcPr>
            <w:tcW w:w="1853" w:type="dxa"/>
            <w:tcBorders>
              <w:top w:val="nil"/>
              <w:left w:val="nil"/>
              <w:bottom w:val="nil"/>
              <w:right w:val="nil"/>
            </w:tcBorders>
            <w:hideMark/>
          </w:tcPr>
          <w:p w14:paraId="3527DA5C" w14:textId="155A6DF2" w:rsidR="009E13DC" w:rsidRPr="0099315B" w:rsidRDefault="009E13DC" w:rsidP="009E13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725CD4">
              <w:rPr>
                <w:rFonts w:cs="Arial"/>
                <w:color w:val="auto"/>
                <w:szCs w:val="14"/>
              </w:rPr>
              <w:t>129</w:t>
            </w:r>
            <w:r w:rsidR="00882F2E">
              <w:rPr>
                <w:rFonts w:cs="Arial"/>
                <w:color w:val="auto"/>
                <w:szCs w:val="14"/>
              </w:rPr>
              <w:t>.</w:t>
            </w:r>
            <w:r w:rsidRPr="00725CD4">
              <w:rPr>
                <w:rFonts w:cs="Arial"/>
                <w:color w:val="auto"/>
                <w:szCs w:val="14"/>
              </w:rPr>
              <w:t>0</w:t>
            </w:r>
          </w:p>
        </w:tc>
      </w:tr>
      <w:tr w:rsidR="00CA1F58" w:rsidRPr="006970A5" w14:paraId="16AAAF49" w14:textId="77777777" w:rsidTr="005F38A5">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6493BFA" w14:textId="1F54CE15" w:rsidR="00CA1F58" w:rsidRPr="006970A5" w:rsidRDefault="00CA1F58" w:rsidP="00CA1F58">
            <w:pPr>
              <w:pStyle w:val="08-Tabelageral"/>
              <w:ind w:left="113"/>
              <w:jc w:val="left"/>
              <w:rPr>
                <w:rFonts w:cs="Arial"/>
                <w:b w:val="0"/>
                <w:lang w:eastAsia="en-US"/>
              </w:rPr>
            </w:pPr>
            <w:r w:rsidRPr="008F368D">
              <w:rPr>
                <w:rFonts w:cs="Arial"/>
                <w:b w:val="0"/>
                <w:lang w:eastAsia="en-US"/>
              </w:rPr>
              <w:t xml:space="preserve">Other </w:t>
            </w:r>
            <w:proofErr w:type="spellStart"/>
            <w:r w:rsidRPr="008F368D">
              <w:rPr>
                <w:rFonts w:cs="Arial"/>
                <w:b w:val="0"/>
                <w:lang w:eastAsia="en-US"/>
              </w:rPr>
              <w:t>operating</w:t>
            </w:r>
            <w:proofErr w:type="spellEnd"/>
            <w:r w:rsidRPr="008F368D">
              <w:rPr>
                <w:rFonts w:cs="Arial"/>
                <w:b w:val="0"/>
                <w:lang w:eastAsia="en-US"/>
              </w:rPr>
              <w:t xml:space="preserve"> income</w:t>
            </w:r>
          </w:p>
        </w:tc>
        <w:tc>
          <w:tcPr>
            <w:tcW w:w="1860" w:type="dxa"/>
            <w:tcBorders>
              <w:top w:val="nil"/>
              <w:left w:val="nil"/>
              <w:bottom w:val="nil"/>
              <w:right w:val="nil"/>
            </w:tcBorders>
            <w:shd w:val="clear" w:color="auto" w:fill="auto"/>
            <w:vAlign w:val="center"/>
            <w:hideMark/>
          </w:tcPr>
          <w:p w14:paraId="328EC49B" w14:textId="54F04EAF"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lang w:eastAsia="en-US"/>
              </w:rPr>
              <w:t>6</w:t>
            </w:r>
            <w:r>
              <w:rPr>
                <w:rFonts w:cs="Arial"/>
                <w:color w:val="auto"/>
                <w:szCs w:val="14"/>
                <w:lang w:eastAsia="en-US"/>
              </w:rPr>
              <w:t>,</w:t>
            </w:r>
            <w:r w:rsidRPr="00725CD4">
              <w:rPr>
                <w:rFonts w:cs="Arial"/>
                <w:color w:val="auto"/>
                <w:szCs w:val="14"/>
                <w:lang w:eastAsia="en-US"/>
              </w:rPr>
              <w:t>789</w:t>
            </w:r>
          </w:p>
        </w:tc>
        <w:tc>
          <w:tcPr>
            <w:tcW w:w="1860" w:type="dxa"/>
            <w:tcBorders>
              <w:top w:val="nil"/>
              <w:left w:val="nil"/>
              <w:bottom w:val="nil"/>
              <w:right w:val="nil"/>
            </w:tcBorders>
            <w:shd w:val="clear" w:color="auto" w:fill="auto"/>
            <w:vAlign w:val="center"/>
            <w:hideMark/>
          </w:tcPr>
          <w:p w14:paraId="2A193F88" w14:textId="131305C9"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szCs w:val="14"/>
                <w:lang w:eastAsia="en-US"/>
              </w:rPr>
              <w:t>3,889</w:t>
            </w:r>
          </w:p>
        </w:tc>
        <w:tc>
          <w:tcPr>
            <w:tcW w:w="1853" w:type="dxa"/>
            <w:tcBorders>
              <w:top w:val="nil"/>
              <w:left w:val="nil"/>
              <w:bottom w:val="nil"/>
              <w:right w:val="nil"/>
            </w:tcBorders>
            <w:shd w:val="clear" w:color="auto" w:fill="auto"/>
            <w:hideMark/>
          </w:tcPr>
          <w:p w14:paraId="25A71A5A" w14:textId="4B99981A"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rPr>
              <w:t>74</w:t>
            </w:r>
            <w:r>
              <w:rPr>
                <w:rFonts w:cs="Arial"/>
                <w:color w:val="auto"/>
                <w:szCs w:val="14"/>
              </w:rPr>
              <w:t>.</w:t>
            </w:r>
            <w:r w:rsidRPr="00725CD4">
              <w:rPr>
                <w:rFonts w:cs="Arial"/>
                <w:color w:val="auto"/>
                <w:szCs w:val="14"/>
              </w:rPr>
              <w:t>6</w:t>
            </w:r>
          </w:p>
        </w:tc>
      </w:tr>
      <w:tr w:rsidR="00CA1F58" w:rsidRPr="006970A5" w14:paraId="55F85F15"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tcPr>
          <w:p w14:paraId="1D79DB33" w14:textId="21AAD144" w:rsidR="00CA1F58" w:rsidRPr="008F368D" w:rsidRDefault="00CA1F58" w:rsidP="00CA1F58">
            <w:pPr>
              <w:pStyle w:val="08-Tabelageral"/>
              <w:ind w:left="113"/>
              <w:jc w:val="left"/>
              <w:rPr>
                <w:rFonts w:cs="Arial"/>
                <w:snapToGrid w:val="0"/>
                <w:lang w:eastAsia="en-US"/>
              </w:rPr>
            </w:pPr>
            <w:r w:rsidRPr="008F368D">
              <w:rPr>
                <w:rFonts w:cs="Arial"/>
                <w:b w:val="0"/>
                <w:lang w:eastAsia="en-US"/>
              </w:rPr>
              <w:t xml:space="preserve">Other </w:t>
            </w:r>
            <w:proofErr w:type="spellStart"/>
            <w:r w:rsidRPr="008F368D">
              <w:rPr>
                <w:rFonts w:cs="Arial"/>
                <w:b w:val="0"/>
                <w:lang w:eastAsia="en-US"/>
              </w:rPr>
              <w:t>operating</w:t>
            </w:r>
            <w:proofErr w:type="spellEnd"/>
            <w:r w:rsidRPr="008F368D">
              <w:rPr>
                <w:rFonts w:cs="Arial"/>
                <w:b w:val="0"/>
                <w:lang w:eastAsia="en-US"/>
              </w:rPr>
              <w:t xml:space="preserve"> </w:t>
            </w:r>
            <w:proofErr w:type="spellStart"/>
            <w:r>
              <w:rPr>
                <w:rFonts w:cs="Arial"/>
                <w:b w:val="0"/>
                <w:lang w:eastAsia="en-US"/>
              </w:rPr>
              <w:t>expenses</w:t>
            </w:r>
            <w:proofErr w:type="spellEnd"/>
          </w:p>
        </w:tc>
        <w:tc>
          <w:tcPr>
            <w:tcW w:w="1860" w:type="dxa"/>
            <w:tcBorders>
              <w:top w:val="nil"/>
              <w:left w:val="nil"/>
              <w:bottom w:val="nil"/>
              <w:right w:val="nil"/>
            </w:tcBorders>
            <w:vAlign w:val="center"/>
          </w:tcPr>
          <w:p w14:paraId="66DAEA13" w14:textId="1842DB92" w:rsidR="00CA1F58" w:rsidRPr="00725CD4"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725CD4">
              <w:rPr>
                <w:rFonts w:cs="Arial"/>
                <w:color w:val="auto"/>
                <w:szCs w:val="14"/>
                <w:lang w:eastAsia="en-US"/>
              </w:rPr>
              <w:t>(2</w:t>
            </w:r>
            <w:r>
              <w:rPr>
                <w:rFonts w:cs="Arial"/>
                <w:color w:val="auto"/>
                <w:szCs w:val="14"/>
                <w:lang w:eastAsia="en-US"/>
              </w:rPr>
              <w:t>,</w:t>
            </w:r>
            <w:r w:rsidRPr="00725CD4">
              <w:rPr>
                <w:rFonts w:cs="Arial"/>
                <w:color w:val="auto"/>
                <w:szCs w:val="14"/>
                <w:lang w:eastAsia="en-US"/>
              </w:rPr>
              <w:t>264)</w:t>
            </w:r>
          </w:p>
        </w:tc>
        <w:tc>
          <w:tcPr>
            <w:tcW w:w="1860" w:type="dxa"/>
            <w:tcBorders>
              <w:top w:val="nil"/>
              <w:left w:val="nil"/>
              <w:bottom w:val="nil"/>
              <w:right w:val="nil"/>
            </w:tcBorders>
            <w:vAlign w:val="center"/>
          </w:tcPr>
          <w:p w14:paraId="7752BDBB" w14:textId="662B8CBE" w:rsidR="00CA1F58"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color w:val="auto"/>
                <w:szCs w:val="14"/>
                <w:lang w:eastAsia="en-US"/>
              </w:rPr>
              <w:t>(2,556)</w:t>
            </w:r>
          </w:p>
        </w:tc>
        <w:tc>
          <w:tcPr>
            <w:tcW w:w="1853" w:type="dxa"/>
            <w:tcBorders>
              <w:top w:val="nil"/>
              <w:left w:val="nil"/>
              <w:bottom w:val="nil"/>
              <w:right w:val="nil"/>
            </w:tcBorders>
          </w:tcPr>
          <w:p w14:paraId="3C459F2D" w14:textId="72507342" w:rsidR="00CA1F58" w:rsidRPr="00725CD4"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25CD4">
              <w:rPr>
                <w:rFonts w:cs="Arial"/>
                <w:color w:val="auto"/>
                <w:szCs w:val="14"/>
              </w:rPr>
              <w:t>(11</w:t>
            </w:r>
            <w:r>
              <w:rPr>
                <w:rFonts w:cs="Arial"/>
                <w:color w:val="auto"/>
                <w:szCs w:val="14"/>
              </w:rPr>
              <w:t>.</w:t>
            </w:r>
            <w:r w:rsidRPr="00725CD4">
              <w:rPr>
                <w:rFonts w:cs="Arial"/>
                <w:color w:val="auto"/>
                <w:szCs w:val="14"/>
              </w:rPr>
              <w:t>4)</w:t>
            </w:r>
          </w:p>
        </w:tc>
      </w:tr>
      <w:tr w:rsidR="00CA1F58" w:rsidRPr="006970A5" w14:paraId="0C3C245F" w14:textId="77777777" w:rsidTr="00CA1F5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D134D07" w14:textId="3B636BC1" w:rsidR="00CA1F58" w:rsidRPr="006970A5" w:rsidRDefault="00CA1F58" w:rsidP="00CA1F58">
            <w:pPr>
              <w:pStyle w:val="08-Tabelageral"/>
              <w:jc w:val="left"/>
              <w:rPr>
                <w:rFonts w:cs="Arial"/>
                <w:b w:val="0"/>
                <w:snapToGrid w:val="0"/>
                <w:lang w:eastAsia="en-US"/>
              </w:rPr>
            </w:pPr>
            <w:r w:rsidRPr="008F368D">
              <w:rPr>
                <w:rFonts w:cs="Arial"/>
                <w:snapToGrid w:val="0"/>
                <w:lang w:eastAsia="en-US"/>
              </w:rPr>
              <w:t xml:space="preserve">Net </w:t>
            </w:r>
            <w:proofErr w:type="spellStart"/>
            <w:r w:rsidRPr="008F368D">
              <w:rPr>
                <w:rFonts w:cs="Arial"/>
                <w:snapToGrid w:val="0"/>
                <w:lang w:eastAsia="en-US"/>
              </w:rPr>
              <w:t>investment</w:t>
            </w:r>
            <w:proofErr w:type="spellEnd"/>
            <w:r w:rsidRPr="008F368D">
              <w:rPr>
                <w:rFonts w:cs="Arial"/>
                <w:snapToGrid w:val="0"/>
                <w:lang w:eastAsia="en-US"/>
              </w:rPr>
              <w:t xml:space="preserve"> income</w:t>
            </w:r>
          </w:p>
        </w:tc>
        <w:tc>
          <w:tcPr>
            <w:tcW w:w="1860" w:type="dxa"/>
            <w:tcBorders>
              <w:top w:val="nil"/>
              <w:left w:val="nil"/>
              <w:bottom w:val="nil"/>
              <w:right w:val="nil"/>
            </w:tcBorders>
            <w:shd w:val="clear" w:color="auto" w:fill="auto"/>
            <w:vAlign w:val="center"/>
            <w:hideMark/>
          </w:tcPr>
          <w:p w14:paraId="587EC049" w14:textId="4A9B9D7A"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sidRPr="00725CD4">
              <w:rPr>
                <w:rFonts w:cs="Arial"/>
                <w:b/>
                <w:bCs/>
                <w:color w:val="auto"/>
                <w:szCs w:val="14"/>
                <w:lang w:eastAsia="en-US"/>
              </w:rPr>
              <w:t>114</w:t>
            </w:r>
            <w:r>
              <w:rPr>
                <w:rFonts w:cs="Arial"/>
                <w:b/>
                <w:bCs/>
                <w:color w:val="auto"/>
                <w:szCs w:val="14"/>
                <w:lang w:eastAsia="en-US"/>
              </w:rPr>
              <w:t>,</w:t>
            </w:r>
            <w:r w:rsidRPr="00725CD4">
              <w:rPr>
                <w:rFonts w:cs="Arial"/>
                <w:b/>
                <w:bCs/>
                <w:color w:val="auto"/>
                <w:szCs w:val="14"/>
                <w:lang w:eastAsia="en-US"/>
              </w:rPr>
              <w:t>691</w:t>
            </w:r>
          </w:p>
        </w:tc>
        <w:tc>
          <w:tcPr>
            <w:tcW w:w="1860" w:type="dxa"/>
            <w:tcBorders>
              <w:top w:val="nil"/>
              <w:left w:val="nil"/>
              <w:bottom w:val="nil"/>
              <w:right w:val="nil"/>
            </w:tcBorders>
            <w:shd w:val="clear" w:color="auto" w:fill="auto"/>
            <w:vAlign w:val="center"/>
            <w:hideMark/>
          </w:tcPr>
          <w:p w14:paraId="11A399F2" w14:textId="2D8B80D2"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lang w:eastAsia="en-US"/>
              </w:rPr>
            </w:pPr>
            <w:r w:rsidRPr="003E6037">
              <w:rPr>
                <w:rFonts w:cs="Arial"/>
                <w:b/>
                <w:bCs/>
                <w:color w:val="auto"/>
                <w:szCs w:val="14"/>
                <w:lang w:eastAsia="en-US"/>
              </w:rPr>
              <w:t>48</w:t>
            </w:r>
            <w:r>
              <w:rPr>
                <w:rFonts w:cs="Arial"/>
                <w:b/>
                <w:bCs/>
                <w:color w:val="auto"/>
                <w:szCs w:val="14"/>
                <w:lang w:eastAsia="en-US"/>
              </w:rPr>
              <w:t>,</w:t>
            </w:r>
            <w:r w:rsidRPr="003E6037">
              <w:rPr>
                <w:rFonts w:cs="Arial"/>
                <w:b/>
                <w:bCs/>
                <w:color w:val="auto"/>
                <w:szCs w:val="14"/>
                <w:lang w:eastAsia="en-US"/>
              </w:rPr>
              <w:t>021</w:t>
            </w:r>
          </w:p>
        </w:tc>
        <w:tc>
          <w:tcPr>
            <w:tcW w:w="1853" w:type="dxa"/>
            <w:tcBorders>
              <w:top w:val="nil"/>
              <w:left w:val="nil"/>
              <w:bottom w:val="nil"/>
              <w:right w:val="nil"/>
            </w:tcBorders>
            <w:shd w:val="clear" w:color="auto" w:fill="auto"/>
            <w:hideMark/>
          </w:tcPr>
          <w:p w14:paraId="4C55A232" w14:textId="4A8AD9C3"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lang w:eastAsia="en-US"/>
              </w:rPr>
            </w:pPr>
            <w:r w:rsidRPr="00725CD4">
              <w:rPr>
                <w:rFonts w:cs="Arial"/>
                <w:b/>
                <w:bCs/>
                <w:color w:val="auto"/>
                <w:szCs w:val="14"/>
              </w:rPr>
              <w:t>138</w:t>
            </w:r>
            <w:r>
              <w:rPr>
                <w:rFonts w:cs="Arial"/>
                <w:b/>
                <w:bCs/>
                <w:color w:val="auto"/>
                <w:szCs w:val="14"/>
              </w:rPr>
              <w:t>.</w:t>
            </w:r>
            <w:r w:rsidRPr="00725CD4">
              <w:rPr>
                <w:rFonts w:cs="Arial"/>
                <w:b/>
                <w:bCs/>
                <w:color w:val="auto"/>
                <w:szCs w:val="14"/>
              </w:rPr>
              <w:t>8</w:t>
            </w:r>
          </w:p>
        </w:tc>
      </w:tr>
      <w:tr w:rsidR="00CA1F58" w:rsidRPr="006970A5" w14:paraId="190FD4DA"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A4BF992" w14:textId="06C42C2C" w:rsidR="00CA1F58" w:rsidRPr="006970A5" w:rsidRDefault="00CA1F58" w:rsidP="00CA1F58">
            <w:pPr>
              <w:pStyle w:val="08-Tabelageral"/>
              <w:ind w:left="113"/>
              <w:jc w:val="left"/>
              <w:rPr>
                <w:rFonts w:cs="Arial"/>
                <w:lang w:eastAsia="en-US"/>
              </w:rPr>
            </w:pPr>
            <w:r w:rsidRPr="008F368D">
              <w:rPr>
                <w:rFonts w:cs="Arial"/>
                <w:b w:val="0"/>
                <w:lang w:eastAsia="en-US"/>
              </w:rPr>
              <w:t xml:space="preserve">Financial </w:t>
            </w:r>
            <w:proofErr w:type="spellStart"/>
            <w:r w:rsidRPr="008F368D">
              <w:rPr>
                <w:rFonts w:cs="Arial"/>
                <w:b w:val="0"/>
                <w:lang w:eastAsia="en-US"/>
              </w:rPr>
              <w:t>revenues</w:t>
            </w:r>
            <w:proofErr w:type="spellEnd"/>
          </w:p>
        </w:tc>
        <w:tc>
          <w:tcPr>
            <w:tcW w:w="1860" w:type="dxa"/>
            <w:tcBorders>
              <w:top w:val="nil"/>
              <w:left w:val="nil"/>
              <w:bottom w:val="nil"/>
              <w:right w:val="nil"/>
            </w:tcBorders>
            <w:vAlign w:val="center"/>
            <w:hideMark/>
          </w:tcPr>
          <w:p w14:paraId="4FB2448F" w14:textId="2624491A"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r w:rsidRPr="00725CD4">
              <w:rPr>
                <w:rFonts w:cs="Arial"/>
                <w:bCs/>
                <w:color w:val="auto"/>
                <w:szCs w:val="14"/>
                <w:lang w:eastAsia="en-US"/>
              </w:rPr>
              <w:t>212</w:t>
            </w:r>
            <w:r>
              <w:rPr>
                <w:rFonts w:cs="Arial"/>
                <w:bCs/>
                <w:color w:val="auto"/>
                <w:szCs w:val="14"/>
                <w:lang w:eastAsia="en-US"/>
              </w:rPr>
              <w:t>,</w:t>
            </w:r>
            <w:r w:rsidRPr="00725CD4">
              <w:rPr>
                <w:rFonts w:cs="Arial"/>
                <w:bCs/>
                <w:color w:val="auto"/>
                <w:szCs w:val="14"/>
                <w:lang w:eastAsia="en-US"/>
              </w:rPr>
              <w:t>451</w:t>
            </w:r>
          </w:p>
        </w:tc>
        <w:tc>
          <w:tcPr>
            <w:tcW w:w="1860" w:type="dxa"/>
            <w:tcBorders>
              <w:top w:val="nil"/>
              <w:left w:val="nil"/>
              <w:bottom w:val="nil"/>
              <w:right w:val="nil"/>
            </w:tcBorders>
            <w:vAlign w:val="center"/>
            <w:hideMark/>
          </w:tcPr>
          <w:p w14:paraId="04FCF8CC" w14:textId="1F8A9A76"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3E6037">
              <w:rPr>
                <w:rFonts w:cs="Arial"/>
                <w:bCs/>
                <w:color w:val="auto"/>
                <w:szCs w:val="14"/>
                <w:lang w:eastAsia="en-US"/>
              </w:rPr>
              <w:t>89</w:t>
            </w:r>
            <w:r>
              <w:rPr>
                <w:rFonts w:cs="Arial"/>
                <w:bCs/>
                <w:color w:val="auto"/>
                <w:szCs w:val="14"/>
                <w:lang w:eastAsia="en-US"/>
              </w:rPr>
              <w:t>,</w:t>
            </w:r>
            <w:r w:rsidRPr="003E6037">
              <w:rPr>
                <w:rFonts w:cs="Arial"/>
                <w:bCs/>
                <w:color w:val="auto"/>
                <w:szCs w:val="14"/>
                <w:lang w:eastAsia="en-US"/>
              </w:rPr>
              <w:t>041</w:t>
            </w:r>
          </w:p>
        </w:tc>
        <w:tc>
          <w:tcPr>
            <w:tcW w:w="1853" w:type="dxa"/>
            <w:tcBorders>
              <w:top w:val="nil"/>
              <w:left w:val="nil"/>
              <w:bottom w:val="nil"/>
              <w:right w:val="nil"/>
            </w:tcBorders>
            <w:hideMark/>
          </w:tcPr>
          <w:p w14:paraId="77E14B39" w14:textId="78454255"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sidRPr="00725CD4">
              <w:rPr>
                <w:rFonts w:cs="Arial"/>
                <w:color w:val="auto"/>
                <w:szCs w:val="14"/>
              </w:rPr>
              <w:t>138</w:t>
            </w:r>
            <w:r>
              <w:rPr>
                <w:rFonts w:cs="Arial"/>
                <w:color w:val="auto"/>
                <w:szCs w:val="14"/>
              </w:rPr>
              <w:t>.</w:t>
            </w:r>
            <w:r w:rsidRPr="00725CD4">
              <w:rPr>
                <w:rFonts w:cs="Arial"/>
                <w:color w:val="auto"/>
                <w:szCs w:val="14"/>
              </w:rPr>
              <w:t>6</w:t>
            </w:r>
          </w:p>
        </w:tc>
      </w:tr>
      <w:tr w:rsidR="00CA1F58" w:rsidRPr="006970A5" w14:paraId="5F91FD6B" w14:textId="77777777" w:rsidTr="00CA1F5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F656E83" w14:textId="479A01F8" w:rsidR="00CA1F58" w:rsidRPr="006970A5" w:rsidRDefault="00CA1F58" w:rsidP="00CA1F58">
            <w:pPr>
              <w:pStyle w:val="08-Tabelageral"/>
              <w:ind w:left="113"/>
              <w:jc w:val="left"/>
              <w:rPr>
                <w:rFonts w:cs="Arial"/>
                <w:b w:val="0"/>
                <w:lang w:eastAsia="en-US"/>
              </w:rPr>
            </w:pPr>
            <w:r w:rsidRPr="008F368D">
              <w:rPr>
                <w:rFonts w:cs="Arial"/>
                <w:b w:val="0"/>
                <w:lang w:eastAsia="en-US"/>
              </w:rPr>
              <w:t xml:space="preserve">Financial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414D5DB9" w14:textId="11A128D4"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lang w:eastAsia="en-US"/>
              </w:rPr>
              <w:t>(97</w:t>
            </w:r>
            <w:r>
              <w:rPr>
                <w:rFonts w:cs="Arial"/>
                <w:color w:val="auto"/>
                <w:szCs w:val="14"/>
                <w:lang w:eastAsia="en-US"/>
              </w:rPr>
              <w:t>,</w:t>
            </w:r>
            <w:r w:rsidRPr="00725CD4">
              <w:rPr>
                <w:rFonts w:cs="Arial"/>
                <w:color w:val="auto"/>
                <w:szCs w:val="14"/>
                <w:lang w:eastAsia="en-US"/>
              </w:rPr>
              <w:t>760)</w:t>
            </w:r>
          </w:p>
        </w:tc>
        <w:tc>
          <w:tcPr>
            <w:tcW w:w="1860" w:type="dxa"/>
            <w:tcBorders>
              <w:top w:val="nil"/>
              <w:left w:val="nil"/>
              <w:bottom w:val="nil"/>
              <w:right w:val="nil"/>
            </w:tcBorders>
            <w:shd w:val="clear" w:color="auto" w:fill="auto"/>
            <w:vAlign w:val="center"/>
            <w:hideMark/>
          </w:tcPr>
          <w:p w14:paraId="50115CA5" w14:textId="3DC8D7B7"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3E6037">
              <w:rPr>
                <w:rFonts w:cs="Arial"/>
                <w:color w:val="auto"/>
                <w:szCs w:val="14"/>
                <w:lang w:eastAsia="en-US"/>
              </w:rPr>
              <w:t>(41</w:t>
            </w:r>
            <w:r>
              <w:rPr>
                <w:rFonts w:cs="Arial"/>
                <w:color w:val="auto"/>
                <w:szCs w:val="14"/>
                <w:lang w:eastAsia="en-US"/>
              </w:rPr>
              <w:t>,</w:t>
            </w:r>
            <w:r w:rsidRPr="003E6037">
              <w:rPr>
                <w:rFonts w:cs="Arial"/>
                <w:color w:val="auto"/>
                <w:szCs w:val="14"/>
                <w:lang w:eastAsia="en-US"/>
              </w:rPr>
              <w:t>020)</w:t>
            </w:r>
          </w:p>
        </w:tc>
        <w:tc>
          <w:tcPr>
            <w:tcW w:w="1853" w:type="dxa"/>
            <w:tcBorders>
              <w:top w:val="nil"/>
              <w:left w:val="nil"/>
              <w:bottom w:val="nil"/>
              <w:right w:val="nil"/>
            </w:tcBorders>
            <w:shd w:val="clear" w:color="auto" w:fill="auto"/>
            <w:hideMark/>
          </w:tcPr>
          <w:p w14:paraId="451C08FF" w14:textId="22DE373E"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sidRPr="00725CD4">
              <w:rPr>
                <w:rFonts w:cs="Arial"/>
                <w:color w:val="auto"/>
                <w:szCs w:val="14"/>
              </w:rPr>
              <w:t>138</w:t>
            </w:r>
            <w:r>
              <w:rPr>
                <w:rFonts w:cs="Arial"/>
                <w:color w:val="auto"/>
                <w:szCs w:val="14"/>
              </w:rPr>
              <w:t>.</w:t>
            </w:r>
            <w:r w:rsidRPr="00725CD4">
              <w:rPr>
                <w:rFonts w:cs="Arial"/>
                <w:color w:val="auto"/>
                <w:szCs w:val="14"/>
              </w:rPr>
              <w:t>3</w:t>
            </w:r>
          </w:p>
        </w:tc>
      </w:tr>
      <w:tr w:rsidR="00CA1F58" w:rsidRPr="006970A5" w14:paraId="7F883FAA"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EB3E974" w14:textId="12AEFFEA" w:rsidR="00CA1F58" w:rsidRPr="006970A5" w:rsidRDefault="00CA1F58" w:rsidP="00CA1F58">
            <w:pPr>
              <w:pStyle w:val="08-Tabelageral"/>
              <w:jc w:val="left"/>
              <w:rPr>
                <w:rFonts w:cs="Arial"/>
                <w:b w:val="0"/>
                <w:lang w:eastAsia="en-US"/>
              </w:rPr>
            </w:pPr>
            <w:proofErr w:type="spellStart"/>
            <w:r w:rsidRPr="008F368D">
              <w:rPr>
                <w:rFonts w:cs="Arial"/>
                <w:lang w:eastAsia="en-US"/>
              </w:rPr>
              <w:t>Earnings</w:t>
            </w:r>
            <w:proofErr w:type="spellEnd"/>
            <w:r w:rsidRPr="008F368D">
              <w:rPr>
                <w:rFonts w:cs="Arial"/>
                <w:lang w:eastAsia="en-US"/>
              </w:rPr>
              <w:t xml:space="preserve"> </w:t>
            </w:r>
            <w:proofErr w:type="spellStart"/>
            <w:r w:rsidRPr="008F368D">
              <w:rPr>
                <w:rFonts w:cs="Arial"/>
                <w:lang w:eastAsia="en-US"/>
              </w:rPr>
              <w:t>before</w:t>
            </w:r>
            <w:proofErr w:type="spellEnd"/>
            <w:r w:rsidRPr="008F368D">
              <w:rPr>
                <w:rFonts w:cs="Arial"/>
                <w:lang w:eastAsia="en-US"/>
              </w:rPr>
              <w:t xml:space="preserve"> taxes</w:t>
            </w:r>
          </w:p>
        </w:tc>
        <w:tc>
          <w:tcPr>
            <w:tcW w:w="1860" w:type="dxa"/>
            <w:tcBorders>
              <w:top w:val="nil"/>
              <w:left w:val="nil"/>
              <w:bottom w:val="nil"/>
              <w:right w:val="nil"/>
            </w:tcBorders>
            <w:vAlign w:val="center"/>
            <w:hideMark/>
          </w:tcPr>
          <w:p w14:paraId="57100372" w14:textId="4E40122F"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bCs/>
                <w:color w:val="auto"/>
                <w:szCs w:val="14"/>
                <w:lang w:eastAsia="en-US"/>
              </w:rPr>
              <w:t>9</w:t>
            </w:r>
            <w:r>
              <w:rPr>
                <w:rFonts w:cs="Arial"/>
                <w:b/>
                <w:bCs/>
                <w:color w:val="auto"/>
                <w:szCs w:val="14"/>
                <w:lang w:eastAsia="en-US"/>
              </w:rPr>
              <w:t>,</w:t>
            </w:r>
            <w:r w:rsidRPr="00725CD4">
              <w:rPr>
                <w:rFonts w:cs="Arial"/>
                <w:b/>
                <w:bCs/>
                <w:color w:val="auto"/>
                <w:szCs w:val="14"/>
                <w:lang w:eastAsia="en-US"/>
              </w:rPr>
              <w:t>049</w:t>
            </w:r>
            <w:r>
              <w:rPr>
                <w:rFonts w:cs="Arial"/>
                <w:b/>
                <w:bCs/>
                <w:color w:val="auto"/>
                <w:szCs w:val="14"/>
                <w:lang w:eastAsia="en-US"/>
              </w:rPr>
              <w:t>,</w:t>
            </w:r>
            <w:r w:rsidRPr="00725CD4">
              <w:rPr>
                <w:rFonts w:cs="Arial"/>
                <w:b/>
                <w:bCs/>
                <w:color w:val="auto"/>
                <w:szCs w:val="14"/>
                <w:lang w:eastAsia="en-US"/>
              </w:rPr>
              <w:t>308</w:t>
            </w:r>
          </w:p>
        </w:tc>
        <w:tc>
          <w:tcPr>
            <w:tcW w:w="1860" w:type="dxa"/>
            <w:tcBorders>
              <w:top w:val="nil"/>
              <w:left w:val="nil"/>
              <w:bottom w:val="nil"/>
              <w:right w:val="nil"/>
            </w:tcBorders>
            <w:vAlign w:val="center"/>
            <w:hideMark/>
          </w:tcPr>
          <w:p w14:paraId="1C611371" w14:textId="2CAC7092"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b/>
                <w:bCs/>
                <w:color w:val="auto"/>
                <w:szCs w:val="14"/>
                <w:lang w:eastAsia="en-US"/>
              </w:rPr>
              <w:t>8</w:t>
            </w:r>
            <w:r>
              <w:rPr>
                <w:rFonts w:cs="Arial"/>
                <w:b/>
                <w:bCs/>
                <w:color w:val="auto"/>
                <w:szCs w:val="14"/>
                <w:lang w:eastAsia="en-US"/>
              </w:rPr>
              <w:t>,</w:t>
            </w:r>
            <w:r w:rsidRPr="003E6037">
              <w:rPr>
                <w:rFonts w:cs="Arial"/>
                <w:b/>
                <w:bCs/>
                <w:color w:val="auto"/>
                <w:szCs w:val="14"/>
                <w:lang w:eastAsia="en-US"/>
              </w:rPr>
              <w:t>712</w:t>
            </w:r>
            <w:r>
              <w:rPr>
                <w:rFonts w:cs="Arial"/>
                <w:b/>
                <w:bCs/>
                <w:color w:val="auto"/>
                <w:szCs w:val="14"/>
                <w:lang w:eastAsia="en-US"/>
              </w:rPr>
              <w:t>,</w:t>
            </w:r>
            <w:r w:rsidRPr="003E6037">
              <w:rPr>
                <w:rFonts w:cs="Arial"/>
                <w:b/>
                <w:bCs/>
                <w:color w:val="auto"/>
                <w:szCs w:val="14"/>
                <w:lang w:eastAsia="en-US"/>
              </w:rPr>
              <w:t>866</w:t>
            </w:r>
          </w:p>
        </w:tc>
        <w:tc>
          <w:tcPr>
            <w:tcW w:w="1853" w:type="dxa"/>
            <w:tcBorders>
              <w:top w:val="nil"/>
              <w:left w:val="nil"/>
              <w:bottom w:val="nil"/>
              <w:right w:val="nil"/>
            </w:tcBorders>
            <w:hideMark/>
          </w:tcPr>
          <w:p w14:paraId="5333A686" w14:textId="0BDBC0B2"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bCs/>
                <w:color w:val="auto"/>
                <w:szCs w:val="14"/>
              </w:rPr>
              <w:t>3</w:t>
            </w:r>
            <w:r>
              <w:rPr>
                <w:rFonts w:cs="Arial"/>
                <w:b/>
                <w:bCs/>
                <w:color w:val="auto"/>
                <w:szCs w:val="14"/>
              </w:rPr>
              <w:t>.</w:t>
            </w:r>
            <w:r w:rsidRPr="00725CD4">
              <w:rPr>
                <w:rFonts w:cs="Arial"/>
                <w:b/>
                <w:bCs/>
                <w:color w:val="auto"/>
                <w:szCs w:val="14"/>
              </w:rPr>
              <w:t>9</w:t>
            </w:r>
          </w:p>
        </w:tc>
      </w:tr>
      <w:tr w:rsidR="00CA1F58" w:rsidRPr="006970A5" w14:paraId="431AA247" w14:textId="77777777" w:rsidTr="00CA1F5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8FF468F" w14:textId="3054DC11" w:rsidR="00CA1F58" w:rsidRPr="006970A5" w:rsidRDefault="00CA1F58" w:rsidP="00CA1F58">
            <w:pPr>
              <w:pStyle w:val="08-Tabelageral"/>
              <w:ind w:left="113"/>
              <w:jc w:val="left"/>
              <w:rPr>
                <w:rFonts w:cs="Arial"/>
                <w:snapToGrid w:val="0"/>
                <w:lang w:eastAsia="en-US"/>
              </w:rPr>
            </w:pPr>
            <w:r w:rsidRPr="008F368D">
              <w:rPr>
                <w:rFonts w:cs="Arial"/>
                <w:b w:val="0"/>
                <w:lang w:eastAsia="en-US"/>
              </w:rPr>
              <w:t>Income taxes</w:t>
            </w:r>
          </w:p>
        </w:tc>
        <w:tc>
          <w:tcPr>
            <w:tcW w:w="1860" w:type="dxa"/>
            <w:tcBorders>
              <w:top w:val="nil"/>
              <w:left w:val="nil"/>
              <w:bottom w:val="nil"/>
              <w:right w:val="nil"/>
            </w:tcBorders>
            <w:shd w:val="clear" w:color="auto" w:fill="auto"/>
            <w:vAlign w:val="center"/>
            <w:hideMark/>
          </w:tcPr>
          <w:p w14:paraId="6442A1B5" w14:textId="54CED7DE"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lang w:eastAsia="en-US"/>
              </w:rPr>
            </w:pPr>
            <w:r w:rsidRPr="00725CD4">
              <w:rPr>
                <w:rFonts w:cs="Arial"/>
                <w:color w:val="auto"/>
                <w:szCs w:val="14"/>
                <w:lang w:eastAsia="en-US"/>
              </w:rPr>
              <w:t>(31</w:t>
            </w:r>
            <w:r>
              <w:rPr>
                <w:rFonts w:cs="Arial"/>
                <w:color w:val="auto"/>
                <w:szCs w:val="14"/>
                <w:lang w:eastAsia="en-US"/>
              </w:rPr>
              <w:t>,</w:t>
            </w:r>
            <w:r w:rsidRPr="00725CD4">
              <w:rPr>
                <w:rFonts w:cs="Arial"/>
                <w:color w:val="auto"/>
                <w:szCs w:val="14"/>
                <w:lang w:eastAsia="en-US"/>
              </w:rPr>
              <w:t>979)</w:t>
            </w:r>
          </w:p>
        </w:tc>
        <w:tc>
          <w:tcPr>
            <w:tcW w:w="1860" w:type="dxa"/>
            <w:tcBorders>
              <w:top w:val="nil"/>
              <w:left w:val="nil"/>
              <w:bottom w:val="nil"/>
              <w:right w:val="nil"/>
            </w:tcBorders>
            <w:shd w:val="clear" w:color="auto" w:fill="auto"/>
            <w:vAlign w:val="center"/>
            <w:hideMark/>
          </w:tcPr>
          <w:p w14:paraId="6B427AB6" w14:textId="0A3F2203"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lang w:eastAsia="en-US"/>
              </w:rPr>
            </w:pPr>
            <w:r w:rsidRPr="003E6037">
              <w:rPr>
                <w:rFonts w:cs="Arial"/>
                <w:color w:val="auto"/>
                <w:szCs w:val="14"/>
                <w:lang w:eastAsia="en-US"/>
              </w:rPr>
              <w:t>(9</w:t>
            </w:r>
            <w:r>
              <w:rPr>
                <w:rFonts w:cs="Arial"/>
                <w:color w:val="auto"/>
                <w:szCs w:val="14"/>
                <w:lang w:eastAsia="en-US"/>
              </w:rPr>
              <w:t>,</w:t>
            </w:r>
            <w:r w:rsidRPr="003E6037">
              <w:rPr>
                <w:rFonts w:cs="Arial"/>
                <w:color w:val="auto"/>
                <w:szCs w:val="14"/>
                <w:lang w:eastAsia="en-US"/>
              </w:rPr>
              <w:t>513)</w:t>
            </w:r>
          </w:p>
        </w:tc>
        <w:tc>
          <w:tcPr>
            <w:tcW w:w="1853" w:type="dxa"/>
            <w:tcBorders>
              <w:top w:val="nil"/>
              <w:left w:val="nil"/>
              <w:bottom w:val="nil"/>
              <w:right w:val="nil"/>
            </w:tcBorders>
            <w:shd w:val="clear" w:color="auto" w:fill="auto"/>
            <w:hideMark/>
          </w:tcPr>
          <w:p w14:paraId="706A8FC6" w14:textId="6A38B553" w:rsidR="00CA1F58" w:rsidRPr="0099315B" w:rsidRDefault="00CA1F58" w:rsidP="00CA1F58">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lang w:eastAsia="en-US"/>
              </w:rPr>
            </w:pPr>
            <w:r w:rsidRPr="00725CD4">
              <w:rPr>
                <w:rFonts w:cs="Arial"/>
                <w:color w:val="auto"/>
                <w:szCs w:val="14"/>
              </w:rPr>
              <w:t>236</w:t>
            </w:r>
            <w:r>
              <w:rPr>
                <w:rFonts w:cs="Arial"/>
                <w:color w:val="auto"/>
                <w:szCs w:val="14"/>
              </w:rPr>
              <w:t>.</w:t>
            </w:r>
            <w:r w:rsidRPr="00725CD4">
              <w:rPr>
                <w:rFonts w:cs="Arial"/>
                <w:color w:val="auto"/>
                <w:szCs w:val="14"/>
              </w:rPr>
              <w:t>2</w:t>
            </w:r>
          </w:p>
        </w:tc>
      </w:tr>
      <w:tr w:rsidR="00CA1F58" w:rsidRPr="00FA31E9" w14:paraId="3C6210EC" w14:textId="77777777" w:rsidTr="005F38A5">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hideMark/>
          </w:tcPr>
          <w:p w14:paraId="6FD067AA" w14:textId="736F10CC" w:rsidR="00CA1F58" w:rsidRPr="006970A5" w:rsidRDefault="00CA1F58" w:rsidP="00CA1F58">
            <w:pPr>
              <w:pStyle w:val="08-Tabelageral"/>
              <w:jc w:val="left"/>
              <w:rPr>
                <w:rFonts w:cs="Arial"/>
                <w:b w:val="0"/>
                <w:snapToGrid w:val="0"/>
                <w:lang w:eastAsia="en-US"/>
              </w:rPr>
            </w:pPr>
            <w:r w:rsidRPr="008F368D">
              <w:rPr>
                <w:rFonts w:cs="Arial"/>
                <w:lang w:eastAsia="en-US"/>
              </w:rPr>
              <w:t>Net income</w:t>
            </w:r>
          </w:p>
        </w:tc>
        <w:tc>
          <w:tcPr>
            <w:tcW w:w="1860" w:type="dxa"/>
            <w:tcBorders>
              <w:top w:val="nil"/>
              <w:left w:val="nil"/>
              <w:bottom w:val="single" w:sz="4" w:space="0" w:color="9CC2E5" w:themeColor="accent1" w:themeTint="99"/>
              <w:right w:val="nil"/>
            </w:tcBorders>
            <w:vAlign w:val="center"/>
            <w:hideMark/>
          </w:tcPr>
          <w:p w14:paraId="2925D7D9" w14:textId="654DFC96"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bCs/>
                <w:color w:val="auto"/>
                <w:szCs w:val="14"/>
                <w:lang w:eastAsia="en-US"/>
              </w:rPr>
              <w:t>9</w:t>
            </w:r>
            <w:r>
              <w:rPr>
                <w:rFonts w:cs="Arial"/>
                <w:b/>
                <w:bCs/>
                <w:color w:val="auto"/>
                <w:szCs w:val="14"/>
                <w:lang w:eastAsia="en-US"/>
              </w:rPr>
              <w:t>,</w:t>
            </w:r>
            <w:r w:rsidRPr="00725CD4">
              <w:rPr>
                <w:rFonts w:cs="Arial"/>
                <w:b/>
                <w:bCs/>
                <w:color w:val="auto"/>
                <w:szCs w:val="14"/>
                <w:lang w:eastAsia="en-US"/>
              </w:rPr>
              <w:t>017</w:t>
            </w:r>
            <w:r>
              <w:rPr>
                <w:rFonts w:cs="Arial"/>
                <w:b/>
                <w:bCs/>
                <w:color w:val="auto"/>
                <w:szCs w:val="14"/>
                <w:lang w:eastAsia="en-US"/>
              </w:rPr>
              <w:t>,</w:t>
            </w:r>
            <w:r w:rsidRPr="00725CD4">
              <w:rPr>
                <w:rFonts w:cs="Arial"/>
                <w:b/>
                <w:bCs/>
                <w:color w:val="auto"/>
                <w:szCs w:val="14"/>
                <w:lang w:eastAsia="en-US"/>
              </w:rPr>
              <w:t>329</w:t>
            </w:r>
          </w:p>
        </w:tc>
        <w:tc>
          <w:tcPr>
            <w:tcW w:w="1860" w:type="dxa"/>
            <w:tcBorders>
              <w:top w:val="nil"/>
              <w:left w:val="nil"/>
              <w:bottom w:val="single" w:sz="4" w:space="0" w:color="9CC2E5" w:themeColor="accent1" w:themeTint="99"/>
              <w:right w:val="nil"/>
            </w:tcBorders>
            <w:vAlign w:val="center"/>
            <w:hideMark/>
          </w:tcPr>
          <w:p w14:paraId="2BD679AC" w14:textId="50701FD7"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sidRPr="003E6037">
              <w:rPr>
                <w:rFonts w:cs="Arial"/>
                <w:b/>
                <w:bCs/>
                <w:color w:val="auto"/>
                <w:szCs w:val="14"/>
                <w:lang w:eastAsia="en-US"/>
              </w:rPr>
              <w:t>8</w:t>
            </w:r>
            <w:r>
              <w:rPr>
                <w:rFonts w:cs="Arial"/>
                <w:b/>
                <w:bCs/>
                <w:color w:val="auto"/>
                <w:szCs w:val="14"/>
                <w:lang w:eastAsia="en-US"/>
              </w:rPr>
              <w:t>,</w:t>
            </w:r>
            <w:r w:rsidRPr="003E6037">
              <w:rPr>
                <w:rFonts w:cs="Arial"/>
                <w:b/>
                <w:bCs/>
                <w:color w:val="auto"/>
                <w:szCs w:val="14"/>
                <w:lang w:eastAsia="en-US"/>
              </w:rPr>
              <w:t>703</w:t>
            </w:r>
            <w:r>
              <w:rPr>
                <w:rFonts w:cs="Arial"/>
                <w:b/>
                <w:bCs/>
                <w:color w:val="auto"/>
                <w:szCs w:val="14"/>
                <w:lang w:eastAsia="en-US"/>
              </w:rPr>
              <w:t>,</w:t>
            </w:r>
            <w:r w:rsidRPr="003E6037">
              <w:rPr>
                <w:rFonts w:cs="Arial"/>
                <w:b/>
                <w:bCs/>
                <w:color w:val="auto"/>
                <w:szCs w:val="14"/>
                <w:lang w:eastAsia="en-US"/>
              </w:rPr>
              <w:t>353</w:t>
            </w:r>
          </w:p>
        </w:tc>
        <w:tc>
          <w:tcPr>
            <w:tcW w:w="1853" w:type="dxa"/>
            <w:tcBorders>
              <w:top w:val="nil"/>
              <w:left w:val="nil"/>
              <w:bottom w:val="single" w:sz="4" w:space="0" w:color="9CC2E5" w:themeColor="accent1" w:themeTint="99"/>
              <w:right w:val="nil"/>
            </w:tcBorders>
            <w:hideMark/>
          </w:tcPr>
          <w:p w14:paraId="5E068D28" w14:textId="3CB0C630" w:rsidR="00CA1F58" w:rsidRPr="0099315B" w:rsidRDefault="00CA1F58" w:rsidP="00CA1F58">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sidRPr="00725CD4">
              <w:rPr>
                <w:rFonts w:cs="Arial"/>
                <w:b/>
                <w:bCs/>
                <w:color w:val="auto"/>
                <w:szCs w:val="14"/>
              </w:rPr>
              <w:t>3</w:t>
            </w:r>
            <w:r>
              <w:rPr>
                <w:rFonts w:cs="Arial"/>
                <w:b/>
                <w:bCs/>
                <w:color w:val="auto"/>
                <w:szCs w:val="14"/>
              </w:rPr>
              <w:t>.</w:t>
            </w:r>
            <w:r w:rsidRPr="00725CD4">
              <w:rPr>
                <w:rFonts w:cs="Arial"/>
                <w:b/>
                <w:bCs/>
                <w:color w:val="auto"/>
                <w:szCs w:val="14"/>
              </w:rPr>
              <w:t>6</w:t>
            </w:r>
          </w:p>
        </w:tc>
      </w:tr>
      <w:bookmarkEnd w:id="0"/>
    </w:tbl>
    <w:p w14:paraId="19BE52C6" w14:textId="77777777" w:rsidR="00A12A48" w:rsidRDefault="00A12A48" w:rsidP="00BC754A">
      <w:pPr>
        <w:pStyle w:val="01-Textonormal"/>
        <w:rPr>
          <w:rFonts w:cs="Arial"/>
          <w:lang w:val="en-US"/>
        </w:rPr>
      </w:pPr>
    </w:p>
    <w:p w14:paraId="238CC462" w14:textId="3B4CC4F3" w:rsidR="002C75B5" w:rsidRPr="002C75B5" w:rsidRDefault="00BA3FE3" w:rsidP="002C75B5">
      <w:pPr>
        <w:pStyle w:val="05-Textonormal"/>
        <w:rPr>
          <w:lang w:val="en-US"/>
        </w:rPr>
      </w:pPr>
      <w:bookmarkStart w:id="1" w:name="_Hlk94626662"/>
      <w:r>
        <w:rPr>
          <w:lang w:val="en-US"/>
        </w:rPr>
        <w:lastRenderedPageBreak/>
        <w:t>In 2025, t</w:t>
      </w:r>
      <w:r w:rsidR="002C75B5" w:rsidRPr="002C75B5">
        <w:rPr>
          <w:lang w:val="en-US"/>
        </w:rPr>
        <w:t>he Company’s net income reached R$9</w:t>
      </w:r>
      <w:r w:rsidR="002C75B5">
        <w:rPr>
          <w:b/>
          <w:lang w:val="en-US"/>
        </w:rPr>
        <w:t>,</w:t>
      </w:r>
      <w:r w:rsidR="002C75B5" w:rsidRPr="002C75B5">
        <w:rPr>
          <w:lang w:val="en-US"/>
        </w:rPr>
        <w:t xml:space="preserve">017 </w:t>
      </w:r>
      <w:r w:rsidR="002C75B5" w:rsidRPr="008A2CB8">
        <w:rPr>
          <w:bCs/>
          <w:lang w:val="en-US"/>
        </w:rPr>
        <w:t>m</w:t>
      </w:r>
      <w:r w:rsidR="002C75B5" w:rsidRPr="002C75B5">
        <w:rPr>
          <w:lang w:val="en-US"/>
        </w:rPr>
        <w:t xml:space="preserve">illion, representing an increase of 3.6% compared to 2024. It is important to note that in the second quarter of 2025, Brasilseg revised its </w:t>
      </w:r>
      <w:r w:rsidR="008A2CB8">
        <w:rPr>
          <w:lang w:val="en-US"/>
        </w:rPr>
        <w:t>judicial provision for claims to be settled</w:t>
      </w:r>
      <w:r w:rsidR="002C75B5" w:rsidRPr="002C75B5">
        <w:rPr>
          <w:lang w:val="en-US"/>
        </w:rPr>
        <w:t xml:space="preserve"> (PSLJ) due to changes in</w:t>
      </w:r>
      <w:r w:rsidR="008A2CB8">
        <w:rPr>
          <w:lang w:val="en-US"/>
        </w:rPr>
        <w:t xml:space="preserve"> the indexes of</w:t>
      </w:r>
      <w:r w:rsidR="002C75B5" w:rsidRPr="002C75B5">
        <w:rPr>
          <w:lang w:val="en-US"/>
        </w:rPr>
        <w:t xml:space="preserve"> monetary adjustment and interest, as established by Law 14,905/24. This resulted in a reversal of R$151.2 million related to monetary adjustments</w:t>
      </w:r>
      <w:r w:rsidR="00012ED4">
        <w:rPr>
          <w:lang w:val="en-US"/>
        </w:rPr>
        <w:t xml:space="preserve"> </w:t>
      </w:r>
      <w:r w:rsidR="002C75B5" w:rsidRPr="002C75B5">
        <w:rPr>
          <w:lang w:val="en-US"/>
        </w:rPr>
        <w:t>and interest</w:t>
      </w:r>
      <w:r w:rsidR="00012ED4">
        <w:rPr>
          <w:lang w:val="en-US"/>
        </w:rPr>
        <w:t xml:space="preserve"> on provisions</w:t>
      </w:r>
      <w:r w:rsidR="002C75B5" w:rsidRPr="002C75B5">
        <w:rPr>
          <w:lang w:val="en-US"/>
        </w:rPr>
        <w:t xml:space="preserve"> and R$22.2 million from the monetary adjustment and interest </w:t>
      </w:r>
      <w:r w:rsidR="00012ED4">
        <w:rPr>
          <w:lang w:val="en-US"/>
        </w:rPr>
        <w:t>on</w:t>
      </w:r>
      <w:r w:rsidR="002C75B5" w:rsidRPr="002C75B5">
        <w:rPr>
          <w:lang w:val="en-US"/>
        </w:rPr>
        <w:t xml:space="preserve"> reinsurance assets, producing a positive financial impact of R$129.0 million. Additionally, there was a R$3.0 million positive effect </w:t>
      </w:r>
      <w:r w:rsidRPr="002C75B5">
        <w:rPr>
          <w:lang w:val="en-US"/>
        </w:rPr>
        <w:t>on</w:t>
      </w:r>
      <w:r w:rsidR="002C75B5" w:rsidRPr="002C75B5">
        <w:rPr>
          <w:lang w:val="en-US"/>
        </w:rPr>
        <w:t xml:space="preserve"> </w:t>
      </w:r>
      <w:r w:rsidR="002C75B5" w:rsidRPr="008A2CB8">
        <w:rPr>
          <w:lang w:val="en-US"/>
        </w:rPr>
        <w:t>non</w:t>
      </w:r>
      <w:r w:rsidR="002C75B5" w:rsidRPr="008A2CB8">
        <w:rPr>
          <w:rFonts w:ascii="Cambria Math" w:hAnsi="Cambria Math" w:cs="Cambria Math"/>
          <w:lang w:val="en-US"/>
        </w:rPr>
        <w:t>‑</w:t>
      </w:r>
      <w:r w:rsidR="002C75B5" w:rsidRPr="008A2CB8">
        <w:rPr>
          <w:lang w:val="en-US"/>
        </w:rPr>
        <w:t>financial risk adjustment (</w:t>
      </w:r>
      <w:r w:rsidR="008A2CB8" w:rsidRPr="008A2CB8">
        <w:rPr>
          <w:lang w:val="en-US"/>
        </w:rPr>
        <w:t>ARNF</w:t>
      </w:r>
      <w:r w:rsidR="002C75B5" w:rsidRPr="008A2CB8">
        <w:rPr>
          <w:lang w:val="en-US"/>
        </w:rPr>
        <w:t>)</w:t>
      </w:r>
      <w:r w:rsidR="002C75B5" w:rsidRPr="002C75B5">
        <w:rPr>
          <w:lang w:val="en-US"/>
        </w:rPr>
        <w:t xml:space="preserve">, leading to a total net positive impact of R$63.2 million on BB </w:t>
      </w:r>
      <w:proofErr w:type="spellStart"/>
      <w:r w:rsidR="002C75B5" w:rsidRPr="002C75B5">
        <w:rPr>
          <w:lang w:val="en-US"/>
        </w:rPr>
        <w:t>Seguridade’s</w:t>
      </w:r>
      <w:proofErr w:type="spellEnd"/>
      <w:r w:rsidR="002C75B5" w:rsidRPr="002C75B5">
        <w:rPr>
          <w:lang w:val="en-US"/>
        </w:rPr>
        <w:t xml:space="preserve"> net income.</w:t>
      </w:r>
    </w:p>
    <w:p w14:paraId="16DD6CB7" w14:textId="5E8A6FCC" w:rsidR="002C75B5" w:rsidRPr="002C75B5" w:rsidRDefault="002C75B5" w:rsidP="002C75B5">
      <w:pPr>
        <w:pStyle w:val="05-Textonormal"/>
        <w:rPr>
          <w:lang w:val="en-US"/>
        </w:rPr>
      </w:pPr>
      <w:r w:rsidRPr="002C75B5">
        <w:rPr>
          <w:lang w:val="en-US"/>
        </w:rPr>
        <w:t>Excluding this one</w:t>
      </w:r>
      <w:r w:rsidRPr="002C75B5">
        <w:rPr>
          <w:rFonts w:ascii="Cambria Math" w:hAnsi="Cambria Math" w:cs="Cambria Math"/>
          <w:lang w:val="en-US"/>
        </w:rPr>
        <w:t>‑</w:t>
      </w:r>
      <w:r w:rsidRPr="002C75B5">
        <w:rPr>
          <w:lang w:val="en-US"/>
        </w:rPr>
        <w:t xml:space="preserve">off effect, which increased </w:t>
      </w:r>
      <w:r w:rsidR="008A2CB8">
        <w:rPr>
          <w:lang w:val="en-US"/>
        </w:rPr>
        <w:t>the equity income</w:t>
      </w:r>
      <w:r w:rsidRPr="002C75B5">
        <w:rPr>
          <w:lang w:val="en-US"/>
        </w:rPr>
        <w:t>, recurring net income would have totaled R$8</w:t>
      </w:r>
      <w:r>
        <w:rPr>
          <w:lang w:val="en-US"/>
        </w:rPr>
        <w:t>,</w:t>
      </w:r>
      <w:r w:rsidRPr="002C75B5">
        <w:rPr>
          <w:lang w:val="en-US"/>
        </w:rPr>
        <w:t xml:space="preserve">954 </w:t>
      </w:r>
      <w:r>
        <w:rPr>
          <w:lang w:val="en-US"/>
        </w:rPr>
        <w:t>m</w:t>
      </w:r>
      <w:r w:rsidRPr="002C75B5">
        <w:rPr>
          <w:lang w:val="en-US"/>
        </w:rPr>
        <w:t xml:space="preserve">illion, </w:t>
      </w:r>
      <w:r w:rsidR="008A2CB8">
        <w:rPr>
          <w:lang w:val="en-US"/>
        </w:rPr>
        <w:t>growth</w:t>
      </w:r>
      <w:r w:rsidRPr="002C75B5">
        <w:rPr>
          <w:lang w:val="en-US"/>
        </w:rPr>
        <w:t xml:space="preserve"> of R$250.8 million (+2.9%), largely explained by:</w:t>
      </w:r>
    </w:p>
    <w:p w14:paraId="7197EDC5" w14:textId="05476931" w:rsidR="002C75B5" w:rsidRPr="002C75B5" w:rsidRDefault="002C75B5" w:rsidP="0044364F">
      <w:pPr>
        <w:pStyle w:val="05-Textonormal"/>
        <w:numPr>
          <w:ilvl w:val="0"/>
          <w:numId w:val="6"/>
        </w:numPr>
        <w:rPr>
          <w:lang w:val="en-US"/>
        </w:rPr>
      </w:pPr>
      <w:r w:rsidRPr="002C75B5">
        <w:rPr>
          <w:b/>
          <w:bCs/>
          <w:lang w:val="en-US"/>
        </w:rPr>
        <w:t>Brasilseg (+R$422.6 million):</w:t>
      </w:r>
      <w:r>
        <w:rPr>
          <w:lang w:val="en-US"/>
        </w:rPr>
        <w:t xml:space="preserve"> </w:t>
      </w:r>
      <w:r w:rsidRPr="002C75B5">
        <w:rPr>
          <w:lang w:val="en-US"/>
        </w:rPr>
        <w:t>driven by higher insurance and reinsurance margins and improved loss ratio.</w:t>
      </w:r>
    </w:p>
    <w:p w14:paraId="6C89A5CF" w14:textId="0BE9EA32" w:rsidR="002C75B5" w:rsidRPr="002C75B5" w:rsidRDefault="002C75B5" w:rsidP="0044364F">
      <w:pPr>
        <w:pStyle w:val="05-Textonormal"/>
        <w:numPr>
          <w:ilvl w:val="0"/>
          <w:numId w:val="6"/>
        </w:numPr>
        <w:rPr>
          <w:lang w:val="en-US"/>
        </w:rPr>
      </w:pPr>
      <w:r w:rsidRPr="002C75B5">
        <w:rPr>
          <w:b/>
          <w:bCs/>
          <w:lang w:val="en-US"/>
        </w:rPr>
        <w:t xml:space="preserve">BB </w:t>
      </w:r>
      <w:proofErr w:type="spellStart"/>
      <w:r w:rsidRPr="002C75B5">
        <w:rPr>
          <w:b/>
          <w:bCs/>
          <w:lang w:val="en-US"/>
        </w:rPr>
        <w:t>Corretora</w:t>
      </w:r>
      <w:proofErr w:type="spellEnd"/>
      <w:r w:rsidRPr="002C75B5">
        <w:rPr>
          <w:b/>
          <w:bCs/>
          <w:lang w:val="en-US"/>
        </w:rPr>
        <w:t xml:space="preserve"> (+R$227.0 million):</w:t>
      </w:r>
      <w:r w:rsidRPr="002C75B5">
        <w:rPr>
          <w:lang w:val="en-US"/>
        </w:rPr>
        <w:t xml:space="preserve"> supported by the rise in brokerage revenues and the expansion of </w:t>
      </w:r>
      <w:r w:rsidR="00B3206D">
        <w:rPr>
          <w:lang w:val="en-US"/>
        </w:rPr>
        <w:t>net investment income</w:t>
      </w:r>
      <w:r w:rsidRPr="002C75B5">
        <w:rPr>
          <w:lang w:val="en-US"/>
        </w:rPr>
        <w:t>.</w:t>
      </w:r>
    </w:p>
    <w:p w14:paraId="77AAF127" w14:textId="10B96506" w:rsidR="002C75B5" w:rsidRPr="002C75B5" w:rsidRDefault="002C75B5" w:rsidP="0044364F">
      <w:pPr>
        <w:pStyle w:val="05-Textonormal"/>
        <w:numPr>
          <w:ilvl w:val="0"/>
          <w:numId w:val="6"/>
        </w:numPr>
        <w:rPr>
          <w:lang w:val="en-US"/>
        </w:rPr>
      </w:pPr>
      <w:r w:rsidRPr="002C75B5">
        <w:rPr>
          <w:b/>
          <w:bCs/>
          <w:lang w:val="en-US"/>
        </w:rPr>
        <w:t>Brasilcap (+R$25.0 million):</w:t>
      </w:r>
      <w:r>
        <w:rPr>
          <w:b/>
          <w:bCs/>
          <w:lang w:val="en-US"/>
        </w:rPr>
        <w:t xml:space="preserve"> </w:t>
      </w:r>
      <w:proofErr w:type="gramStart"/>
      <w:r w:rsidRPr="002C75B5">
        <w:rPr>
          <w:lang w:val="en-US"/>
        </w:rPr>
        <w:t>reflecting</w:t>
      </w:r>
      <w:proofErr w:type="gramEnd"/>
      <w:r w:rsidRPr="002C75B5">
        <w:rPr>
          <w:lang w:val="en-US"/>
        </w:rPr>
        <w:t xml:space="preserve"> stronger financial margins and higher average</w:t>
      </w:r>
      <w:r>
        <w:rPr>
          <w:lang w:val="en-US"/>
        </w:rPr>
        <w:t xml:space="preserve"> balance of</w:t>
      </w:r>
      <w:r w:rsidRPr="002C75B5">
        <w:rPr>
          <w:lang w:val="en-US"/>
        </w:rPr>
        <w:t xml:space="preserve"> financial asset</w:t>
      </w:r>
      <w:r>
        <w:rPr>
          <w:lang w:val="en-US"/>
        </w:rPr>
        <w:t>s</w:t>
      </w:r>
      <w:r w:rsidRPr="002C75B5">
        <w:rPr>
          <w:lang w:val="en-US"/>
        </w:rPr>
        <w:t>.</w:t>
      </w:r>
    </w:p>
    <w:p w14:paraId="73F26837" w14:textId="33654F3A" w:rsidR="002C75B5" w:rsidRPr="002C75B5" w:rsidRDefault="002C75B5" w:rsidP="0044364F">
      <w:pPr>
        <w:pStyle w:val="05-Textonormal"/>
        <w:numPr>
          <w:ilvl w:val="0"/>
          <w:numId w:val="6"/>
        </w:numPr>
        <w:rPr>
          <w:lang w:val="en-US"/>
        </w:rPr>
      </w:pPr>
      <w:r w:rsidRPr="002C75B5">
        <w:rPr>
          <w:b/>
          <w:bCs/>
          <w:lang w:val="en-US"/>
        </w:rPr>
        <w:t>Other (+R$18.1 million):</w:t>
      </w:r>
      <w:r w:rsidRPr="002C75B5">
        <w:rPr>
          <w:lang w:val="en-US"/>
        </w:rPr>
        <w:t xml:space="preserve"> primarily due to higher financial income at BB Seguros holding, </w:t>
      </w:r>
      <w:r w:rsidR="008A2CB8">
        <w:rPr>
          <w:lang w:val="en-US"/>
        </w:rPr>
        <w:t>attributed to</w:t>
      </w:r>
      <w:r w:rsidRPr="002C75B5">
        <w:rPr>
          <w:lang w:val="en-US"/>
        </w:rPr>
        <w:t xml:space="preserve"> </w:t>
      </w:r>
      <w:r w:rsidR="008A2CB8">
        <w:rPr>
          <w:lang w:val="en-US"/>
        </w:rPr>
        <w:t xml:space="preserve">an increased </w:t>
      </w:r>
      <w:r w:rsidRPr="002C75B5">
        <w:rPr>
          <w:lang w:val="en-US"/>
        </w:rPr>
        <w:t>average balance of financial investments and higher Selic rate.</w:t>
      </w:r>
    </w:p>
    <w:p w14:paraId="2F54DF41" w14:textId="2C859035" w:rsidR="002C75B5" w:rsidRPr="002C75B5" w:rsidRDefault="002C75B5" w:rsidP="002C75B5">
      <w:pPr>
        <w:pStyle w:val="05-Textonormal"/>
        <w:rPr>
          <w:lang w:val="en-US"/>
        </w:rPr>
      </w:pPr>
      <w:r w:rsidRPr="002C75B5">
        <w:rPr>
          <w:lang w:val="en-US"/>
        </w:rPr>
        <w:t xml:space="preserve">Part of these positive effects was offset by a lower contribution from </w:t>
      </w:r>
      <w:r w:rsidRPr="002C75B5">
        <w:rPr>
          <w:b/>
          <w:bCs/>
          <w:lang w:val="en-US"/>
        </w:rPr>
        <w:t>Brasilprev</w:t>
      </w:r>
      <w:r w:rsidRPr="002C75B5">
        <w:rPr>
          <w:lang w:val="en-US"/>
        </w:rPr>
        <w:t xml:space="preserve">, impacted mainly by the higher onerousness of traditional plans due to deviations between expected and </w:t>
      </w:r>
      <w:r w:rsidR="00FB678F">
        <w:rPr>
          <w:lang w:val="en-US"/>
        </w:rPr>
        <w:t>effective</w:t>
      </w:r>
      <w:r w:rsidRPr="002C75B5">
        <w:rPr>
          <w:lang w:val="en-US"/>
        </w:rPr>
        <w:t xml:space="preserve"> IGP</w:t>
      </w:r>
      <w:r w:rsidRPr="002C75B5">
        <w:rPr>
          <w:rFonts w:ascii="Cambria Math" w:hAnsi="Cambria Math" w:cs="Cambria Math"/>
          <w:lang w:val="en-US"/>
        </w:rPr>
        <w:t>‑</w:t>
      </w:r>
      <w:r w:rsidRPr="002C75B5">
        <w:rPr>
          <w:lang w:val="en-US"/>
        </w:rPr>
        <w:t xml:space="preserve">M (the main index used to </w:t>
      </w:r>
      <w:r w:rsidR="00FB678F">
        <w:rPr>
          <w:lang w:val="en-US"/>
        </w:rPr>
        <w:t>adjust</w:t>
      </w:r>
      <w:r w:rsidRPr="002C75B5">
        <w:rPr>
          <w:lang w:val="en-US"/>
        </w:rPr>
        <w:t xml:space="preserve"> liabilities), and by lower financial revenues resulting from reduced average yields on financial assets.</w:t>
      </w:r>
    </w:p>
    <w:p w14:paraId="00D4FC60" w14:textId="27CA3524" w:rsidR="002C75B5" w:rsidRPr="002C75B5" w:rsidRDefault="002C75B5" w:rsidP="002C75B5">
      <w:pPr>
        <w:pStyle w:val="05-Textonormal"/>
        <w:rPr>
          <w:lang w:val="en-US"/>
        </w:rPr>
      </w:pPr>
      <w:r w:rsidRPr="002C75B5">
        <w:rPr>
          <w:lang w:val="en-US"/>
        </w:rPr>
        <w:t xml:space="preserve">The negative balance of “other revenues and expenses” increased by R$2.7 million (+14.3%), mainly </w:t>
      </w:r>
      <w:r w:rsidR="00FB678F">
        <w:rPr>
          <w:lang w:val="en-US"/>
        </w:rPr>
        <w:t xml:space="preserve">explained by </w:t>
      </w:r>
      <w:r w:rsidRPr="002C75B5">
        <w:rPr>
          <w:lang w:val="en-US"/>
        </w:rPr>
        <w:t>the rise in tax expenses on financial revenues, driven by the higher Selic rate and the growth in the average balance of financial investments. However, part of this increase was offset by a higher volume of revenues from the Level I ADR Program, recorded under other operating revenues.</w:t>
      </w:r>
    </w:p>
    <w:p w14:paraId="1C10624A" w14:textId="77777777" w:rsidR="004B5D4E" w:rsidRDefault="004B5D4E" w:rsidP="00BC754A">
      <w:pPr>
        <w:pStyle w:val="03-SubttulodeNota"/>
        <w:keepNext/>
        <w:spacing w:line="276" w:lineRule="auto"/>
        <w:rPr>
          <w:color w:val="1F4E79" w:themeColor="accent1" w:themeShade="80"/>
          <w:lang w:val="en-US"/>
        </w:rPr>
      </w:pPr>
    </w:p>
    <w:p w14:paraId="23103871" w14:textId="3C3974D7" w:rsidR="00BC754A" w:rsidRPr="00531D45" w:rsidRDefault="00531D45" w:rsidP="00BC754A">
      <w:pPr>
        <w:pStyle w:val="03-SubttulodeNota"/>
        <w:keepNext/>
        <w:spacing w:line="276" w:lineRule="auto"/>
        <w:rPr>
          <w:color w:val="1F4E79" w:themeColor="accent1" w:themeShade="80"/>
          <w:highlight w:val="yellow"/>
          <w:lang w:val="en-US"/>
        </w:rPr>
      </w:pPr>
      <w:r w:rsidRPr="00531D45">
        <w:rPr>
          <w:color w:val="1F4E79" w:themeColor="accent1" w:themeShade="80"/>
          <w:lang w:val="en-US"/>
        </w:rPr>
        <w:t>Equity income</w:t>
      </w:r>
      <w:r w:rsidR="00BC754A" w:rsidRPr="00531D45">
        <w:rPr>
          <w:color w:val="1F4E79" w:themeColor="accent1" w:themeShade="80"/>
          <w:lang w:val="en-US"/>
        </w:rPr>
        <w:t xml:space="preserve"> – </w:t>
      </w:r>
      <w:r w:rsidRPr="00531D45">
        <w:rPr>
          <w:color w:val="1F4E79" w:themeColor="accent1" w:themeShade="80"/>
          <w:lang w:val="en-US"/>
        </w:rPr>
        <w:t>Performance of the investees</w:t>
      </w:r>
      <w:r w:rsidRPr="00531D45">
        <w:rPr>
          <w:color w:val="1F4E79" w:themeColor="accent1" w:themeShade="80"/>
          <w:highlight w:val="yellow"/>
          <w:lang w:val="en-US"/>
        </w:rPr>
        <w:t xml:space="preserve"> </w:t>
      </w:r>
    </w:p>
    <w:p w14:paraId="4051F91A" w14:textId="5198D4ED" w:rsidR="00BC754A" w:rsidRDefault="00531D45" w:rsidP="00BC754A">
      <w:pPr>
        <w:pStyle w:val="01-Textonormal"/>
        <w:rPr>
          <w:rFonts w:eastAsiaTheme="minorHAnsi"/>
          <w:lang w:val="en-US"/>
        </w:rPr>
      </w:pPr>
      <w:r w:rsidRPr="002C3D6A">
        <w:rPr>
          <w:rFonts w:eastAsiaTheme="minorHAnsi"/>
          <w:lang w:val="en-US"/>
        </w:rPr>
        <w:t xml:space="preserve">We </w:t>
      </w:r>
      <w:r w:rsidR="0007563E" w:rsidRPr="002C3D6A">
        <w:rPr>
          <w:rFonts w:eastAsiaTheme="minorHAnsi"/>
          <w:lang w:val="en-US"/>
        </w:rPr>
        <w:t>summarize</w:t>
      </w:r>
      <w:r w:rsidRPr="002C3D6A">
        <w:rPr>
          <w:rFonts w:eastAsiaTheme="minorHAnsi"/>
          <w:lang w:val="en-US"/>
        </w:rPr>
        <w:t xml:space="preserve"> below the performance of the </w:t>
      </w:r>
      <w:r w:rsidR="00BA550B" w:rsidRPr="002C3D6A">
        <w:rPr>
          <w:rFonts w:eastAsiaTheme="minorHAnsi"/>
          <w:lang w:val="en-US"/>
        </w:rPr>
        <w:t>investees</w:t>
      </w:r>
      <w:r w:rsidRPr="002C3D6A">
        <w:rPr>
          <w:rFonts w:eastAsiaTheme="minorHAnsi"/>
          <w:lang w:val="en-US"/>
        </w:rPr>
        <w:t xml:space="preserve"> in 202</w:t>
      </w:r>
      <w:r w:rsidR="00FB678F">
        <w:rPr>
          <w:rFonts w:eastAsiaTheme="minorHAnsi"/>
          <w:lang w:val="en-US"/>
        </w:rPr>
        <w:t>5</w:t>
      </w:r>
      <w:r w:rsidR="00EF58B5">
        <w:rPr>
          <w:rFonts w:eastAsiaTheme="minorHAnsi"/>
          <w:lang w:val="en-US"/>
        </w:rPr>
        <w:t>,</w:t>
      </w:r>
      <w:r w:rsidR="00BC754A" w:rsidRPr="002C3D6A">
        <w:rPr>
          <w:rFonts w:eastAsiaTheme="minorHAnsi"/>
          <w:lang w:val="en-US"/>
        </w:rPr>
        <w:t xml:space="preserve"> M</w:t>
      </w:r>
      <w:r w:rsidRPr="002C3D6A">
        <w:rPr>
          <w:rFonts w:eastAsiaTheme="minorHAnsi"/>
          <w:lang w:val="en-US"/>
        </w:rPr>
        <w:t xml:space="preserve">ore information </w:t>
      </w:r>
      <w:r w:rsidR="00BA550B" w:rsidRPr="002C3D6A">
        <w:rPr>
          <w:rFonts w:eastAsiaTheme="minorHAnsi"/>
          <w:lang w:val="en-US"/>
        </w:rPr>
        <w:t>was</w:t>
      </w:r>
      <w:r w:rsidRPr="002C3D6A">
        <w:rPr>
          <w:rFonts w:eastAsiaTheme="minorHAnsi"/>
          <w:lang w:val="en-US"/>
        </w:rPr>
        <w:t xml:space="preserve"> made available in the MD&amp;A, which can be re</w:t>
      </w:r>
      <w:r w:rsidRPr="007812AF">
        <w:rPr>
          <w:rFonts w:eastAsiaTheme="minorHAnsi"/>
          <w:lang w:val="en-US"/>
        </w:rPr>
        <w:t xml:space="preserve">ached at </w:t>
      </w:r>
      <w:hyperlink r:id="rId8" w:history="1">
        <w:r w:rsidR="00FB678F" w:rsidRPr="007812AF">
          <w:rPr>
            <w:rStyle w:val="Hyperlink"/>
            <w:rFonts w:eastAsiaTheme="minorHAnsi"/>
            <w:color w:val="auto"/>
            <w:lang w:val="en-US"/>
          </w:rPr>
          <w:t>www.bbseguridaderi.com,br/en/market-information/results-center/</w:t>
        </w:r>
      </w:hyperlink>
    </w:p>
    <w:p w14:paraId="6520FAF8" w14:textId="77777777" w:rsidR="00FB678F" w:rsidRPr="002C3D6A" w:rsidRDefault="00FB678F" w:rsidP="00BC754A">
      <w:pPr>
        <w:pStyle w:val="01-Textonormal"/>
        <w:rPr>
          <w:rFonts w:eastAsiaTheme="minorHAnsi"/>
          <w:lang w:val="en-US"/>
        </w:rPr>
      </w:pPr>
    </w:p>
    <w:p w14:paraId="3AA70FF3" w14:textId="77777777" w:rsidR="00BC754A" w:rsidRPr="00767B56" w:rsidRDefault="00BC754A" w:rsidP="00BC754A">
      <w:pPr>
        <w:pStyle w:val="03-SubttulodeNota"/>
        <w:spacing w:line="276" w:lineRule="auto"/>
        <w:rPr>
          <w:color w:val="1F4E79" w:themeColor="accent1" w:themeShade="80"/>
          <w:lang w:val="en-US"/>
        </w:rPr>
      </w:pPr>
      <w:r w:rsidRPr="00767B56">
        <w:rPr>
          <w:color w:val="1F4E79" w:themeColor="accent1" w:themeShade="80"/>
          <w:lang w:val="en-US"/>
        </w:rPr>
        <w:t>BB MAPFRE (Brasilseg)</w:t>
      </w:r>
    </w:p>
    <w:p w14:paraId="01F3EE74" w14:textId="60547984" w:rsidR="00FB678F" w:rsidRPr="00FB678F" w:rsidRDefault="00FB678F" w:rsidP="00FB678F">
      <w:pPr>
        <w:autoSpaceDE w:val="0"/>
        <w:autoSpaceDN w:val="0"/>
        <w:adjustRightInd w:val="0"/>
        <w:spacing w:before="120" w:after="120"/>
        <w:jc w:val="both"/>
        <w:rPr>
          <w:rFonts w:eastAsia="Times New Roman" w:cs="Arial"/>
          <w:spacing w:val="-2"/>
          <w:szCs w:val="18"/>
          <w:lang w:val="en-US" w:eastAsia="pt-BR"/>
        </w:rPr>
      </w:pPr>
      <w:r w:rsidRPr="00FB678F">
        <w:rPr>
          <w:rFonts w:eastAsia="Times New Roman" w:cs="Arial"/>
          <w:spacing w:val="-2"/>
          <w:szCs w:val="18"/>
          <w:lang w:val="en-US" w:eastAsia="pt-BR"/>
        </w:rPr>
        <w:t xml:space="preserve">In 2025, recurring net income from the insurance operation reached R$5.0 billion, an increase of 12.8% compared to the previous year. This growth was driven mainly by the expansion of the contractual service margin (CSM) of credit life insurance, measured under the </w:t>
      </w:r>
      <w:r>
        <w:rPr>
          <w:rFonts w:eastAsia="Times New Roman" w:cs="Arial"/>
          <w:spacing w:val="-2"/>
          <w:szCs w:val="18"/>
          <w:lang w:val="en-US" w:eastAsia="pt-BR"/>
        </w:rPr>
        <w:t>g</w:t>
      </w:r>
      <w:r w:rsidRPr="00FB678F">
        <w:rPr>
          <w:rFonts w:eastAsia="Times New Roman" w:cs="Arial"/>
          <w:spacing w:val="-2"/>
          <w:szCs w:val="18"/>
          <w:lang w:val="en-US" w:eastAsia="pt-BR"/>
        </w:rPr>
        <w:t xml:space="preserve">eneral </w:t>
      </w:r>
      <w:r>
        <w:rPr>
          <w:rFonts w:eastAsia="Times New Roman" w:cs="Arial"/>
          <w:spacing w:val="-2"/>
          <w:szCs w:val="18"/>
          <w:lang w:val="en-US" w:eastAsia="pt-BR"/>
        </w:rPr>
        <w:t>m</w:t>
      </w:r>
      <w:r w:rsidRPr="00FB678F">
        <w:rPr>
          <w:rFonts w:eastAsia="Times New Roman" w:cs="Arial"/>
          <w:spacing w:val="-2"/>
          <w:szCs w:val="18"/>
          <w:lang w:val="en-US" w:eastAsia="pt-BR"/>
        </w:rPr>
        <w:t xml:space="preserve">easurement </w:t>
      </w:r>
      <w:r>
        <w:rPr>
          <w:rFonts w:eastAsia="Times New Roman" w:cs="Arial"/>
          <w:spacing w:val="-2"/>
          <w:szCs w:val="18"/>
          <w:lang w:val="en-US" w:eastAsia="pt-BR"/>
        </w:rPr>
        <w:t>m</w:t>
      </w:r>
      <w:r w:rsidRPr="00FB678F">
        <w:rPr>
          <w:rFonts w:eastAsia="Times New Roman" w:cs="Arial"/>
          <w:spacing w:val="-2"/>
          <w:szCs w:val="18"/>
          <w:lang w:val="en-US" w:eastAsia="pt-BR"/>
        </w:rPr>
        <w:t xml:space="preserve">odel </w:t>
      </w:r>
      <w:r>
        <w:rPr>
          <w:rFonts w:eastAsia="Times New Roman" w:cs="Arial"/>
          <w:spacing w:val="-2"/>
          <w:szCs w:val="18"/>
          <w:lang w:val="en-US" w:eastAsia="pt-BR"/>
        </w:rPr>
        <w:t xml:space="preserve">- </w:t>
      </w:r>
      <w:r w:rsidRPr="00FB678F">
        <w:rPr>
          <w:rFonts w:eastAsia="Times New Roman" w:cs="Arial"/>
          <w:spacing w:val="-2"/>
          <w:szCs w:val="18"/>
          <w:lang w:val="en-US" w:eastAsia="pt-BR"/>
        </w:rPr>
        <w:t xml:space="preserve">Building Block Approach </w:t>
      </w:r>
      <w:r>
        <w:rPr>
          <w:rFonts w:eastAsia="Times New Roman" w:cs="Arial"/>
          <w:spacing w:val="-2"/>
          <w:szCs w:val="18"/>
          <w:lang w:val="en-US" w:eastAsia="pt-BR"/>
        </w:rPr>
        <w:t>(</w:t>
      </w:r>
      <w:r w:rsidRPr="00FB678F">
        <w:rPr>
          <w:rFonts w:eastAsia="Times New Roman" w:cs="Arial"/>
          <w:spacing w:val="-2"/>
          <w:szCs w:val="18"/>
          <w:lang w:val="en-US" w:eastAsia="pt-BR"/>
        </w:rPr>
        <w:t xml:space="preserve">BBA), and the improvement in loss ratios, particularly in credit life, life, rural </w:t>
      </w:r>
      <w:proofErr w:type="gramStart"/>
      <w:r w:rsidRPr="00FB678F">
        <w:rPr>
          <w:rFonts w:eastAsia="Times New Roman" w:cs="Arial"/>
          <w:spacing w:val="-2"/>
          <w:szCs w:val="18"/>
          <w:lang w:val="en-US" w:eastAsia="pt-BR"/>
        </w:rPr>
        <w:t>lien</w:t>
      </w:r>
      <w:proofErr w:type="gramEnd"/>
      <w:r w:rsidRPr="00FB678F">
        <w:rPr>
          <w:rFonts w:eastAsia="Times New Roman" w:cs="Arial"/>
          <w:spacing w:val="-2"/>
          <w:szCs w:val="18"/>
          <w:lang w:val="en-US" w:eastAsia="pt-BR"/>
        </w:rPr>
        <w:t xml:space="preserve">, </w:t>
      </w:r>
      <w:r>
        <w:rPr>
          <w:rFonts w:eastAsia="Times New Roman" w:cs="Arial"/>
          <w:spacing w:val="-2"/>
          <w:szCs w:val="18"/>
          <w:lang w:val="en-US" w:eastAsia="pt-BR"/>
        </w:rPr>
        <w:t>home</w:t>
      </w:r>
      <w:r w:rsidRPr="00FB678F">
        <w:rPr>
          <w:rFonts w:eastAsia="Times New Roman" w:cs="Arial"/>
          <w:spacing w:val="-2"/>
          <w:szCs w:val="18"/>
          <w:lang w:val="en-US" w:eastAsia="pt-BR"/>
        </w:rPr>
        <w:t xml:space="preserve"> and commercial</w:t>
      </w:r>
      <w:r w:rsidR="00246FFC">
        <w:rPr>
          <w:rFonts w:eastAsia="Times New Roman" w:cs="Arial"/>
          <w:spacing w:val="-2"/>
          <w:szCs w:val="18"/>
          <w:lang w:val="en-US" w:eastAsia="pt-BR"/>
        </w:rPr>
        <w:t xml:space="preserve"> lines</w:t>
      </w:r>
      <w:r w:rsidRPr="00FB678F">
        <w:rPr>
          <w:rFonts w:eastAsia="Times New Roman" w:cs="Arial"/>
          <w:spacing w:val="-2"/>
          <w:szCs w:val="18"/>
          <w:lang w:val="en-US" w:eastAsia="pt-BR"/>
        </w:rPr>
        <w:t xml:space="preserve"> insurance products.</w:t>
      </w:r>
    </w:p>
    <w:p w14:paraId="4C6710C3" w14:textId="60F2DA4D" w:rsidR="00BC754A" w:rsidRDefault="00246FFC" w:rsidP="00FB678F">
      <w:pPr>
        <w:autoSpaceDE w:val="0"/>
        <w:autoSpaceDN w:val="0"/>
        <w:adjustRightInd w:val="0"/>
        <w:spacing w:before="120" w:after="120"/>
        <w:jc w:val="both"/>
        <w:rPr>
          <w:rFonts w:eastAsia="Times New Roman" w:cs="Arial"/>
          <w:spacing w:val="-2"/>
          <w:szCs w:val="18"/>
          <w:lang w:val="en-US" w:eastAsia="pt-BR"/>
        </w:rPr>
      </w:pPr>
      <w:r>
        <w:rPr>
          <w:rFonts w:eastAsia="Times New Roman" w:cs="Arial"/>
          <w:spacing w:val="-2"/>
          <w:szCs w:val="18"/>
          <w:lang w:val="en-US" w:eastAsia="pt-BR"/>
        </w:rPr>
        <w:t>Net investment income</w:t>
      </w:r>
      <w:r w:rsidR="00FB678F" w:rsidRPr="00FB678F">
        <w:rPr>
          <w:rFonts w:eastAsia="Times New Roman" w:cs="Arial"/>
          <w:spacing w:val="-2"/>
          <w:szCs w:val="18"/>
          <w:lang w:val="en-US" w:eastAsia="pt-BR"/>
        </w:rPr>
        <w:t xml:space="preserve"> rose 56.3%, supported by higher average Selic rate and growth in the balance of financial assets.</w:t>
      </w:r>
    </w:p>
    <w:p w14:paraId="7D9B5B25" w14:textId="77777777" w:rsidR="00FB678F" w:rsidRDefault="00FB678F" w:rsidP="00FB678F">
      <w:pPr>
        <w:autoSpaceDE w:val="0"/>
        <w:autoSpaceDN w:val="0"/>
        <w:adjustRightInd w:val="0"/>
        <w:spacing w:before="120" w:after="120"/>
        <w:jc w:val="both"/>
        <w:rPr>
          <w:rFonts w:eastAsia="Times New Roman" w:cs="Arial"/>
          <w:spacing w:val="-2"/>
          <w:szCs w:val="18"/>
          <w:lang w:val="en-US" w:eastAsia="pt-BR"/>
        </w:rPr>
      </w:pPr>
    </w:p>
    <w:p w14:paraId="28FAEC7F" w14:textId="77777777" w:rsidR="00BC754A" w:rsidRPr="00767B56" w:rsidRDefault="00BC754A" w:rsidP="00BC754A">
      <w:pPr>
        <w:pStyle w:val="03-SubttulodeNota"/>
        <w:spacing w:line="276" w:lineRule="auto"/>
        <w:rPr>
          <w:color w:val="1F4E79" w:themeColor="accent1" w:themeShade="80"/>
          <w:lang w:val="en-US"/>
        </w:rPr>
      </w:pPr>
      <w:r w:rsidRPr="00767B56">
        <w:rPr>
          <w:color w:val="1F4E79" w:themeColor="accent1" w:themeShade="80"/>
          <w:lang w:val="en-US"/>
        </w:rPr>
        <w:t>Brasilprev</w:t>
      </w:r>
    </w:p>
    <w:p w14:paraId="63E6C906" w14:textId="1290AB67" w:rsidR="000E39FA" w:rsidRPr="000E39FA" w:rsidRDefault="000E39FA" w:rsidP="000E39FA">
      <w:pPr>
        <w:jc w:val="both"/>
        <w:rPr>
          <w:rFonts w:eastAsia="Times New Roman" w:cs="Arial"/>
          <w:spacing w:val="-2"/>
          <w:szCs w:val="18"/>
          <w:lang w:val="en-US" w:eastAsia="pt-BR"/>
        </w:rPr>
      </w:pPr>
      <w:r w:rsidRPr="000E39FA">
        <w:rPr>
          <w:rFonts w:eastAsia="Times New Roman" w:cs="Arial"/>
          <w:spacing w:val="-2"/>
          <w:szCs w:val="18"/>
          <w:lang w:val="en-US" w:eastAsia="pt-BR"/>
        </w:rPr>
        <w:t>Net income from the pension plan operation fell 26.8% in 2025</w:t>
      </w:r>
      <w:r w:rsidR="00DB60D7">
        <w:rPr>
          <w:rFonts w:eastAsia="Times New Roman" w:cs="Arial"/>
          <w:spacing w:val="-2"/>
          <w:szCs w:val="18"/>
          <w:lang w:val="en-US" w:eastAsia="pt-BR"/>
        </w:rPr>
        <w:t xml:space="preserve">, mainly due </w:t>
      </w:r>
      <w:r w:rsidRPr="000E39FA">
        <w:rPr>
          <w:rFonts w:eastAsia="Times New Roman" w:cs="Arial"/>
          <w:spacing w:val="-2"/>
          <w:szCs w:val="18"/>
          <w:lang w:val="en-US" w:eastAsia="pt-BR"/>
        </w:rPr>
        <w:t>to:</w:t>
      </w:r>
    </w:p>
    <w:p w14:paraId="27BAE64A" w14:textId="491D8602" w:rsidR="000E39FA" w:rsidRPr="000E39FA" w:rsidRDefault="000E39FA" w:rsidP="0044364F">
      <w:pPr>
        <w:pStyle w:val="PargrafodaLista"/>
        <w:numPr>
          <w:ilvl w:val="0"/>
          <w:numId w:val="7"/>
        </w:numPr>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t</w:t>
      </w:r>
      <w:r w:rsidRPr="000E39FA">
        <w:rPr>
          <w:rFonts w:ascii="Arial" w:eastAsia="Times New Roman" w:hAnsi="Arial" w:cs="Arial"/>
          <w:spacing w:val="-2"/>
          <w:sz w:val="18"/>
          <w:szCs w:val="18"/>
          <w:lang w:val="en-US" w:eastAsia="pt-BR"/>
        </w:rPr>
        <w:t xml:space="preserve">he variation in the loss component of traditional plans. </w:t>
      </w:r>
      <w:r>
        <w:rPr>
          <w:rFonts w:ascii="Arial" w:eastAsia="Times New Roman" w:hAnsi="Arial" w:cs="Arial"/>
          <w:spacing w:val="-2"/>
          <w:sz w:val="18"/>
          <w:szCs w:val="18"/>
          <w:lang w:val="en-US" w:eastAsia="pt-BR"/>
        </w:rPr>
        <w:t>The d</w:t>
      </w:r>
      <w:r w:rsidRPr="000E39FA">
        <w:rPr>
          <w:rFonts w:ascii="Arial" w:eastAsia="Times New Roman" w:hAnsi="Arial" w:cs="Arial"/>
          <w:spacing w:val="-2"/>
          <w:sz w:val="18"/>
          <w:szCs w:val="18"/>
          <w:lang w:val="en-US" w:eastAsia="pt-BR"/>
        </w:rPr>
        <w:t xml:space="preserve">eviation between </w:t>
      </w:r>
      <w:r>
        <w:rPr>
          <w:rFonts w:ascii="Arial" w:eastAsia="Times New Roman" w:hAnsi="Arial" w:cs="Arial"/>
          <w:spacing w:val="-2"/>
          <w:sz w:val="18"/>
          <w:szCs w:val="18"/>
          <w:lang w:val="en-US" w:eastAsia="pt-BR"/>
        </w:rPr>
        <w:t xml:space="preserve">estimated </w:t>
      </w:r>
      <w:r w:rsidRPr="000E39FA">
        <w:rPr>
          <w:rFonts w:ascii="Arial" w:eastAsia="Times New Roman" w:hAnsi="Arial" w:cs="Arial"/>
          <w:spacing w:val="-2"/>
          <w:sz w:val="18"/>
          <w:szCs w:val="18"/>
          <w:lang w:val="en-US" w:eastAsia="pt-BR"/>
        </w:rPr>
        <w:t xml:space="preserve">and </w:t>
      </w:r>
      <w:r>
        <w:rPr>
          <w:rFonts w:ascii="Arial" w:eastAsia="Times New Roman" w:hAnsi="Arial" w:cs="Arial"/>
          <w:spacing w:val="-2"/>
          <w:sz w:val="18"/>
          <w:szCs w:val="18"/>
          <w:lang w:val="en-US" w:eastAsia="pt-BR"/>
        </w:rPr>
        <w:t>effective</w:t>
      </w:r>
      <w:r w:rsidRPr="000E39FA">
        <w:rPr>
          <w:rFonts w:ascii="Arial" w:eastAsia="Times New Roman" w:hAnsi="Arial" w:cs="Arial"/>
          <w:spacing w:val="-2"/>
          <w:sz w:val="18"/>
          <w:szCs w:val="18"/>
          <w:lang w:val="en-US" w:eastAsia="pt-BR"/>
        </w:rPr>
        <w:t xml:space="preserve"> IGP</w:t>
      </w:r>
      <w:r w:rsidRPr="000E39FA">
        <w:rPr>
          <w:rFonts w:ascii="Cambria Math" w:eastAsia="Times New Roman" w:hAnsi="Cambria Math" w:cs="Cambria Math"/>
          <w:spacing w:val="-2"/>
          <w:sz w:val="18"/>
          <w:szCs w:val="18"/>
          <w:lang w:val="en-US" w:eastAsia="pt-BR"/>
        </w:rPr>
        <w:t>‑</w:t>
      </w:r>
      <w:r w:rsidRPr="000E39FA">
        <w:rPr>
          <w:rFonts w:ascii="Arial" w:eastAsia="Times New Roman" w:hAnsi="Arial" w:cs="Arial"/>
          <w:spacing w:val="-2"/>
          <w:sz w:val="18"/>
          <w:szCs w:val="18"/>
          <w:lang w:val="en-US" w:eastAsia="pt-BR"/>
        </w:rPr>
        <w:t>M</w:t>
      </w:r>
      <w:r>
        <w:rPr>
          <w:rFonts w:ascii="Arial" w:eastAsia="Times New Roman" w:hAnsi="Arial" w:cs="Arial"/>
          <w:spacing w:val="-2"/>
          <w:sz w:val="18"/>
          <w:szCs w:val="18"/>
          <w:lang w:val="en-US" w:eastAsia="pt-BR"/>
        </w:rPr>
        <w:t xml:space="preserve"> - </w:t>
      </w:r>
      <w:r w:rsidRPr="000E39FA">
        <w:rPr>
          <w:rFonts w:ascii="Arial" w:eastAsia="Times New Roman" w:hAnsi="Arial" w:cs="Arial"/>
          <w:spacing w:val="-2"/>
          <w:sz w:val="18"/>
          <w:szCs w:val="18"/>
          <w:lang w:val="en-US" w:eastAsia="pt-BR"/>
        </w:rPr>
        <w:t xml:space="preserve">the main index </w:t>
      </w:r>
      <w:r>
        <w:rPr>
          <w:rFonts w:ascii="Arial" w:eastAsia="Times New Roman" w:hAnsi="Arial" w:cs="Arial"/>
          <w:spacing w:val="-2"/>
          <w:sz w:val="18"/>
          <w:szCs w:val="18"/>
          <w:lang w:val="en-US" w:eastAsia="pt-BR"/>
        </w:rPr>
        <w:t>used to adjust</w:t>
      </w:r>
      <w:r w:rsidRPr="000E39FA">
        <w:rPr>
          <w:rFonts w:ascii="Arial" w:eastAsia="Times New Roman" w:hAnsi="Arial" w:cs="Arial"/>
          <w:spacing w:val="-2"/>
          <w:sz w:val="18"/>
          <w:szCs w:val="18"/>
          <w:lang w:val="en-US" w:eastAsia="pt-BR"/>
        </w:rPr>
        <w:t xml:space="preserve"> liabilities</w:t>
      </w:r>
      <w:r>
        <w:rPr>
          <w:rFonts w:ascii="Arial" w:eastAsia="Times New Roman" w:hAnsi="Arial" w:cs="Arial"/>
          <w:spacing w:val="-2"/>
          <w:sz w:val="18"/>
          <w:szCs w:val="18"/>
          <w:lang w:val="en-US" w:eastAsia="pt-BR"/>
        </w:rPr>
        <w:t xml:space="preserve"> – led to an adjustment for experience that negatively impacted </w:t>
      </w:r>
      <w:r w:rsidRPr="000E39FA">
        <w:rPr>
          <w:rFonts w:ascii="Arial" w:eastAsia="Times New Roman" w:hAnsi="Arial" w:cs="Arial"/>
          <w:spacing w:val="-2"/>
          <w:sz w:val="18"/>
          <w:szCs w:val="18"/>
          <w:lang w:val="en-US" w:eastAsia="pt-BR"/>
        </w:rPr>
        <w:t xml:space="preserve">the onerousness of these </w:t>
      </w:r>
      <w:r w:rsidR="00345EC7">
        <w:rPr>
          <w:rFonts w:ascii="Arial" w:eastAsia="Times New Roman" w:hAnsi="Arial" w:cs="Arial"/>
          <w:spacing w:val="-2"/>
          <w:sz w:val="18"/>
          <w:szCs w:val="18"/>
          <w:lang w:val="en-US" w:eastAsia="pt-BR"/>
        </w:rPr>
        <w:t>plans</w:t>
      </w:r>
      <w:r w:rsidRPr="000E39FA">
        <w:rPr>
          <w:rFonts w:ascii="Arial" w:eastAsia="Times New Roman" w:hAnsi="Arial" w:cs="Arial"/>
          <w:spacing w:val="-2"/>
          <w:sz w:val="18"/>
          <w:szCs w:val="18"/>
          <w:lang w:val="en-US" w:eastAsia="pt-BR"/>
        </w:rPr>
        <w:t xml:space="preserve">. In 2024, </w:t>
      </w:r>
      <w:proofErr w:type="gramStart"/>
      <w:r w:rsidRPr="000E39FA">
        <w:rPr>
          <w:rFonts w:ascii="Arial" w:eastAsia="Times New Roman" w:hAnsi="Arial" w:cs="Arial"/>
          <w:spacing w:val="-2"/>
          <w:sz w:val="18"/>
          <w:szCs w:val="18"/>
          <w:lang w:val="en-US" w:eastAsia="pt-BR"/>
        </w:rPr>
        <w:t>due to the effects</w:t>
      </w:r>
      <w:proofErr w:type="gramEnd"/>
      <w:r w:rsidRPr="000E39FA">
        <w:rPr>
          <w:rFonts w:ascii="Arial" w:eastAsia="Times New Roman" w:hAnsi="Arial" w:cs="Arial"/>
          <w:spacing w:val="-2"/>
          <w:sz w:val="18"/>
          <w:szCs w:val="18"/>
          <w:lang w:val="en-US" w:eastAsia="pt-BR"/>
        </w:rPr>
        <w:t xml:space="preserve"> of </w:t>
      </w:r>
      <w:proofErr w:type="spellStart"/>
      <w:r w:rsidRPr="000E39FA">
        <w:rPr>
          <w:rFonts w:ascii="Arial" w:eastAsia="Times New Roman" w:hAnsi="Arial" w:cs="Arial"/>
          <w:spacing w:val="-2"/>
          <w:sz w:val="18"/>
          <w:szCs w:val="18"/>
          <w:lang w:val="en-US" w:eastAsia="pt-BR"/>
        </w:rPr>
        <w:t>Susep</w:t>
      </w:r>
      <w:proofErr w:type="spellEnd"/>
      <w:r w:rsidRPr="000E39FA">
        <w:rPr>
          <w:rFonts w:ascii="Arial" w:eastAsia="Times New Roman" w:hAnsi="Arial" w:cs="Arial"/>
          <w:spacing w:val="-2"/>
          <w:sz w:val="18"/>
          <w:szCs w:val="18"/>
          <w:lang w:val="en-US" w:eastAsia="pt-BR"/>
        </w:rPr>
        <w:t xml:space="preserve"> </w:t>
      </w:r>
      <w:r w:rsidR="00345EC7">
        <w:rPr>
          <w:rFonts w:ascii="Arial" w:eastAsia="Times New Roman" w:hAnsi="Arial" w:cs="Arial"/>
          <w:spacing w:val="-2"/>
          <w:sz w:val="18"/>
          <w:szCs w:val="18"/>
          <w:lang w:val="en-US" w:eastAsia="pt-BR"/>
        </w:rPr>
        <w:t>Rule</w:t>
      </w:r>
      <w:r w:rsidRPr="000E39FA">
        <w:rPr>
          <w:rFonts w:ascii="Arial" w:eastAsia="Times New Roman" w:hAnsi="Arial" w:cs="Arial"/>
          <w:spacing w:val="-2"/>
          <w:sz w:val="18"/>
          <w:szCs w:val="18"/>
          <w:lang w:val="en-US" w:eastAsia="pt-BR"/>
        </w:rPr>
        <w:t xml:space="preserve"> N</w:t>
      </w:r>
      <w:r w:rsidR="00345EC7">
        <w:rPr>
          <w:rFonts w:ascii="Arial" w:eastAsia="Times New Roman" w:hAnsi="Arial" w:cs="Arial"/>
          <w:spacing w:val="-2"/>
          <w:sz w:val="18"/>
          <w:szCs w:val="18"/>
          <w:lang w:val="en-US" w:eastAsia="pt-BR"/>
        </w:rPr>
        <w:t>r</w:t>
      </w:r>
      <w:r w:rsidRPr="000E39FA">
        <w:rPr>
          <w:rFonts w:ascii="Arial" w:eastAsia="Times New Roman" w:hAnsi="Arial" w:cs="Arial"/>
          <w:spacing w:val="-2"/>
          <w:sz w:val="18"/>
          <w:szCs w:val="18"/>
          <w:lang w:val="en-US" w:eastAsia="pt-BR"/>
        </w:rPr>
        <w:t xml:space="preserve">. 678/2022, </w:t>
      </w:r>
      <w:r w:rsidR="00345EC7">
        <w:rPr>
          <w:rFonts w:ascii="Arial" w:eastAsia="Times New Roman" w:hAnsi="Arial" w:cs="Arial"/>
          <w:spacing w:val="-2"/>
          <w:sz w:val="18"/>
          <w:szCs w:val="18"/>
          <w:lang w:val="en-US" w:eastAsia="pt-BR"/>
        </w:rPr>
        <w:t xml:space="preserve">a </w:t>
      </w:r>
      <w:r w:rsidR="00DB60D7">
        <w:rPr>
          <w:rFonts w:ascii="Arial" w:eastAsia="Times New Roman" w:hAnsi="Arial" w:cs="Arial"/>
          <w:spacing w:val="-2"/>
          <w:sz w:val="18"/>
          <w:szCs w:val="18"/>
          <w:lang w:val="en-US" w:eastAsia="pt-BR"/>
        </w:rPr>
        <w:t>higher-than-expected</w:t>
      </w:r>
      <w:r w:rsidR="00345EC7">
        <w:rPr>
          <w:rFonts w:ascii="Arial" w:eastAsia="Times New Roman" w:hAnsi="Arial" w:cs="Arial"/>
          <w:spacing w:val="-2"/>
          <w:sz w:val="18"/>
          <w:szCs w:val="18"/>
          <w:lang w:val="en-US" w:eastAsia="pt-BR"/>
        </w:rPr>
        <w:t xml:space="preserve"> volume of outflows resulted in a downward adjustment of the loss component in that period; and</w:t>
      </w:r>
    </w:p>
    <w:p w14:paraId="48216911" w14:textId="058C3AB1" w:rsidR="000E39FA" w:rsidRPr="000E39FA" w:rsidRDefault="00345EC7" w:rsidP="0044364F">
      <w:pPr>
        <w:pStyle w:val="PargrafodaLista"/>
        <w:numPr>
          <w:ilvl w:val="0"/>
          <w:numId w:val="7"/>
        </w:numPr>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t</w:t>
      </w:r>
      <w:r w:rsidR="000E39FA" w:rsidRPr="000E39FA">
        <w:rPr>
          <w:rFonts w:ascii="Arial" w:eastAsia="Times New Roman" w:hAnsi="Arial" w:cs="Arial"/>
          <w:spacing w:val="-2"/>
          <w:sz w:val="18"/>
          <w:szCs w:val="18"/>
          <w:lang w:val="en-US" w:eastAsia="pt-BR"/>
        </w:rPr>
        <w:t>he reduction in the average yield o</w:t>
      </w:r>
      <w:r>
        <w:rPr>
          <w:rFonts w:ascii="Arial" w:eastAsia="Times New Roman" w:hAnsi="Arial" w:cs="Arial"/>
          <w:spacing w:val="-2"/>
          <w:sz w:val="18"/>
          <w:szCs w:val="18"/>
          <w:lang w:val="en-US" w:eastAsia="pt-BR"/>
        </w:rPr>
        <w:t>n</w:t>
      </w:r>
      <w:r w:rsidR="000E39FA" w:rsidRPr="000E39FA">
        <w:rPr>
          <w:rFonts w:ascii="Arial" w:eastAsia="Times New Roman" w:hAnsi="Arial" w:cs="Arial"/>
          <w:spacing w:val="-2"/>
          <w:sz w:val="18"/>
          <w:szCs w:val="18"/>
          <w:lang w:val="en-US" w:eastAsia="pt-BR"/>
        </w:rPr>
        <w:t xml:space="preserve"> financial assets backing traditional plans, due to the decline of both IGP</w:t>
      </w:r>
      <w:r w:rsidR="000E39FA" w:rsidRPr="000E39FA">
        <w:rPr>
          <w:rFonts w:ascii="Cambria Math" w:eastAsia="Times New Roman" w:hAnsi="Cambria Math" w:cs="Cambria Math"/>
          <w:spacing w:val="-2"/>
          <w:sz w:val="18"/>
          <w:szCs w:val="18"/>
          <w:lang w:val="en-US" w:eastAsia="pt-BR"/>
        </w:rPr>
        <w:t>‑</w:t>
      </w:r>
      <w:r w:rsidR="000E39FA" w:rsidRPr="000E39FA">
        <w:rPr>
          <w:rFonts w:ascii="Arial" w:eastAsia="Times New Roman" w:hAnsi="Arial" w:cs="Arial"/>
          <w:spacing w:val="-2"/>
          <w:sz w:val="18"/>
          <w:szCs w:val="18"/>
          <w:lang w:val="en-US" w:eastAsia="pt-BR"/>
        </w:rPr>
        <w:t>M (2025: -1.0% vs. 2024: +6.5%) and IPCA (2025: +4.3% vs. 2024: +4.8%).</w:t>
      </w:r>
    </w:p>
    <w:p w14:paraId="58AFD4D5" w14:textId="7D8F9BD6" w:rsidR="00BC754A" w:rsidRPr="00BD7272" w:rsidRDefault="00345EC7" w:rsidP="000E39FA">
      <w:pPr>
        <w:jc w:val="both"/>
        <w:rPr>
          <w:rFonts w:eastAsia="Times New Roman" w:cs="Arial"/>
          <w:spacing w:val="-2"/>
          <w:szCs w:val="18"/>
          <w:lang w:val="en-US" w:eastAsia="pt-BR"/>
        </w:rPr>
      </w:pPr>
      <w:r>
        <w:rPr>
          <w:rFonts w:eastAsia="Times New Roman" w:cs="Arial"/>
          <w:spacing w:val="-2"/>
          <w:szCs w:val="18"/>
          <w:lang w:val="en-US" w:eastAsia="pt-BR"/>
        </w:rPr>
        <w:t xml:space="preserve">On the other hand, part of </w:t>
      </w:r>
      <w:r w:rsidR="000E39FA" w:rsidRPr="000E39FA">
        <w:rPr>
          <w:rFonts w:eastAsia="Times New Roman" w:cs="Arial"/>
          <w:spacing w:val="-2"/>
          <w:szCs w:val="18"/>
          <w:lang w:val="en-US" w:eastAsia="pt-BR"/>
        </w:rPr>
        <w:t xml:space="preserve">these effects </w:t>
      </w:r>
      <w:r w:rsidRPr="000E39FA">
        <w:rPr>
          <w:rFonts w:eastAsia="Times New Roman" w:cs="Arial"/>
          <w:spacing w:val="-2"/>
          <w:szCs w:val="18"/>
          <w:lang w:val="en-US" w:eastAsia="pt-BR"/>
        </w:rPr>
        <w:t>was</w:t>
      </w:r>
      <w:r>
        <w:rPr>
          <w:rFonts w:eastAsia="Times New Roman" w:cs="Arial"/>
          <w:spacing w:val="-2"/>
          <w:szCs w:val="18"/>
          <w:lang w:val="en-US" w:eastAsia="pt-BR"/>
        </w:rPr>
        <w:t xml:space="preserve"> offset by l</w:t>
      </w:r>
      <w:r w:rsidR="000E39FA" w:rsidRPr="000E39FA">
        <w:rPr>
          <w:rFonts w:eastAsia="Times New Roman" w:cs="Arial"/>
          <w:spacing w:val="-2"/>
          <w:szCs w:val="18"/>
          <w:lang w:val="en-US" w:eastAsia="pt-BR"/>
        </w:rPr>
        <w:t>ower financial expenses resulting from the variation of</w:t>
      </w:r>
      <w:r>
        <w:rPr>
          <w:rFonts w:eastAsia="Times New Roman" w:cs="Arial"/>
          <w:spacing w:val="-2"/>
          <w:szCs w:val="18"/>
          <w:lang w:val="en-US" w:eastAsia="pt-BR"/>
        </w:rPr>
        <w:t xml:space="preserve"> one</w:t>
      </w:r>
      <w:r w:rsidR="00D33967">
        <w:rPr>
          <w:rFonts w:eastAsia="Times New Roman" w:cs="Arial"/>
          <w:spacing w:val="-2"/>
          <w:szCs w:val="18"/>
          <w:lang w:val="en-US" w:eastAsia="pt-BR"/>
        </w:rPr>
        <w:t>-</w:t>
      </w:r>
      <w:r>
        <w:rPr>
          <w:rFonts w:eastAsia="Times New Roman" w:cs="Arial"/>
          <w:spacing w:val="-2"/>
          <w:szCs w:val="18"/>
          <w:lang w:val="en-US" w:eastAsia="pt-BR"/>
        </w:rPr>
        <w:t>month</w:t>
      </w:r>
      <w:r w:rsidR="000E39FA" w:rsidRPr="000E39FA">
        <w:rPr>
          <w:rFonts w:eastAsia="Times New Roman" w:cs="Arial"/>
          <w:spacing w:val="-2"/>
          <w:szCs w:val="18"/>
          <w:lang w:val="en-US" w:eastAsia="pt-BR"/>
        </w:rPr>
        <w:t xml:space="preserve"> lag IGP</w:t>
      </w:r>
      <w:r w:rsidR="000E39FA" w:rsidRPr="000E39FA">
        <w:rPr>
          <w:rFonts w:ascii="Cambria Math" w:eastAsia="Times New Roman" w:hAnsi="Cambria Math" w:cs="Cambria Math"/>
          <w:spacing w:val="-2"/>
          <w:szCs w:val="18"/>
          <w:lang w:val="en-US" w:eastAsia="pt-BR"/>
        </w:rPr>
        <w:t>‑</w:t>
      </w:r>
      <w:r w:rsidR="000E39FA" w:rsidRPr="000E39FA">
        <w:rPr>
          <w:rFonts w:eastAsia="Times New Roman" w:cs="Arial"/>
          <w:spacing w:val="-2"/>
          <w:szCs w:val="18"/>
          <w:lang w:val="en-US" w:eastAsia="pt-BR"/>
        </w:rPr>
        <w:t xml:space="preserve">M (2025: -0.1% vs. 2024: +6.3%) in </w:t>
      </w:r>
      <w:r>
        <w:rPr>
          <w:rFonts w:eastAsia="Times New Roman" w:cs="Arial"/>
          <w:spacing w:val="-2"/>
          <w:szCs w:val="18"/>
          <w:lang w:val="en-US" w:eastAsia="pt-BR"/>
        </w:rPr>
        <w:t>adjusting</w:t>
      </w:r>
      <w:r w:rsidR="000E39FA" w:rsidRPr="000E39FA">
        <w:rPr>
          <w:rFonts w:eastAsia="Times New Roman" w:cs="Arial"/>
          <w:spacing w:val="-2"/>
          <w:szCs w:val="18"/>
          <w:lang w:val="en-US" w:eastAsia="pt-BR"/>
        </w:rPr>
        <w:t xml:space="preserve"> defined</w:t>
      </w:r>
      <w:r>
        <w:rPr>
          <w:rFonts w:eastAsia="Times New Roman" w:cs="Arial"/>
          <w:spacing w:val="-2"/>
          <w:szCs w:val="18"/>
          <w:lang w:val="en-US" w:eastAsia="pt-BR"/>
        </w:rPr>
        <w:t xml:space="preserve"> </w:t>
      </w:r>
      <w:r w:rsidR="000E39FA" w:rsidRPr="000E39FA">
        <w:rPr>
          <w:rFonts w:eastAsia="Times New Roman" w:cs="Arial"/>
          <w:spacing w:val="-2"/>
          <w:szCs w:val="18"/>
          <w:lang w:val="en-US" w:eastAsia="pt-BR"/>
        </w:rPr>
        <w:t>benefit plan</w:t>
      </w:r>
      <w:r>
        <w:rPr>
          <w:rFonts w:eastAsia="Times New Roman" w:cs="Arial"/>
          <w:spacing w:val="-2"/>
          <w:szCs w:val="18"/>
          <w:lang w:val="en-US" w:eastAsia="pt-BR"/>
        </w:rPr>
        <w:t>s, and a</w:t>
      </w:r>
      <w:r w:rsidR="000E39FA" w:rsidRPr="000E39FA">
        <w:rPr>
          <w:rFonts w:eastAsia="Times New Roman" w:cs="Arial"/>
          <w:spacing w:val="-2"/>
          <w:szCs w:val="18"/>
          <w:lang w:val="en-US" w:eastAsia="pt-BR"/>
        </w:rPr>
        <w:t xml:space="preserve"> positive mark</w:t>
      </w:r>
      <w:r w:rsidR="000E39FA" w:rsidRPr="000E39FA">
        <w:rPr>
          <w:rFonts w:ascii="Cambria Math" w:eastAsia="Times New Roman" w:hAnsi="Cambria Math" w:cs="Cambria Math"/>
          <w:spacing w:val="-2"/>
          <w:szCs w:val="18"/>
          <w:lang w:val="en-US" w:eastAsia="pt-BR"/>
        </w:rPr>
        <w:t>‑</w:t>
      </w:r>
      <w:r w:rsidR="000E39FA" w:rsidRPr="000E39FA">
        <w:rPr>
          <w:rFonts w:eastAsia="Times New Roman" w:cs="Arial"/>
          <w:spacing w:val="-2"/>
          <w:szCs w:val="18"/>
          <w:lang w:val="en-US" w:eastAsia="pt-BR"/>
        </w:rPr>
        <w:t>to</w:t>
      </w:r>
      <w:r w:rsidR="000E39FA" w:rsidRPr="000E39FA">
        <w:rPr>
          <w:rFonts w:ascii="Cambria Math" w:eastAsia="Times New Roman" w:hAnsi="Cambria Math" w:cs="Cambria Math"/>
          <w:spacing w:val="-2"/>
          <w:szCs w:val="18"/>
          <w:lang w:val="en-US" w:eastAsia="pt-BR"/>
        </w:rPr>
        <w:t>‑</w:t>
      </w:r>
      <w:r w:rsidR="000E39FA" w:rsidRPr="000E39FA">
        <w:rPr>
          <w:rFonts w:eastAsia="Times New Roman" w:cs="Arial"/>
          <w:spacing w:val="-2"/>
          <w:szCs w:val="18"/>
          <w:lang w:val="en-US" w:eastAsia="pt-BR"/>
        </w:rPr>
        <w:t>market result of R$39.8 million for trading assets (vs. -R$439.5 million in 2024)</w:t>
      </w:r>
      <w:r w:rsidR="00556AC5" w:rsidRPr="00556AC5">
        <w:rPr>
          <w:rFonts w:eastAsia="Times New Roman" w:cs="Arial"/>
          <w:spacing w:val="-2"/>
          <w:szCs w:val="18"/>
          <w:lang w:val="en-US" w:eastAsia="pt-BR"/>
        </w:rPr>
        <w:t>.</w:t>
      </w:r>
      <w:r w:rsidR="00BC754A" w:rsidRPr="00BD7272">
        <w:rPr>
          <w:rFonts w:eastAsia="Times New Roman" w:cs="Arial"/>
          <w:spacing w:val="-2"/>
          <w:szCs w:val="18"/>
          <w:lang w:val="en-US" w:eastAsia="pt-BR"/>
        </w:rPr>
        <w:t xml:space="preserve"> </w:t>
      </w:r>
    </w:p>
    <w:p w14:paraId="407DF49B" w14:textId="77777777" w:rsidR="00BC754A" w:rsidRPr="00767B56" w:rsidRDefault="00BC754A" w:rsidP="00BC754A">
      <w:pPr>
        <w:pStyle w:val="03-SubttulodeNota"/>
        <w:spacing w:line="276" w:lineRule="auto"/>
        <w:rPr>
          <w:color w:val="1F4E79" w:themeColor="accent1" w:themeShade="80"/>
          <w:lang w:val="en-US"/>
        </w:rPr>
      </w:pPr>
      <w:r w:rsidRPr="00767B56">
        <w:rPr>
          <w:color w:val="1F4E79" w:themeColor="accent1" w:themeShade="80"/>
          <w:lang w:val="en-US"/>
        </w:rPr>
        <w:t>Brasilcap</w:t>
      </w:r>
    </w:p>
    <w:p w14:paraId="0BD3A163" w14:textId="774ABCBA" w:rsidR="009458DD" w:rsidRPr="009458DD" w:rsidRDefault="009458DD" w:rsidP="009458DD">
      <w:pPr>
        <w:pStyle w:val="05-Textonormal"/>
        <w:rPr>
          <w:rFonts w:cs="Arial"/>
          <w:lang w:val="en-US"/>
        </w:rPr>
      </w:pPr>
      <w:r w:rsidRPr="009458DD">
        <w:rPr>
          <w:rFonts w:cs="Arial"/>
          <w:lang w:val="en-US"/>
        </w:rPr>
        <w:t xml:space="preserve">In 2025, the </w:t>
      </w:r>
      <w:r>
        <w:rPr>
          <w:rFonts w:cs="Arial"/>
          <w:lang w:val="en-US"/>
        </w:rPr>
        <w:t>premium bonds</w:t>
      </w:r>
      <w:r w:rsidRPr="009458DD">
        <w:rPr>
          <w:rFonts w:cs="Arial"/>
          <w:lang w:val="en-US"/>
        </w:rPr>
        <w:t xml:space="preserve"> segment’s net income grew 13.3%, totaling R$318.2 million</w:t>
      </w:r>
      <w:r>
        <w:rPr>
          <w:rFonts w:cs="Arial"/>
          <w:lang w:val="en-US"/>
        </w:rPr>
        <w:t xml:space="preserve">, </w:t>
      </w:r>
      <w:r w:rsidRPr="009458DD">
        <w:rPr>
          <w:rFonts w:cs="Arial"/>
          <w:lang w:val="en-US"/>
        </w:rPr>
        <w:t>sustained by stronger financial performance, with a 0.2 p.p. increase in financial margin and growth in the average balance of interest</w:t>
      </w:r>
      <w:r w:rsidRPr="009458DD">
        <w:rPr>
          <w:rFonts w:ascii="Cambria Math" w:hAnsi="Cambria Math" w:cs="Cambria Math"/>
          <w:lang w:val="en-US"/>
        </w:rPr>
        <w:t>‑</w:t>
      </w:r>
      <w:r w:rsidRPr="009458DD">
        <w:rPr>
          <w:rFonts w:cs="Arial"/>
          <w:lang w:val="en-US"/>
        </w:rPr>
        <w:t>earning assets.</w:t>
      </w:r>
      <w:r w:rsidR="00CF3C96">
        <w:rPr>
          <w:rFonts w:cs="Arial"/>
          <w:lang w:val="en-US"/>
        </w:rPr>
        <w:t xml:space="preserve"> Additionally, the effective tax rate decreased by 2.7 p.p., considering the higher volume of incentivized donations and sponsorships, as well as the payment of interest on capital (R$49.8 million).</w:t>
      </w:r>
    </w:p>
    <w:p w14:paraId="7B2B21B0" w14:textId="7696AB42" w:rsidR="00A12A48" w:rsidRPr="007812AF" w:rsidRDefault="009458DD" w:rsidP="007812AF">
      <w:pPr>
        <w:pStyle w:val="05-Textonormal"/>
        <w:rPr>
          <w:rFonts w:cs="Arial"/>
          <w:lang w:val="en-US"/>
        </w:rPr>
      </w:pPr>
      <w:r>
        <w:rPr>
          <w:rFonts w:cs="Arial"/>
          <w:lang w:val="en-US"/>
        </w:rPr>
        <w:lastRenderedPageBreak/>
        <w:t>Premium bonds c</w:t>
      </w:r>
      <w:r w:rsidRPr="009458DD">
        <w:rPr>
          <w:rFonts w:cs="Arial"/>
          <w:lang w:val="en-US"/>
        </w:rPr>
        <w:t xml:space="preserve">ollections </w:t>
      </w:r>
      <w:r w:rsidR="0044364F">
        <w:rPr>
          <w:rFonts w:cs="Arial"/>
          <w:lang w:val="en-US"/>
        </w:rPr>
        <w:t>were</w:t>
      </w:r>
      <w:r w:rsidRPr="009458DD">
        <w:rPr>
          <w:rFonts w:cs="Arial"/>
          <w:lang w:val="en-US"/>
        </w:rPr>
        <w:t xml:space="preserve"> 1.2%</w:t>
      </w:r>
      <w:r>
        <w:rPr>
          <w:rFonts w:cs="Arial"/>
          <w:lang w:val="en-US"/>
        </w:rPr>
        <w:t xml:space="preserve"> higher</w:t>
      </w:r>
      <w:r w:rsidRPr="009458DD">
        <w:rPr>
          <w:rFonts w:cs="Arial"/>
          <w:lang w:val="en-US"/>
        </w:rPr>
        <w:t>, driven by expansion of the monthly</w:t>
      </w:r>
      <w:r w:rsidRPr="009458DD">
        <w:rPr>
          <w:rFonts w:ascii="Cambria Math" w:hAnsi="Cambria Math" w:cs="Cambria Math"/>
          <w:lang w:val="en-US"/>
        </w:rPr>
        <w:t>‑</w:t>
      </w:r>
      <w:r w:rsidRPr="009458DD">
        <w:rPr>
          <w:rFonts w:cs="Arial"/>
          <w:lang w:val="en-US"/>
        </w:rPr>
        <w:t xml:space="preserve">payment </w:t>
      </w:r>
      <w:r>
        <w:rPr>
          <w:rFonts w:cs="Arial"/>
          <w:lang w:val="en-US"/>
        </w:rPr>
        <w:t>bonds</w:t>
      </w:r>
      <w:r w:rsidRPr="009458DD">
        <w:rPr>
          <w:rFonts w:cs="Arial"/>
          <w:lang w:val="en-US"/>
        </w:rPr>
        <w:t xml:space="preserve">. </w:t>
      </w:r>
      <w:r>
        <w:rPr>
          <w:rFonts w:cs="Arial"/>
          <w:lang w:val="en-US"/>
        </w:rPr>
        <w:t>Revenues with l</w:t>
      </w:r>
      <w:r w:rsidRPr="009458DD">
        <w:rPr>
          <w:rFonts w:cs="Arial"/>
          <w:lang w:val="en-US"/>
        </w:rPr>
        <w:t>oad fee increased at a faster pace (+8.7%)</w:t>
      </w:r>
      <w:r w:rsidR="00552460">
        <w:rPr>
          <w:rFonts w:cs="Arial"/>
          <w:lang w:val="en-US"/>
        </w:rPr>
        <w:t>, with the average quote 0.7 p.p. higher</w:t>
      </w:r>
      <w:r w:rsidRPr="009458DD">
        <w:rPr>
          <w:rFonts w:cs="Arial"/>
          <w:lang w:val="en-US"/>
        </w:rPr>
        <w:t xml:space="preserve">, due to a concentration </w:t>
      </w:r>
      <w:r>
        <w:rPr>
          <w:rFonts w:cs="Arial"/>
          <w:lang w:val="en-US"/>
        </w:rPr>
        <w:t>in</w:t>
      </w:r>
      <w:r w:rsidRPr="009458DD">
        <w:rPr>
          <w:rFonts w:cs="Arial"/>
          <w:lang w:val="en-US"/>
        </w:rPr>
        <w:t xml:space="preserve"> longer</w:t>
      </w:r>
      <w:r w:rsidRPr="009458DD">
        <w:rPr>
          <w:rFonts w:ascii="Cambria Math" w:hAnsi="Cambria Math" w:cs="Cambria Math"/>
          <w:lang w:val="en-US"/>
        </w:rPr>
        <w:t>‑</w:t>
      </w:r>
      <w:r w:rsidRPr="009458DD">
        <w:rPr>
          <w:rFonts w:cs="Arial"/>
          <w:lang w:val="en-US"/>
        </w:rPr>
        <w:t>term products (36 months), which carry higher fees</w:t>
      </w:r>
      <w:r w:rsidR="0044364F">
        <w:rPr>
          <w:rFonts w:cs="Arial"/>
          <w:lang w:val="en-US"/>
        </w:rPr>
        <w:t xml:space="preserve"> compared to shorter-term products (24 months)</w:t>
      </w:r>
      <w:r w:rsidR="00686DAE">
        <w:rPr>
          <w:rFonts w:cs="Arial"/>
          <w:lang w:val="en-US"/>
        </w:rPr>
        <w:t>.</w:t>
      </w:r>
    </w:p>
    <w:p w14:paraId="7B16889E" w14:textId="77777777" w:rsidR="00A12A48" w:rsidRDefault="00A12A48" w:rsidP="00BC754A">
      <w:pPr>
        <w:pStyle w:val="03-SubttulodeNota"/>
        <w:spacing w:line="276" w:lineRule="auto"/>
        <w:rPr>
          <w:color w:val="1F4E79" w:themeColor="accent1" w:themeShade="80"/>
          <w:lang w:val="en-US"/>
        </w:rPr>
      </w:pPr>
    </w:p>
    <w:p w14:paraId="2416D3D4" w14:textId="40B8580C" w:rsidR="00BC754A" w:rsidRPr="00767B56" w:rsidRDefault="00BC754A" w:rsidP="00BC754A">
      <w:pPr>
        <w:pStyle w:val="03-SubttulodeNota"/>
        <w:spacing w:line="276" w:lineRule="auto"/>
        <w:rPr>
          <w:color w:val="1F4E79" w:themeColor="accent1" w:themeShade="80"/>
          <w:lang w:val="en-US"/>
        </w:rPr>
      </w:pPr>
      <w:r w:rsidRPr="00767B56">
        <w:rPr>
          <w:color w:val="1F4E79" w:themeColor="accent1" w:themeShade="80"/>
          <w:lang w:val="en-US"/>
        </w:rPr>
        <w:t>Brasildental</w:t>
      </w:r>
    </w:p>
    <w:p w14:paraId="35F43AF5" w14:textId="2847ED94" w:rsidR="00BC754A" w:rsidRDefault="00B54FB5" w:rsidP="006D7F97">
      <w:pPr>
        <w:pStyle w:val="05-Textonormal"/>
        <w:rPr>
          <w:rFonts w:cs="Arial"/>
          <w:lang w:val="en-US"/>
        </w:rPr>
      </w:pPr>
      <w:r>
        <w:rPr>
          <w:rFonts w:cs="Arial"/>
          <w:lang w:val="en-US"/>
        </w:rPr>
        <w:t>In dental plans segment, d</w:t>
      </w:r>
      <w:r w:rsidR="009458DD" w:rsidRPr="009458DD">
        <w:rPr>
          <w:rFonts w:cs="Arial"/>
          <w:lang w:val="en-US"/>
        </w:rPr>
        <w:t xml:space="preserve">ue to operational procedures, accounting entries </w:t>
      </w:r>
      <w:r w:rsidR="00D33967">
        <w:rPr>
          <w:rFonts w:cs="Arial"/>
          <w:lang w:val="en-US"/>
        </w:rPr>
        <w:t xml:space="preserve">are </w:t>
      </w:r>
      <w:r w:rsidR="009458DD" w:rsidRPr="009458DD">
        <w:rPr>
          <w:rFonts w:cs="Arial"/>
          <w:lang w:val="en-US"/>
        </w:rPr>
        <w:t>recorded with a one</w:t>
      </w:r>
      <w:r w:rsidR="009458DD" w:rsidRPr="009458DD">
        <w:rPr>
          <w:rFonts w:ascii="Cambria Math" w:hAnsi="Cambria Math" w:cs="Cambria Math"/>
          <w:lang w:val="en-US"/>
        </w:rPr>
        <w:t>‑</w:t>
      </w:r>
      <w:r w:rsidR="009458DD" w:rsidRPr="009458DD">
        <w:rPr>
          <w:rFonts w:cs="Arial"/>
          <w:lang w:val="en-US"/>
        </w:rPr>
        <w:t xml:space="preserve">month lag. Through November 2025, net income reached R$23.7 million, 1.0% higher than </w:t>
      </w:r>
      <w:r>
        <w:rPr>
          <w:rFonts w:cs="Arial"/>
          <w:lang w:val="en-US"/>
        </w:rPr>
        <w:t>the previous year</w:t>
      </w:r>
      <w:r w:rsidR="009458DD" w:rsidRPr="009458DD">
        <w:rPr>
          <w:rFonts w:cs="Arial"/>
          <w:lang w:val="en-US"/>
        </w:rPr>
        <w:t>, driven by improved insurance margins and higher financial results</w:t>
      </w:r>
      <w:r w:rsidR="00E8697F" w:rsidRPr="00E8697F">
        <w:rPr>
          <w:rFonts w:cs="Arial"/>
          <w:lang w:val="en-US"/>
        </w:rPr>
        <w:t>.</w:t>
      </w:r>
      <w:r w:rsidR="00BC754A" w:rsidRPr="006D7F97">
        <w:rPr>
          <w:rFonts w:cs="Arial"/>
          <w:lang w:val="en-US"/>
        </w:rPr>
        <w:t xml:space="preserve"> </w:t>
      </w:r>
    </w:p>
    <w:p w14:paraId="69D60636" w14:textId="77777777" w:rsidR="00D33967" w:rsidRPr="006D7F97" w:rsidRDefault="00D33967" w:rsidP="006D7F97">
      <w:pPr>
        <w:pStyle w:val="05-Textonormal"/>
        <w:rPr>
          <w:rFonts w:cs="Arial"/>
          <w:lang w:val="en-US"/>
        </w:rPr>
      </w:pPr>
    </w:p>
    <w:p w14:paraId="46AF6655" w14:textId="77777777" w:rsidR="00BC754A" w:rsidRPr="00767B56" w:rsidRDefault="00BC754A" w:rsidP="00BC754A">
      <w:pPr>
        <w:pStyle w:val="03-SubttulodeNota"/>
        <w:spacing w:line="276" w:lineRule="auto"/>
        <w:rPr>
          <w:color w:val="1F4E79" w:themeColor="accent1" w:themeShade="80"/>
          <w:lang w:val="en-US"/>
        </w:rPr>
      </w:pPr>
      <w:r w:rsidRPr="00767B56">
        <w:rPr>
          <w:color w:val="1F4E79" w:themeColor="accent1" w:themeShade="80"/>
          <w:lang w:val="en-US"/>
        </w:rPr>
        <w:t xml:space="preserve">BB </w:t>
      </w:r>
      <w:proofErr w:type="spellStart"/>
      <w:r w:rsidRPr="00767B56">
        <w:rPr>
          <w:color w:val="1F4E79" w:themeColor="accent1" w:themeShade="80"/>
          <w:lang w:val="en-US"/>
        </w:rPr>
        <w:t>Corretora</w:t>
      </w:r>
      <w:proofErr w:type="spellEnd"/>
    </w:p>
    <w:bookmarkEnd w:id="1"/>
    <w:p w14:paraId="6A84BDA9" w14:textId="6C8124C4" w:rsidR="00D33967" w:rsidRPr="00D33967" w:rsidRDefault="00AE076C" w:rsidP="00D33967">
      <w:pPr>
        <w:pStyle w:val="01-Textonormal"/>
        <w:rPr>
          <w:lang w:val="en-US"/>
        </w:rPr>
      </w:pPr>
      <w:r>
        <w:rPr>
          <w:lang w:val="en-US"/>
        </w:rPr>
        <w:t xml:space="preserve">BB </w:t>
      </w:r>
      <w:proofErr w:type="spellStart"/>
      <w:r>
        <w:rPr>
          <w:lang w:val="en-US"/>
        </w:rPr>
        <w:t>Corretora’s</w:t>
      </w:r>
      <w:proofErr w:type="spellEnd"/>
      <w:r>
        <w:rPr>
          <w:lang w:val="en-US"/>
        </w:rPr>
        <w:t xml:space="preserve"> n</w:t>
      </w:r>
      <w:r w:rsidR="00D33967" w:rsidRPr="00D33967">
        <w:rPr>
          <w:lang w:val="en-US"/>
        </w:rPr>
        <w:t xml:space="preserve">et income increased 6.9% in 2025, supported by the rise in net </w:t>
      </w:r>
      <w:r w:rsidR="00D33967">
        <w:rPr>
          <w:lang w:val="en-US"/>
        </w:rPr>
        <w:t>brokerage</w:t>
      </w:r>
      <w:r w:rsidR="00D33967" w:rsidRPr="00D33967">
        <w:rPr>
          <w:lang w:val="en-US"/>
        </w:rPr>
        <w:t xml:space="preserve"> revenues (+2.6%) and a 47.6% expansion in financial results, reflecting higher Selic rate and larger average investment balance.</w:t>
      </w:r>
    </w:p>
    <w:p w14:paraId="48CAF44E" w14:textId="5CBCBD32" w:rsidR="00D33967" w:rsidRPr="00D33967" w:rsidRDefault="00D33967" w:rsidP="00D33967">
      <w:pPr>
        <w:pStyle w:val="01-Textonormal"/>
        <w:rPr>
          <w:lang w:val="en-US"/>
        </w:rPr>
      </w:pPr>
      <w:r>
        <w:rPr>
          <w:lang w:val="en-US"/>
        </w:rPr>
        <w:t>Brokerage</w:t>
      </w:r>
      <w:r w:rsidRPr="00D33967">
        <w:rPr>
          <w:lang w:val="en-US"/>
        </w:rPr>
        <w:t xml:space="preserve"> revenue</w:t>
      </w:r>
      <w:r>
        <w:rPr>
          <w:lang w:val="en-US"/>
        </w:rPr>
        <w:t>s</w:t>
      </w:r>
      <w:r w:rsidRPr="00D33967">
        <w:rPr>
          <w:lang w:val="en-US"/>
        </w:rPr>
        <w:t xml:space="preserve"> growth was driven largely by the recognition of deferred insurance commissions. </w:t>
      </w:r>
      <w:r>
        <w:rPr>
          <w:lang w:val="en-US"/>
        </w:rPr>
        <w:t>The contribution of p</w:t>
      </w:r>
      <w:r w:rsidRPr="00D33967">
        <w:rPr>
          <w:lang w:val="en-US"/>
        </w:rPr>
        <w:t>ension</w:t>
      </w:r>
      <w:r>
        <w:rPr>
          <w:lang w:val="en-US"/>
        </w:rPr>
        <w:t xml:space="preserve"> plans segment to brokerage </w:t>
      </w:r>
      <w:r w:rsidRPr="00D33967">
        <w:rPr>
          <w:lang w:val="en-US"/>
        </w:rPr>
        <w:t>revenues declined 27.0%, following a 23.8% reduction in contributions due to the introduction of IOF taxation on VGBL plans, initially defined in Decree N</w:t>
      </w:r>
      <w:r>
        <w:rPr>
          <w:lang w:val="en-US"/>
        </w:rPr>
        <w:t>r</w:t>
      </w:r>
      <w:r w:rsidRPr="00D33967">
        <w:rPr>
          <w:lang w:val="en-US"/>
        </w:rPr>
        <w:t>. 12,466/2025 and later adjusted by Decree N</w:t>
      </w:r>
      <w:r>
        <w:rPr>
          <w:lang w:val="en-US"/>
        </w:rPr>
        <w:t>r</w:t>
      </w:r>
      <w:r w:rsidRPr="00D33967">
        <w:rPr>
          <w:lang w:val="en-US"/>
        </w:rPr>
        <w:t>. 12,499/2025.</w:t>
      </w:r>
      <w:r>
        <w:rPr>
          <w:lang w:val="en-US"/>
        </w:rPr>
        <w:t xml:space="preserve"> It is noteworthy that the last quarter of 2024 was </w:t>
      </w:r>
      <w:r w:rsidR="00C30573">
        <w:rPr>
          <w:lang w:val="en-US"/>
        </w:rPr>
        <w:t xml:space="preserve">negatively impacted by the constitution of a provision for return of commissions, amounting to R$25.7 million, in accordance with IFRS 15. Adjusting </w:t>
      </w:r>
      <w:r w:rsidR="00AE076C">
        <w:rPr>
          <w:lang w:val="en-US"/>
        </w:rPr>
        <w:t>to</w:t>
      </w:r>
      <w:r w:rsidR="00C30573">
        <w:rPr>
          <w:lang w:val="en-US"/>
        </w:rPr>
        <w:t xml:space="preserve"> this effect, pension brokerage revenues would have shown a decline of 29.8%. The decrease </w:t>
      </w:r>
      <w:r w:rsidR="0035053B">
        <w:rPr>
          <w:lang w:val="en-US"/>
        </w:rPr>
        <w:t xml:space="preserve">at a rate higher than that observed in </w:t>
      </w:r>
      <w:r w:rsidR="00AE076C">
        <w:rPr>
          <w:lang w:val="en-US"/>
        </w:rPr>
        <w:t>contributions</w:t>
      </w:r>
      <w:r w:rsidR="0035053B">
        <w:rPr>
          <w:lang w:val="en-US"/>
        </w:rPr>
        <w:t xml:space="preserve"> is explained by the reduction in the average commission, with a lower share of first installments of periodic plans in the composition of total contributions – installments that carry a higher commission percentage. </w:t>
      </w:r>
    </w:p>
    <w:p w14:paraId="22D47C04" w14:textId="5694DB77" w:rsidR="00D33967" w:rsidRPr="00D33967" w:rsidRDefault="00D33967" w:rsidP="00D33967">
      <w:pPr>
        <w:pStyle w:val="01-Textonormal"/>
        <w:rPr>
          <w:lang w:val="en-US"/>
        </w:rPr>
      </w:pPr>
      <w:r w:rsidRPr="00D33967">
        <w:rPr>
          <w:lang w:val="en-US"/>
        </w:rPr>
        <w:t xml:space="preserve">The negative balance of other revenues and expenses </w:t>
      </w:r>
      <w:r w:rsidR="00AE076C" w:rsidRPr="00D33967">
        <w:rPr>
          <w:lang w:val="en-US"/>
        </w:rPr>
        <w:t>grew by</w:t>
      </w:r>
      <w:r w:rsidRPr="00D33967">
        <w:rPr>
          <w:lang w:val="en-US"/>
        </w:rPr>
        <w:t xml:space="preserve"> 7.3%, </w:t>
      </w:r>
      <w:r w:rsidR="00715F22">
        <w:rPr>
          <w:lang w:val="en-US"/>
        </w:rPr>
        <w:t>driven by</w:t>
      </w:r>
      <w:r w:rsidRPr="00D33967">
        <w:rPr>
          <w:lang w:val="en-US"/>
        </w:rPr>
        <w:t>:</w:t>
      </w:r>
    </w:p>
    <w:p w14:paraId="4CA67D45" w14:textId="56554689" w:rsidR="00D33967" w:rsidRPr="00D33967" w:rsidRDefault="0035053B" w:rsidP="0044364F">
      <w:pPr>
        <w:pStyle w:val="01-Textonormal"/>
        <w:numPr>
          <w:ilvl w:val="0"/>
          <w:numId w:val="5"/>
        </w:numPr>
        <w:rPr>
          <w:lang w:val="en-US"/>
        </w:rPr>
      </w:pPr>
      <w:r>
        <w:rPr>
          <w:lang w:val="en-US"/>
        </w:rPr>
        <w:t>h</w:t>
      </w:r>
      <w:r w:rsidR="00D33967" w:rsidRPr="00D33967">
        <w:rPr>
          <w:lang w:val="en-US"/>
        </w:rPr>
        <w:t xml:space="preserve">igher administrative and selling expenses, </w:t>
      </w:r>
      <w:r w:rsidR="00715F22">
        <w:rPr>
          <w:lang w:val="en-US"/>
        </w:rPr>
        <w:t xml:space="preserve">mainly due to increased volume of sponsorships and incentive-based donations, as well as higher expenses with promotions and public relations. However, these effects were partially offset by a reduction in </w:t>
      </w:r>
      <w:r w:rsidR="004F55BD">
        <w:rPr>
          <w:lang w:val="en-US"/>
        </w:rPr>
        <w:t xml:space="preserve">sales incentives and digital </w:t>
      </w:r>
      <w:proofErr w:type="gramStart"/>
      <w:r w:rsidR="004F55BD">
        <w:rPr>
          <w:lang w:val="en-US"/>
        </w:rPr>
        <w:t>communications;</w:t>
      </w:r>
      <w:proofErr w:type="gramEnd"/>
    </w:p>
    <w:p w14:paraId="2A209569" w14:textId="258CCEA6" w:rsidR="00D33967" w:rsidRPr="00D33967" w:rsidRDefault="0035053B" w:rsidP="0044364F">
      <w:pPr>
        <w:pStyle w:val="01-Textonormal"/>
        <w:numPr>
          <w:ilvl w:val="0"/>
          <w:numId w:val="5"/>
        </w:numPr>
        <w:rPr>
          <w:lang w:val="en-US"/>
        </w:rPr>
      </w:pPr>
      <w:r>
        <w:rPr>
          <w:lang w:val="en-US"/>
        </w:rPr>
        <w:t>i</w:t>
      </w:r>
      <w:r w:rsidR="00D33967" w:rsidRPr="00D33967">
        <w:rPr>
          <w:lang w:val="en-US"/>
        </w:rPr>
        <w:t>ncreased tax expenses on financial revenues due to the higher average Selic rate</w:t>
      </w:r>
      <w:r w:rsidR="004F55BD">
        <w:rPr>
          <w:lang w:val="en-US"/>
        </w:rPr>
        <w:t xml:space="preserve"> and expansion in the average balance of financial investments</w:t>
      </w:r>
      <w:r>
        <w:rPr>
          <w:lang w:val="en-US"/>
        </w:rPr>
        <w:t>; and</w:t>
      </w:r>
    </w:p>
    <w:p w14:paraId="3F10B2B7" w14:textId="707B4E5E" w:rsidR="00D33967" w:rsidRPr="00D33967" w:rsidRDefault="0035053B" w:rsidP="0044364F">
      <w:pPr>
        <w:pStyle w:val="01-Textonormal"/>
        <w:numPr>
          <w:ilvl w:val="0"/>
          <w:numId w:val="5"/>
        </w:numPr>
        <w:rPr>
          <w:lang w:val="en-US"/>
        </w:rPr>
      </w:pPr>
      <w:r>
        <w:rPr>
          <w:lang w:val="en-US"/>
        </w:rPr>
        <w:t>g</w:t>
      </w:r>
      <w:r w:rsidR="00D33967" w:rsidRPr="00D33967">
        <w:rPr>
          <w:lang w:val="en-US"/>
        </w:rPr>
        <w:t xml:space="preserve">rowth in personnel expenses, reflecting headcount expansion, collective bargaining effects, and greater cost allocation from the holdings (BB </w:t>
      </w:r>
      <w:proofErr w:type="spellStart"/>
      <w:r w:rsidR="00D33967" w:rsidRPr="00D33967">
        <w:rPr>
          <w:lang w:val="en-US"/>
        </w:rPr>
        <w:t>Seguridade</w:t>
      </w:r>
      <w:proofErr w:type="spellEnd"/>
      <w:r w:rsidR="00D33967" w:rsidRPr="00D33967">
        <w:rPr>
          <w:lang w:val="en-US"/>
        </w:rPr>
        <w:t xml:space="preserve"> and BB Seguros).</w:t>
      </w:r>
    </w:p>
    <w:p w14:paraId="71CF5736" w14:textId="25B39C15" w:rsidR="00C42982" w:rsidRDefault="00D33967" w:rsidP="00D33967">
      <w:pPr>
        <w:pStyle w:val="01-Textonormal"/>
        <w:rPr>
          <w:lang w:val="en-US"/>
        </w:rPr>
      </w:pPr>
      <w:r w:rsidRPr="00D33967">
        <w:rPr>
          <w:lang w:val="en-US"/>
        </w:rPr>
        <w:t>These effects were partially offset by</w:t>
      </w:r>
      <w:r w:rsidR="0035053B">
        <w:rPr>
          <w:lang w:val="en-US"/>
        </w:rPr>
        <w:t xml:space="preserve"> (</w:t>
      </w:r>
      <w:proofErr w:type="spellStart"/>
      <w:r w:rsidR="0035053B">
        <w:rPr>
          <w:lang w:val="en-US"/>
        </w:rPr>
        <w:t>i</w:t>
      </w:r>
      <w:proofErr w:type="spellEnd"/>
      <w:r w:rsidR="0035053B">
        <w:rPr>
          <w:lang w:val="en-US"/>
        </w:rPr>
        <w:t>) l</w:t>
      </w:r>
      <w:r w:rsidRPr="00D33967">
        <w:rPr>
          <w:lang w:val="en-US"/>
        </w:rPr>
        <w:t>ower provisions for contingencies</w:t>
      </w:r>
      <w:r w:rsidR="0035053B">
        <w:rPr>
          <w:lang w:val="en-US"/>
        </w:rPr>
        <w:t>, considering that in 2024 there were higher provisions related to new civil lawsuits and reclassification of probability of losses in existing cases, movements that affected the lines of other operating income and other operating expenses; and (ii) i</w:t>
      </w:r>
      <w:r w:rsidRPr="00D33967">
        <w:rPr>
          <w:lang w:val="en-US"/>
        </w:rPr>
        <w:t xml:space="preserve">mproved results from the investment in </w:t>
      </w:r>
      <w:proofErr w:type="spellStart"/>
      <w:r w:rsidRPr="00D33967">
        <w:rPr>
          <w:lang w:val="en-US"/>
        </w:rPr>
        <w:t>Ciclic</w:t>
      </w:r>
      <w:proofErr w:type="spellEnd"/>
      <w:r w:rsidR="00E8697F" w:rsidRPr="0094595F">
        <w:rPr>
          <w:lang w:val="en-US"/>
        </w:rPr>
        <w:t>.</w:t>
      </w:r>
    </w:p>
    <w:p w14:paraId="184B3303" w14:textId="77777777" w:rsidR="0094595F" w:rsidRPr="0094595F" w:rsidRDefault="0094595F" w:rsidP="00695D6B">
      <w:pPr>
        <w:pStyle w:val="01-Textonormal"/>
        <w:rPr>
          <w:rFonts w:cs="Arial"/>
          <w:lang w:val="en-US"/>
        </w:rPr>
      </w:pPr>
    </w:p>
    <w:p w14:paraId="3A51A449" w14:textId="77777777" w:rsidR="00C81A16" w:rsidRPr="00E55A3D" w:rsidRDefault="002729E8" w:rsidP="00D71AAA">
      <w:pPr>
        <w:pStyle w:val="01-TtulodeNota"/>
        <w:rPr>
          <w:color w:val="1F4E79" w:themeColor="accent1" w:themeShade="80"/>
          <w:lang w:val="en-US"/>
        </w:rPr>
      </w:pPr>
      <w:r>
        <w:rPr>
          <w:color w:val="1F4E79" w:themeColor="accent1" w:themeShade="80"/>
          <w:lang w:val="en-US"/>
        </w:rPr>
        <w:t>SHARES PERFORMANCE AND MARKET RELATIONSHIP</w:t>
      </w:r>
    </w:p>
    <w:p w14:paraId="69184D1F" w14:textId="38D0633B" w:rsidR="00C81A16" w:rsidRPr="00BC754A" w:rsidRDefault="002729E8" w:rsidP="00C81A16">
      <w:pPr>
        <w:pStyle w:val="05-Textonormal"/>
        <w:rPr>
          <w:rFonts w:cs="Arial"/>
          <w:lang w:val="en-US"/>
        </w:rPr>
      </w:pPr>
      <w:r w:rsidRPr="0022722E">
        <w:rPr>
          <w:rFonts w:cs="Arial"/>
          <w:lang w:val="en-US"/>
        </w:rPr>
        <w:t xml:space="preserve">BB Seguridade shares, traded on B3 – </w:t>
      </w:r>
      <w:proofErr w:type="spellStart"/>
      <w:r w:rsidRPr="0022722E">
        <w:rPr>
          <w:rFonts w:cs="Arial"/>
          <w:lang w:val="en-US"/>
        </w:rPr>
        <w:t>Brasil</w:t>
      </w:r>
      <w:proofErr w:type="spellEnd"/>
      <w:r w:rsidRPr="0022722E">
        <w:rPr>
          <w:rFonts w:cs="Arial"/>
          <w:lang w:val="en-US"/>
        </w:rPr>
        <w:t xml:space="preserve">, Bolsa, </w:t>
      </w:r>
      <w:proofErr w:type="spellStart"/>
      <w:r w:rsidRPr="0022722E">
        <w:rPr>
          <w:rFonts w:cs="Arial"/>
          <w:lang w:val="en-US"/>
        </w:rPr>
        <w:t>Balcão</w:t>
      </w:r>
      <w:proofErr w:type="spellEnd"/>
      <w:r w:rsidRPr="0022722E">
        <w:rPr>
          <w:rFonts w:cs="Arial"/>
          <w:lang w:val="en-US"/>
        </w:rPr>
        <w:t xml:space="preserve"> (“B3”) under the ticker BBSE3, closed the year at R$</w:t>
      </w:r>
      <w:r w:rsidR="00920F0E">
        <w:rPr>
          <w:rFonts w:cs="Arial"/>
          <w:lang w:val="en-US"/>
        </w:rPr>
        <w:t>36</w:t>
      </w:r>
      <w:r w:rsidR="00D71AAA">
        <w:rPr>
          <w:rFonts w:cs="Arial"/>
          <w:lang w:val="en-US"/>
        </w:rPr>
        <w:t>.</w:t>
      </w:r>
      <w:r w:rsidR="00920F0E">
        <w:rPr>
          <w:rFonts w:cs="Arial"/>
          <w:lang w:val="en-US"/>
        </w:rPr>
        <w:t>1</w:t>
      </w:r>
      <w:r w:rsidR="00D71AAA">
        <w:rPr>
          <w:rFonts w:cs="Arial"/>
          <w:lang w:val="en-US"/>
        </w:rPr>
        <w:t>5</w:t>
      </w:r>
      <w:r w:rsidRPr="0022722E">
        <w:rPr>
          <w:rFonts w:cs="Arial"/>
          <w:lang w:val="en-US"/>
        </w:rPr>
        <w:t xml:space="preserve"> with a </w:t>
      </w:r>
      <w:r w:rsidR="00D71AAA">
        <w:rPr>
          <w:rFonts w:cs="Arial"/>
          <w:lang w:val="en-US"/>
        </w:rPr>
        <w:t>12.2</w:t>
      </w:r>
      <w:r w:rsidRPr="0022722E">
        <w:rPr>
          <w:rFonts w:cs="Arial"/>
          <w:lang w:val="en-US"/>
        </w:rPr>
        <w:t>% appreciation YTD</w:t>
      </w:r>
      <w:r w:rsidR="00D71AAA">
        <w:rPr>
          <w:rFonts w:cs="Arial"/>
          <w:lang w:val="en-US"/>
        </w:rPr>
        <w:t>, considering the price adjusted for the dividend payments distributed in 2025</w:t>
      </w:r>
      <w:r w:rsidR="00920F0E">
        <w:rPr>
          <w:rFonts w:cs="Arial"/>
          <w:lang w:val="en-US"/>
        </w:rPr>
        <w:t xml:space="preserve">. </w:t>
      </w:r>
      <w:r w:rsidRPr="0022722E">
        <w:rPr>
          <w:rFonts w:cs="Arial"/>
          <w:lang w:val="en-US"/>
        </w:rPr>
        <w:t xml:space="preserve">Based on the year-end </w:t>
      </w:r>
      <w:r w:rsidR="00BC754A">
        <w:rPr>
          <w:rFonts w:cs="Arial"/>
          <w:lang w:val="en-US"/>
        </w:rPr>
        <w:t>price</w:t>
      </w:r>
      <w:r w:rsidRPr="0022722E">
        <w:rPr>
          <w:rFonts w:cs="Arial"/>
          <w:lang w:val="en-US"/>
        </w:rPr>
        <w:t>, the market value of BB Seguridade reached R$</w:t>
      </w:r>
      <w:r w:rsidR="00920F0E">
        <w:rPr>
          <w:rFonts w:cs="Arial"/>
          <w:lang w:val="en-US"/>
        </w:rPr>
        <w:t>72.</w:t>
      </w:r>
      <w:r w:rsidR="00D71AAA">
        <w:rPr>
          <w:rFonts w:cs="Arial"/>
          <w:lang w:val="en-US"/>
        </w:rPr>
        <w:t>3</w:t>
      </w:r>
      <w:r w:rsidRPr="0022722E">
        <w:rPr>
          <w:rFonts w:cs="Arial"/>
          <w:lang w:val="en-US"/>
        </w:rPr>
        <w:t xml:space="preserve"> billion, positioning the Company as the 1</w:t>
      </w:r>
      <w:r w:rsidR="00D71AAA">
        <w:rPr>
          <w:rFonts w:cs="Arial"/>
          <w:lang w:val="en-US"/>
        </w:rPr>
        <w:t>6</w:t>
      </w:r>
      <w:r w:rsidRPr="0022722E">
        <w:rPr>
          <w:rFonts w:cs="Arial"/>
          <w:lang w:val="en-US"/>
        </w:rPr>
        <w:t xml:space="preserve">th largest company listed on the Brazilian stock exchange according to the market value </w:t>
      </w:r>
      <w:r w:rsidR="00BC754A">
        <w:rPr>
          <w:rFonts w:cs="Arial"/>
          <w:lang w:val="en-US"/>
        </w:rPr>
        <w:t>metrics</w:t>
      </w:r>
      <w:r w:rsidR="00920F0E">
        <w:rPr>
          <w:rFonts w:cs="Arial"/>
          <w:lang w:val="en-US"/>
        </w:rPr>
        <w:t>.</w:t>
      </w:r>
      <w:r w:rsidRPr="0022722E">
        <w:rPr>
          <w:rFonts w:cs="Arial"/>
          <w:lang w:val="en-US"/>
        </w:rPr>
        <w:t xml:space="preserve"> In 202</w:t>
      </w:r>
      <w:r w:rsidR="00D71AAA">
        <w:rPr>
          <w:rFonts w:cs="Arial"/>
          <w:lang w:val="en-US"/>
        </w:rPr>
        <w:t>5</w:t>
      </w:r>
      <w:r w:rsidRPr="0022722E">
        <w:rPr>
          <w:rFonts w:cs="Arial"/>
          <w:lang w:val="en-US"/>
        </w:rPr>
        <w:t>, the average daily trading volume of the Company's shares was R$1</w:t>
      </w:r>
      <w:r w:rsidR="00D71AAA">
        <w:rPr>
          <w:rFonts w:cs="Arial"/>
          <w:lang w:val="en-US"/>
        </w:rPr>
        <w:t>94</w:t>
      </w:r>
      <w:r w:rsidRPr="0022722E">
        <w:rPr>
          <w:rFonts w:cs="Arial"/>
          <w:lang w:val="en-US"/>
        </w:rPr>
        <w:t xml:space="preserve"> million</w:t>
      </w:r>
      <w:r w:rsidR="0041424D">
        <w:rPr>
          <w:rFonts w:cs="Arial"/>
          <w:lang w:val="en-US"/>
        </w:rPr>
        <w:t>.</w:t>
      </w:r>
    </w:p>
    <w:p w14:paraId="64539ED6" w14:textId="6F3B55ED" w:rsidR="00C81A16" w:rsidRPr="00BC754A" w:rsidRDefault="002729E8" w:rsidP="00C81A16">
      <w:pPr>
        <w:pStyle w:val="05-Textonormal"/>
        <w:rPr>
          <w:rFonts w:cs="Arial"/>
          <w:color w:val="FF0000"/>
          <w:lang w:val="en-US"/>
        </w:rPr>
      </w:pPr>
      <w:r w:rsidRPr="00F4280B">
        <w:rPr>
          <w:rFonts w:cs="Arial"/>
          <w:lang w:val="en-US"/>
        </w:rPr>
        <w:t xml:space="preserve">BB </w:t>
      </w:r>
      <w:proofErr w:type="spellStart"/>
      <w:r w:rsidRPr="00F4280B">
        <w:rPr>
          <w:rFonts w:cs="Arial"/>
          <w:lang w:val="en-US"/>
        </w:rPr>
        <w:t>Seguridade's</w:t>
      </w:r>
      <w:proofErr w:type="spellEnd"/>
      <w:r w:rsidRPr="00F4280B">
        <w:rPr>
          <w:rFonts w:cs="Arial"/>
          <w:lang w:val="en-US"/>
        </w:rPr>
        <w:t xml:space="preserve"> shares closed the fiscal year integrating the theoretical portfolios of Ibovespa, </w:t>
      </w:r>
      <w:proofErr w:type="spellStart"/>
      <w:r w:rsidRPr="00F4280B">
        <w:rPr>
          <w:rFonts w:cs="Arial"/>
          <w:lang w:val="en-US"/>
        </w:rPr>
        <w:t>IBrX</w:t>
      </w:r>
      <w:proofErr w:type="spellEnd"/>
      <w:r w:rsidRPr="00F4280B">
        <w:rPr>
          <w:rFonts w:cs="Arial"/>
          <w:lang w:val="en-US"/>
        </w:rPr>
        <w:t xml:space="preserve"> 50, </w:t>
      </w:r>
      <w:proofErr w:type="spellStart"/>
      <w:r w:rsidRPr="00F4280B">
        <w:rPr>
          <w:rFonts w:cs="Arial"/>
          <w:lang w:val="en-US"/>
        </w:rPr>
        <w:t>IBrX</w:t>
      </w:r>
      <w:proofErr w:type="spellEnd"/>
      <w:r w:rsidRPr="00F4280B">
        <w:rPr>
          <w:rFonts w:cs="Arial"/>
          <w:lang w:val="en-US"/>
        </w:rPr>
        <w:t xml:space="preserve"> 100, </w:t>
      </w:r>
      <w:proofErr w:type="spellStart"/>
      <w:r w:rsidRPr="00F4280B">
        <w:rPr>
          <w:rFonts w:cs="Arial"/>
          <w:lang w:val="en-US"/>
        </w:rPr>
        <w:t>IBrA</w:t>
      </w:r>
      <w:proofErr w:type="spellEnd"/>
      <w:r w:rsidRPr="00F4280B">
        <w:rPr>
          <w:rFonts w:cs="Arial"/>
          <w:lang w:val="en-US"/>
        </w:rPr>
        <w:t xml:space="preserve">, BM&amp;FBOVESPA Financial Index (IFNC), </w:t>
      </w:r>
      <w:r w:rsidRPr="00F4280B">
        <w:rPr>
          <w:rStyle w:val="nfase"/>
          <w:rFonts w:eastAsia="Calibri" w:cs="Arial"/>
          <w:bCs/>
          <w:lang w:val="en-US"/>
        </w:rPr>
        <w:t>Differentiated Corporate Governance Stock Index (IGC)</w:t>
      </w:r>
      <w:r w:rsidRPr="00F4280B">
        <w:rPr>
          <w:rFonts w:cs="Arial"/>
          <w:lang w:val="en-US"/>
        </w:rPr>
        <w:t xml:space="preserve">, Trade Corporate Governance Index (IGCT), Stock Index with Corporate Governance – Novo Mercado (IGC-NM), Differentiated Tag Along Stock Index (ITAG), </w:t>
      </w:r>
      <w:proofErr w:type="spellStart"/>
      <w:r w:rsidRPr="00F4280B">
        <w:rPr>
          <w:rFonts w:cs="Arial"/>
          <w:lang w:val="en-US"/>
        </w:rPr>
        <w:t>BM&amp;FBovespa</w:t>
      </w:r>
      <w:proofErr w:type="spellEnd"/>
      <w:r w:rsidRPr="00F4280B">
        <w:rPr>
          <w:rFonts w:cs="Arial"/>
          <w:lang w:val="en-US"/>
        </w:rPr>
        <w:t xml:space="preserve"> Dividends Index (IDIV), </w:t>
      </w:r>
      <w:proofErr w:type="spellStart"/>
      <w:r w:rsidRPr="00F4280B">
        <w:rPr>
          <w:rFonts w:cs="Arial"/>
          <w:lang w:val="en-US"/>
        </w:rPr>
        <w:t>MidLarge</w:t>
      </w:r>
      <w:proofErr w:type="spellEnd"/>
      <w:r w:rsidRPr="00F4280B">
        <w:rPr>
          <w:rFonts w:cs="Arial"/>
          <w:lang w:val="en-US"/>
        </w:rPr>
        <w:t xml:space="preserve"> Cap Index (MLCX), </w:t>
      </w:r>
      <w:proofErr w:type="spellStart"/>
      <w:r w:rsidRPr="00F4280B">
        <w:rPr>
          <w:rFonts w:cs="Arial"/>
          <w:lang w:val="en-US"/>
        </w:rPr>
        <w:t>BM&amp;FBovespa</w:t>
      </w:r>
      <w:proofErr w:type="spellEnd"/>
      <w:r w:rsidRPr="00F4280B">
        <w:rPr>
          <w:rFonts w:cs="Arial"/>
          <w:lang w:val="en-US"/>
        </w:rPr>
        <w:t xml:space="preserve"> Value Index (IVBX2), B3 Diversity Index (IDIVERSA B3), MSCI Brazil Index and FTSE4Good Index</w:t>
      </w:r>
      <w:r w:rsidR="0041424D">
        <w:rPr>
          <w:rFonts w:cs="Arial"/>
          <w:lang w:val="en-US"/>
        </w:rPr>
        <w:t>.</w:t>
      </w:r>
    </w:p>
    <w:p w14:paraId="77016C41" w14:textId="190A00BC" w:rsidR="00C81A16" w:rsidRPr="00BC754A" w:rsidRDefault="002729E8" w:rsidP="00C81A16">
      <w:pPr>
        <w:pStyle w:val="05-Textonormal"/>
        <w:rPr>
          <w:rFonts w:cs="Arial"/>
          <w:lang w:val="en-US"/>
        </w:rPr>
      </w:pPr>
      <w:r w:rsidRPr="00DC3779">
        <w:rPr>
          <w:rFonts w:cs="Arial"/>
          <w:lang w:val="en-US"/>
        </w:rPr>
        <w:t xml:space="preserve">Since March 2014, BB Seguridade has maintained a Level I </w:t>
      </w:r>
      <w:r w:rsidRPr="0041424D">
        <w:rPr>
          <w:rFonts w:cs="Arial"/>
          <w:iCs/>
          <w:lang w:val="en-US"/>
        </w:rPr>
        <w:t xml:space="preserve">American Depositary Receipts </w:t>
      </w:r>
      <w:r w:rsidRPr="00DC3779">
        <w:rPr>
          <w:rFonts w:cs="Arial"/>
          <w:lang w:val="en-US"/>
        </w:rPr>
        <w:t>(“ADR”) Program</w:t>
      </w:r>
      <w:r w:rsidR="0041424D" w:rsidRPr="0041424D">
        <w:rPr>
          <w:rFonts w:cs="Arial"/>
          <w:lang w:val="en-US"/>
        </w:rPr>
        <w:t xml:space="preserve">, </w:t>
      </w:r>
      <w:r w:rsidR="00152C19">
        <w:rPr>
          <w:rFonts w:cs="Arial"/>
          <w:lang w:val="en-US"/>
        </w:rPr>
        <w:t xml:space="preserve">with </w:t>
      </w:r>
      <w:r w:rsidR="0041424D" w:rsidRPr="0041424D">
        <w:rPr>
          <w:rFonts w:cs="Arial"/>
          <w:lang w:val="en-US"/>
        </w:rPr>
        <w:t xml:space="preserve">JP Morgan. </w:t>
      </w:r>
      <w:r w:rsidR="00152C19">
        <w:rPr>
          <w:rFonts w:cs="Arial"/>
          <w:lang w:val="en-US"/>
        </w:rPr>
        <w:t xml:space="preserve">Chase </w:t>
      </w:r>
      <w:proofErr w:type="gramStart"/>
      <w:r w:rsidR="00152C19">
        <w:rPr>
          <w:rFonts w:cs="Arial"/>
          <w:lang w:val="en-US"/>
        </w:rPr>
        <w:t>currently</w:t>
      </w:r>
      <w:proofErr w:type="gramEnd"/>
      <w:r w:rsidR="00152C19">
        <w:rPr>
          <w:rFonts w:cs="Arial"/>
          <w:lang w:val="en-US"/>
        </w:rPr>
        <w:t xml:space="preserve"> serving as the depositary bank. </w:t>
      </w:r>
      <w:r w:rsidR="0041424D" w:rsidRPr="0041424D">
        <w:rPr>
          <w:rFonts w:cs="Arial"/>
          <w:lang w:val="en-US"/>
        </w:rPr>
        <w:t xml:space="preserve">The ADRs are backed by the company's common shares (ON) at a ratio of 1 ADR to 1 ON and are traded on the U.S. over-the-counter market. At the end of the fiscal year, the program had over </w:t>
      </w:r>
      <w:r w:rsidR="00152C19">
        <w:rPr>
          <w:rFonts w:cs="Arial"/>
          <w:lang w:val="en-US"/>
        </w:rPr>
        <w:t>16</w:t>
      </w:r>
      <w:r w:rsidR="0041424D" w:rsidRPr="0041424D">
        <w:rPr>
          <w:rFonts w:cs="Arial"/>
          <w:lang w:val="en-US"/>
        </w:rPr>
        <w:t>.</w:t>
      </w:r>
      <w:r w:rsidR="00152C19">
        <w:rPr>
          <w:rFonts w:cs="Arial"/>
          <w:lang w:val="en-US"/>
        </w:rPr>
        <w:t>6</w:t>
      </w:r>
      <w:r w:rsidR="0041424D" w:rsidRPr="0041424D">
        <w:rPr>
          <w:rFonts w:cs="Arial"/>
          <w:lang w:val="en-US"/>
        </w:rPr>
        <w:t xml:space="preserve"> million ADRs issued, priced at $</w:t>
      </w:r>
      <w:r w:rsidR="00152C19">
        <w:rPr>
          <w:rFonts w:cs="Arial"/>
          <w:lang w:val="en-US"/>
        </w:rPr>
        <w:t>6</w:t>
      </w:r>
      <w:r w:rsidR="0041424D" w:rsidRPr="0041424D">
        <w:rPr>
          <w:rFonts w:cs="Arial"/>
          <w:lang w:val="en-US"/>
        </w:rPr>
        <w:t>.</w:t>
      </w:r>
      <w:r w:rsidR="00152C19">
        <w:rPr>
          <w:rFonts w:cs="Arial"/>
          <w:lang w:val="en-US"/>
        </w:rPr>
        <w:t>71</w:t>
      </w:r>
      <w:r w:rsidR="0041424D" w:rsidRPr="0041424D">
        <w:rPr>
          <w:rFonts w:cs="Arial"/>
          <w:lang w:val="en-US"/>
        </w:rPr>
        <w:t xml:space="preserve"> per depositary receipt.</w:t>
      </w:r>
    </w:p>
    <w:p w14:paraId="74808685" w14:textId="77777777" w:rsidR="00434580" w:rsidRDefault="00434580">
      <w:pPr>
        <w:rPr>
          <w:rFonts w:eastAsia="Times New Roman" w:cs="Arial"/>
          <w:spacing w:val="-2"/>
          <w:szCs w:val="18"/>
          <w:lang w:val="en-US" w:eastAsia="pt-BR"/>
        </w:rPr>
      </w:pPr>
      <w:r>
        <w:rPr>
          <w:rFonts w:cs="Arial"/>
          <w:lang w:val="en-US"/>
        </w:rPr>
        <w:br w:type="page"/>
      </w:r>
    </w:p>
    <w:p w14:paraId="0CA2E4C4" w14:textId="2389B20E" w:rsidR="00C81A16" w:rsidRDefault="002729E8" w:rsidP="00C81A16">
      <w:pPr>
        <w:pStyle w:val="05-Textonormal"/>
        <w:rPr>
          <w:rFonts w:cs="Arial"/>
          <w:lang w:val="en-US"/>
        </w:rPr>
      </w:pPr>
      <w:r w:rsidRPr="00FB2CA7">
        <w:rPr>
          <w:rFonts w:cs="Arial"/>
          <w:lang w:val="en-US"/>
        </w:rPr>
        <w:lastRenderedPageBreak/>
        <w:t xml:space="preserve">Below, we present the main indicators for the performance of BB </w:t>
      </w:r>
      <w:proofErr w:type="spellStart"/>
      <w:r w:rsidRPr="00FB2CA7">
        <w:rPr>
          <w:rFonts w:cs="Arial"/>
          <w:lang w:val="en-US"/>
        </w:rPr>
        <w:t>Seguridade's</w:t>
      </w:r>
      <w:proofErr w:type="spellEnd"/>
      <w:r w:rsidRPr="00FB2CA7">
        <w:rPr>
          <w:rFonts w:cs="Arial"/>
          <w:lang w:val="en-US"/>
        </w:rPr>
        <w:t xml:space="preserve"> shares in the last two fiscal years:</w:t>
      </w:r>
    </w:p>
    <w:p w14:paraId="3BEED522" w14:textId="552C15F7" w:rsidR="00575640" w:rsidRPr="00860655" w:rsidRDefault="00575640" w:rsidP="00575640">
      <w:pPr>
        <w:pStyle w:val="01-TtulodeNota"/>
        <w:rPr>
          <w:b w:val="0"/>
          <w:sz w:val="14"/>
        </w:rPr>
      </w:pPr>
      <w:proofErr w:type="spellStart"/>
      <w:r w:rsidRPr="00860655">
        <w:rPr>
          <w:rFonts w:cs="Arial"/>
          <w:b w:val="0"/>
          <w:sz w:val="14"/>
          <w:szCs w:val="14"/>
        </w:rPr>
        <w:t>Tab</w:t>
      </w:r>
      <w:r>
        <w:rPr>
          <w:rFonts w:cs="Arial"/>
          <w:b w:val="0"/>
          <w:sz w:val="14"/>
          <w:szCs w:val="14"/>
        </w:rPr>
        <w:t>le</w:t>
      </w:r>
      <w:proofErr w:type="spellEnd"/>
      <w:r w:rsidRPr="00860655">
        <w:rPr>
          <w:rFonts w:cs="Arial"/>
          <w:b w:val="0"/>
          <w:sz w:val="14"/>
          <w:szCs w:val="14"/>
        </w:rPr>
        <w:t xml:space="preserve">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00A12A48">
        <w:rPr>
          <w:rFonts w:cs="Arial"/>
          <w:b w:val="0"/>
          <w:noProof/>
          <w:sz w:val="14"/>
          <w:szCs w:val="14"/>
        </w:rPr>
        <w:t>2</w:t>
      </w:r>
      <w:r w:rsidRPr="00860655">
        <w:rPr>
          <w:rFonts w:cs="Arial"/>
          <w:b w:val="0"/>
          <w:noProof/>
          <w:sz w:val="14"/>
          <w:szCs w:val="14"/>
        </w:rPr>
        <w:fldChar w:fldCharType="end"/>
      </w:r>
      <w:r w:rsidRPr="00860655">
        <w:rPr>
          <w:b w:val="0"/>
          <w:sz w:val="14"/>
        </w:rPr>
        <w:t xml:space="preserve"> – </w:t>
      </w:r>
      <w:proofErr w:type="spellStart"/>
      <w:r>
        <w:rPr>
          <w:b w:val="0"/>
          <w:sz w:val="14"/>
        </w:rPr>
        <w:t>Share’s</w:t>
      </w:r>
      <w:proofErr w:type="spellEnd"/>
      <w:r>
        <w:rPr>
          <w:b w:val="0"/>
          <w:sz w:val="14"/>
        </w:rPr>
        <w:t xml:space="preserve"> performance</w:t>
      </w:r>
    </w:p>
    <w:tbl>
      <w:tblPr>
        <w:tblStyle w:val="TabeladeLista6Colorida-nfase5"/>
        <w:tblW w:w="9639" w:type="dxa"/>
        <w:tblLook w:val="04A0" w:firstRow="1" w:lastRow="0" w:firstColumn="1" w:lastColumn="0" w:noHBand="0" w:noVBand="1"/>
      </w:tblPr>
      <w:tblGrid>
        <w:gridCol w:w="3828"/>
        <w:gridCol w:w="281"/>
        <w:gridCol w:w="1843"/>
        <w:gridCol w:w="1843"/>
        <w:gridCol w:w="1844"/>
      </w:tblGrid>
      <w:tr w:rsidR="00575640" w:rsidRPr="00860655" w14:paraId="72C3D5B8" w14:textId="77777777" w:rsidTr="009C18A1">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8EAADB" w:themeColor="accent5" w:themeTint="99"/>
              <w:right w:val="nil"/>
            </w:tcBorders>
            <w:vAlign w:val="center"/>
          </w:tcPr>
          <w:p w14:paraId="54734D6C" w14:textId="77777777" w:rsidR="00575640" w:rsidRPr="00860655" w:rsidRDefault="00575640" w:rsidP="001607D7">
            <w:pPr>
              <w:pStyle w:val="08-Tabelageral"/>
              <w:jc w:val="left"/>
              <w:rPr>
                <w:rFonts w:cs="Arial"/>
                <w:bCs w:val="0"/>
                <w:szCs w:val="14"/>
                <w:lang w:eastAsia="en-US"/>
              </w:rPr>
            </w:pPr>
          </w:p>
        </w:tc>
        <w:tc>
          <w:tcPr>
            <w:tcW w:w="281" w:type="dxa"/>
            <w:tcBorders>
              <w:top w:val="nil"/>
              <w:left w:val="nil"/>
              <w:bottom w:val="single" w:sz="2" w:space="0" w:color="8EAADB" w:themeColor="accent5" w:themeTint="99"/>
              <w:right w:val="nil"/>
            </w:tcBorders>
            <w:vAlign w:val="center"/>
          </w:tcPr>
          <w:p w14:paraId="666DFA6E" w14:textId="77777777" w:rsidR="00575640" w:rsidRPr="00860655" w:rsidRDefault="00575640" w:rsidP="001607D7">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8EAADB" w:themeColor="accent5" w:themeTint="99"/>
              <w:right w:val="nil"/>
            </w:tcBorders>
            <w:vAlign w:val="center"/>
          </w:tcPr>
          <w:p w14:paraId="242D31C4" w14:textId="77777777" w:rsidR="00575640" w:rsidRPr="00860655" w:rsidRDefault="00575640" w:rsidP="001607D7">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8EAADB" w:themeColor="accent5" w:themeTint="99"/>
              <w:right w:val="nil"/>
            </w:tcBorders>
            <w:vAlign w:val="center"/>
          </w:tcPr>
          <w:p w14:paraId="74DB03F1" w14:textId="77777777" w:rsidR="00575640" w:rsidRPr="00860655" w:rsidRDefault="00575640" w:rsidP="001607D7">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4" w:type="dxa"/>
            <w:tcBorders>
              <w:top w:val="nil"/>
              <w:left w:val="nil"/>
              <w:bottom w:val="single" w:sz="2" w:space="0" w:color="8EAADB" w:themeColor="accent5" w:themeTint="99"/>
              <w:right w:val="nil"/>
            </w:tcBorders>
            <w:vAlign w:val="center"/>
          </w:tcPr>
          <w:p w14:paraId="1133294B" w14:textId="77777777" w:rsidR="00575640" w:rsidRPr="00860655" w:rsidRDefault="00575640" w:rsidP="001607D7">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575640" w:rsidRPr="00860655" w14:paraId="00F7E60E" w14:textId="77777777" w:rsidTr="007C1FA3">
        <w:trPr>
          <w:cnfStyle w:val="000000100000" w:firstRow="0" w:lastRow="0" w:firstColumn="0" w:lastColumn="0" w:oddVBand="0" w:evenVBand="0" w:oddHBand="1" w:evenHBand="0" w:firstRowFirstColumn="0" w:firstRowLastColumn="0" w:lastRowFirstColumn="0" w:lastRowLastColumn="0"/>
          <w:trHeight w:hRule="exact" w:val="517"/>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left w:val="nil"/>
              <w:bottom w:val="single" w:sz="4" w:space="0" w:color="8EAADB" w:themeColor="accent5" w:themeTint="99"/>
              <w:right w:val="nil"/>
            </w:tcBorders>
            <w:shd w:val="clear" w:color="auto" w:fill="auto"/>
            <w:vAlign w:val="center"/>
          </w:tcPr>
          <w:p w14:paraId="5DEAEBE1" w14:textId="77777777" w:rsidR="00575640" w:rsidRPr="00860655" w:rsidRDefault="00575640" w:rsidP="00575640">
            <w:pPr>
              <w:pStyle w:val="08-Tabelageral"/>
              <w:jc w:val="left"/>
              <w:rPr>
                <w:rFonts w:cs="Arial"/>
                <w:b w:val="0"/>
                <w:snapToGrid w:val="0"/>
                <w:lang w:eastAsia="en-US"/>
              </w:rPr>
            </w:pPr>
          </w:p>
        </w:tc>
        <w:tc>
          <w:tcPr>
            <w:tcW w:w="281" w:type="dxa"/>
            <w:tcBorders>
              <w:top w:val="single" w:sz="2" w:space="0" w:color="8EAADB" w:themeColor="accent5" w:themeTint="99"/>
              <w:left w:val="nil"/>
              <w:bottom w:val="single" w:sz="4" w:space="0" w:color="8EAADB" w:themeColor="accent5" w:themeTint="99"/>
              <w:right w:val="nil"/>
            </w:tcBorders>
            <w:shd w:val="clear" w:color="auto" w:fill="auto"/>
            <w:vAlign w:val="center"/>
          </w:tcPr>
          <w:p w14:paraId="1867F048" w14:textId="77777777" w:rsidR="00575640" w:rsidRPr="00860655" w:rsidRDefault="00575640" w:rsidP="00575640">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tcBorders>
              <w:top w:val="single" w:sz="2" w:space="0" w:color="8EAADB" w:themeColor="accent5" w:themeTint="99"/>
              <w:left w:val="nil"/>
              <w:bottom w:val="single" w:sz="4" w:space="0" w:color="8EAADB" w:themeColor="accent5" w:themeTint="99"/>
              <w:right w:val="nil"/>
            </w:tcBorders>
            <w:shd w:val="clear" w:color="auto" w:fill="auto"/>
            <w:hideMark/>
          </w:tcPr>
          <w:p w14:paraId="6679AFF4" w14:textId="3D93DA1F" w:rsidR="00575640" w:rsidRPr="0041424D" w:rsidRDefault="00575640" w:rsidP="0057564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41424D">
              <w:rPr>
                <w:b/>
                <w:bCs/>
              </w:rPr>
              <w:t>Unit</w:t>
            </w:r>
          </w:p>
        </w:tc>
        <w:tc>
          <w:tcPr>
            <w:tcW w:w="1843" w:type="dxa"/>
            <w:tcBorders>
              <w:top w:val="single" w:sz="2" w:space="0" w:color="8EAADB" w:themeColor="accent5" w:themeTint="99"/>
              <w:left w:val="nil"/>
              <w:bottom w:val="single" w:sz="4" w:space="0" w:color="8EAADB" w:themeColor="accent5" w:themeTint="99"/>
              <w:right w:val="nil"/>
            </w:tcBorders>
            <w:shd w:val="clear" w:color="auto" w:fill="auto"/>
            <w:hideMark/>
          </w:tcPr>
          <w:p w14:paraId="65600D83" w14:textId="14B56394" w:rsidR="00575640" w:rsidRPr="0041424D" w:rsidRDefault="00575640" w:rsidP="0057564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41424D">
              <w:rPr>
                <w:b/>
                <w:bCs/>
              </w:rPr>
              <w:t>FY202</w:t>
            </w:r>
            <w:r w:rsidR="00152C19">
              <w:rPr>
                <w:b/>
                <w:bCs/>
              </w:rPr>
              <w:t>5</w:t>
            </w:r>
          </w:p>
        </w:tc>
        <w:tc>
          <w:tcPr>
            <w:tcW w:w="1844" w:type="dxa"/>
            <w:tcBorders>
              <w:top w:val="single" w:sz="2" w:space="0" w:color="8EAADB" w:themeColor="accent5" w:themeTint="99"/>
              <w:left w:val="nil"/>
              <w:bottom w:val="single" w:sz="4" w:space="0" w:color="8EAADB" w:themeColor="accent5" w:themeTint="99"/>
              <w:right w:val="nil"/>
            </w:tcBorders>
            <w:shd w:val="clear" w:color="auto" w:fill="auto"/>
            <w:hideMark/>
          </w:tcPr>
          <w:p w14:paraId="30F34DAE" w14:textId="304D15CE" w:rsidR="00575640" w:rsidRPr="0041424D" w:rsidRDefault="00575640" w:rsidP="0041424D">
            <w:pPr>
              <w:pStyle w:val="08-Tabelageral"/>
              <w:cnfStyle w:val="000000100000" w:firstRow="0" w:lastRow="0" w:firstColumn="0" w:lastColumn="0" w:oddVBand="0" w:evenVBand="0" w:oddHBand="1" w:evenHBand="0" w:firstRowFirstColumn="0" w:firstRowLastColumn="0" w:lastRowFirstColumn="0" w:lastRowLastColumn="0"/>
              <w:rPr>
                <w:b/>
                <w:bCs/>
              </w:rPr>
            </w:pPr>
            <w:r w:rsidRPr="0041424D">
              <w:rPr>
                <w:b/>
                <w:bCs/>
              </w:rPr>
              <w:t>FY202</w:t>
            </w:r>
            <w:r w:rsidR="00152C19">
              <w:rPr>
                <w:b/>
                <w:bCs/>
              </w:rPr>
              <w:t>4</w:t>
            </w:r>
          </w:p>
        </w:tc>
      </w:tr>
      <w:tr w:rsidR="00152C19" w:rsidRPr="00FA31E9" w14:paraId="4E7C227E" w14:textId="77777777" w:rsidTr="001607D7">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3E55C35D" w14:textId="7F606426" w:rsidR="00152C19" w:rsidRPr="00575640" w:rsidRDefault="00152C19" w:rsidP="00152C19">
            <w:pPr>
              <w:pStyle w:val="08-Tabelageral"/>
              <w:jc w:val="left"/>
              <w:rPr>
                <w:rFonts w:cs="Arial"/>
                <w:b w:val="0"/>
                <w:bCs w:val="0"/>
                <w:snapToGrid w:val="0"/>
                <w:lang w:eastAsia="en-US"/>
              </w:rPr>
            </w:pPr>
            <w:proofErr w:type="spellStart"/>
            <w:r w:rsidRPr="00575640">
              <w:rPr>
                <w:b w:val="0"/>
                <w:bCs w:val="0"/>
              </w:rPr>
              <w:t>Earnings</w:t>
            </w:r>
            <w:proofErr w:type="spellEnd"/>
            <w:r w:rsidRPr="00575640">
              <w:rPr>
                <w:b w:val="0"/>
                <w:bCs w:val="0"/>
              </w:rPr>
              <w:t xml:space="preserve"> per shar</w:t>
            </w:r>
            <w:r>
              <w:rPr>
                <w:b w:val="0"/>
                <w:bCs w:val="0"/>
              </w:rPr>
              <w:t>e¹</w:t>
            </w:r>
          </w:p>
        </w:tc>
        <w:tc>
          <w:tcPr>
            <w:tcW w:w="281" w:type="dxa"/>
            <w:tcBorders>
              <w:top w:val="nil"/>
              <w:left w:val="nil"/>
              <w:bottom w:val="nil"/>
              <w:right w:val="nil"/>
            </w:tcBorders>
            <w:vAlign w:val="center"/>
          </w:tcPr>
          <w:p w14:paraId="7B349588" w14:textId="77777777" w:rsidR="00152C19" w:rsidRPr="00860655"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tcBorders>
              <w:top w:val="nil"/>
              <w:left w:val="nil"/>
              <w:bottom w:val="nil"/>
              <w:right w:val="nil"/>
            </w:tcBorders>
            <w:hideMark/>
          </w:tcPr>
          <w:p w14:paraId="2B597EF0" w14:textId="6EDD45DB" w:rsidR="00152C19" w:rsidRPr="00860655"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hideMark/>
          </w:tcPr>
          <w:p w14:paraId="236792D5" w14:textId="0D020686" w:rsidR="00152C19" w:rsidRPr="004929A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4.48</w:t>
            </w:r>
          </w:p>
        </w:tc>
        <w:tc>
          <w:tcPr>
            <w:tcW w:w="1844" w:type="dxa"/>
            <w:tcBorders>
              <w:top w:val="nil"/>
              <w:left w:val="nil"/>
              <w:bottom w:val="nil"/>
              <w:right w:val="nil"/>
            </w:tcBorders>
            <w:hideMark/>
          </w:tcPr>
          <w:p w14:paraId="5778C075" w14:textId="2ED2ACF8" w:rsidR="00152C19" w:rsidRPr="004929A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4.35</w:t>
            </w:r>
          </w:p>
        </w:tc>
      </w:tr>
      <w:tr w:rsidR="00152C19" w:rsidRPr="00DC3779" w14:paraId="1FBB6327" w14:textId="77777777" w:rsidTr="001607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0B441B63" w14:textId="20992951" w:rsidR="00152C19" w:rsidRPr="00575640" w:rsidRDefault="00152C19" w:rsidP="00152C19">
            <w:pPr>
              <w:pStyle w:val="08-Tabelageral"/>
              <w:jc w:val="left"/>
              <w:rPr>
                <w:rFonts w:cs="Arial"/>
                <w:b w:val="0"/>
                <w:bCs w:val="0"/>
                <w:snapToGrid w:val="0"/>
                <w:lang w:val="en-US" w:eastAsia="en-US"/>
              </w:rPr>
            </w:pPr>
            <w:r w:rsidRPr="00575640">
              <w:rPr>
                <w:b w:val="0"/>
                <w:bCs w:val="0"/>
              </w:rPr>
              <w:t xml:space="preserve">Book </w:t>
            </w:r>
            <w:proofErr w:type="spellStart"/>
            <w:r w:rsidRPr="00575640">
              <w:rPr>
                <w:b w:val="0"/>
                <w:bCs w:val="0"/>
              </w:rPr>
              <w:t>value</w:t>
            </w:r>
            <w:proofErr w:type="spellEnd"/>
            <w:r w:rsidRPr="00575640">
              <w:rPr>
                <w:b w:val="0"/>
                <w:bCs w:val="0"/>
              </w:rPr>
              <w:t xml:space="preserve"> per </w:t>
            </w:r>
            <w:proofErr w:type="spellStart"/>
            <w:r w:rsidRPr="00575640">
              <w:rPr>
                <w:b w:val="0"/>
                <w:bCs w:val="0"/>
              </w:rPr>
              <w:t>share</w:t>
            </w:r>
            <w:proofErr w:type="spellEnd"/>
          </w:p>
        </w:tc>
        <w:tc>
          <w:tcPr>
            <w:tcW w:w="281" w:type="dxa"/>
            <w:tcBorders>
              <w:top w:val="nil"/>
              <w:left w:val="nil"/>
              <w:bottom w:val="nil"/>
              <w:right w:val="nil"/>
            </w:tcBorders>
            <w:shd w:val="clear" w:color="auto" w:fill="auto"/>
            <w:vAlign w:val="center"/>
          </w:tcPr>
          <w:p w14:paraId="4EDB4FC0" w14:textId="77777777" w:rsidR="00152C19" w:rsidRPr="00575640"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val="en-US" w:eastAsia="en-US"/>
              </w:rPr>
            </w:pPr>
          </w:p>
        </w:tc>
        <w:tc>
          <w:tcPr>
            <w:tcW w:w="1843" w:type="dxa"/>
            <w:tcBorders>
              <w:top w:val="nil"/>
              <w:left w:val="nil"/>
              <w:bottom w:val="nil"/>
              <w:right w:val="nil"/>
            </w:tcBorders>
            <w:shd w:val="clear" w:color="auto" w:fill="auto"/>
            <w:hideMark/>
          </w:tcPr>
          <w:p w14:paraId="4E8F47B9" w14:textId="52A5FB75" w:rsidR="00152C19" w:rsidRPr="00DC3779"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shd w:val="clear" w:color="auto" w:fill="auto"/>
            <w:hideMark/>
          </w:tcPr>
          <w:p w14:paraId="69BF6F47" w14:textId="7479CFAA"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5.19</w:t>
            </w:r>
          </w:p>
        </w:tc>
        <w:tc>
          <w:tcPr>
            <w:tcW w:w="1844" w:type="dxa"/>
            <w:tcBorders>
              <w:top w:val="nil"/>
              <w:left w:val="nil"/>
              <w:bottom w:val="nil"/>
              <w:right w:val="nil"/>
            </w:tcBorders>
            <w:shd w:val="clear" w:color="auto" w:fill="auto"/>
            <w:hideMark/>
          </w:tcPr>
          <w:p w14:paraId="701CE649" w14:textId="066425D5"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4.85</w:t>
            </w:r>
          </w:p>
        </w:tc>
      </w:tr>
      <w:tr w:rsidR="00152C19" w:rsidRPr="00DC3779" w14:paraId="3F6062C9" w14:textId="77777777" w:rsidTr="001607D7">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72D7808B" w14:textId="689E7AA3" w:rsidR="00152C19" w:rsidRPr="00575640" w:rsidRDefault="00152C19" w:rsidP="00152C19">
            <w:pPr>
              <w:pStyle w:val="08-Tabelageral"/>
              <w:jc w:val="left"/>
              <w:rPr>
                <w:rFonts w:cs="Arial"/>
                <w:b w:val="0"/>
                <w:bCs w:val="0"/>
                <w:snapToGrid w:val="0"/>
                <w:lang w:val="en-US" w:eastAsia="en-US"/>
              </w:rPr>
            </w:pPr>
            <w:r w:rsidRPr="00575640">
              <w:rPr>
                <w:b w:val="0"/>
                <w:bCs w:val="0"/>
                <w:lang w:val="en-US"/>
              </w:rPr>
              <w:t>Year-end price per share</w:t>
            </w:r>
          </w:p>
        </w:tc>
        <w:tc>
          <w:tcPr>
            <w:tcW w:w="281" w:type="dxa"/>
            <w:tcBorders>
              <w:top w:val="nil"/>
              <w:left w:val="nil"/>
              <w:bottom w:val="nil"/>
              <w:right w:val="nil"/>
            </w:tcBorders>
            <w:vAlign w:val="center"/>
          </w:tcPr>
          <w:p w14:paraId="506B493C" w14:textId="77777777" w:rsidR="00152C19" w:rsidRPr="00575640"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val="en-US" w:eastAsia="en-US"/>
              </w:rPr>
            </w:pPr>
          </w:p>
        </w:tc>
        <w:tc>
          <w:tcPr>
            <w:tcW w:w="1843" w:type="dxa"/>
            <w:tcBorders>
              <w:top w:val="nil"/>
              <w:left w:val="nil"/>
              <w:bottom w:val="nil"/>
              <w:right w:val="nil"/>
            </w:tcBorders>
            <w:hideMark/>
          </w:tcPr>
          <w:p w14:paraId="3EE55CA3" w14:textId="0B7CB122" w:rsidR="00152C19" w:rsidRPr="00DC377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hideMark/>
          </w:tcPr>
          <w:p w14:paraId="001FAAE4" w14:textId="76E2C6BB" w:rsidR="00152C19" w:rsidRPr="00F4280B"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36.15</w:t>
            </w:r>
          </w:p>
        </w:tc>
        <w:tc>
          <w:tcPr>
            <w:tcW w:w="1844" w:type="dxa"/>
            <w:tcBorders>
              <w:top w:val="nil"/>
              <w:left w:val="nil"/>
              <w:bottom w:val="nil"/>
              <w:right w:val="nil"/>
            </w:tcBorders>
            <w:hideMark/>
          </w:tcPr>
          <w:p w14:paraId="59EB9FDA" w14:textId="74EEE6B9" w:rsidR="00152C19" w:rsidRPr="00F4280B"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36.18²</w:t>
            </w:r>
          </w:p>
        </w:tc>
      </w:tr>
      <w:tr w:rsidR="00152C19" w:rsidRPr="00DC3779" w14:paraId="26A926B6" w14:textId="77777777" w:rsidTr="001607D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6FBA9328" w14:textId="2B5B777C" w:rsidR="00152C19" w:rsidRPr="00575640" w:rsidRDefault="00152C19" w:rsidP="00152C19">
            <w:pPr>
              <w:pStyle w:val="08-Tabelageral"/>
              <w:jc w:val="left"/>
              <w:rPr>
                <w:rFonts w:cs="Arial"/>
                <w:b w:val="0"/>
                <w:bCs w:val="0"/>
                <w:snapToGrid w:val="0"/>
                <w:lang w:eastAsia="en-US"/>
              </w:rPr>
            </w:pPr>
            <w:r w:rsidRPr="00575640">
              <w:rPr>
                <w:b w:val="0"/>
                <w:bCs w:val="0"/>
              </w:rPr>
              <w:t>Market cap</w:t>
            </w:r>
          </w:p>
        </w:tc>
        <w:tc>
          <w:tcPr>
            <w:tcW w:w="281" w:type="dxa"/>
            <w:tcBorders>
              <w:top w:val="nil"/>
              <w:left w:val="nil"/>
              <w:bottom w:val="nil"/>
              <w:right w:val="nil"/>
            </w:tcBorders>
            <w:shd w:val="clear" w:color="auto" w:fill="auto"/>
            <w:vAlign w:val="center"/>
          </w:tcPr>
          <w:p w14:paraId="63AC5313" w14:textId="77777777" w:rsidR="00152C19" w:rsidRPr="00DC3779"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64FBEF52" w14:textId="1741065B" w:rsidR="00152C19" w:rsidRPr="00DC3779"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billion</w:t>
            </w:r>
            <w:proofErr w:type="spellEnd"/>
          </w:p>
        </w:tc>
        <w:tc>
          <w:tcPr>
            <w:tcW w:w="1843" w:type="dxa"/>
            <w:tcBorders>
              <w:top w:val="nil"/>
              <w:left w:val="nil"/>
              <w:bottom w:val="nil"/>
              <w:right w:val="nil"/>
            </w:tcBorders>
            <w:shd w:val="clear" w:color="auto" w:fill="auto"/>
            <w:hideMark/>
          </w:tcPr>
          <w:p w14:paraId="3018FA73" w14:textId="5073355B"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72.3</w:t>
            </w:r>
          </w:p>
        </w:tc>
        <w:tc>
          <w:tcPr>
            <w:tcW w:w="1844" w:type="dxa"/>
            <w:tcBorders>
              <w:top w:val="nil"/>
              <w:left w:val="nil"/>
              <w:bottom w:val="nil"/>
              <w:right w:val="nil"/>
            </w:tcBorders>
            <w:shd w:val="clear" w:color="auto" w:fill="auto"/>
            <w:hideMark/>
          </w:tcPr>
          <w:p w14:paraId="494CE990" w14:textId="077492A9"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72.4</w:t>
            </w:r>
          </w:p>
        </w:tc>
      </w:tr>
      <w:tr w:rsidR="00152C19" w:rsidRPr="00DC3779" w14:paraId="4396E942" w14:textId="77777777" w:rsidTr="001607D7">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423ECF16" w14:textId="27D15AF3" w:rsidR="00152C19" w:rsidRPr="00575640" w:rsidRDefault="00152C19" w:rsidP="00152C19">
            <w:pPr>
              <w:pStyle w:val="08-Tabelageral"/>
              <w:jc w:val="left"/>
              <w:rPr>
                <w:rFonts w:cs="Arial"/>
                <w:b w:val="0"/>
                <w:bCs w:val="0"/>
                <w:snapToGrid w:val="0"/>
                <w:vertAlign w:val="superscript"/>
                <w:lang w:eastAsia="en-US"/>
              </w:rPr>
            </w:pPr>
            <w:proofErr w:type="spellStart"/>
            <w:r w:rsidRPr="00575640">
              <w:rPr>
                <w:b w:val="0"/>
                <w:bCs w:val="0"/>
              </w:rPr>
              <w:t>Number</w:t>
            </w:r>
            <w:proofErr w:type="spellEnd"/>
            <w:r w:rsidRPr="00575640">
              <w:rPr>
                <w:b w:val="0"/>
                <w:bCs w:val="0"/>
              </w:rPr>
              <w:t xml:space="preserve"> </w:t>
            </w:r>
            <w:proofErr w:type="spellStart"/>
            <w:r w:rsidRPr="00575640">
              <w:rPr>
                <w:b w:val="0"/>
                <w:bCs w:val="0"/>
              </w:rPr>
              <w:t>of</w:t>
            </w:r>
            <w:proofErr w:type="spellEnd"/>
            <w:r w:rsidRPr="00575640">
              <w:rPr>
                <w:b w:val="0"/>
                <w:bCs w:val="0"/>
              </w:rPr>
              <w:t xml:space="preserve"> tradings held</w:t>
            </w:r>
            <w:r>
              <w:rPr>
                <w:b w:val="0"/>
                <w:bCs w:val="0"/>
              </w:rPr>
              <w:t>³</w:t>
            </w:r>
          </w:p>
        </w:tc>
        <w:tc>
          <w:tcPr>
            <w:tcW w:w="281" w:type="dxa"/>
            <w:tcBorders>
              <w:top w:val="nil"/>
              <w:left w:val="nil"/>
              <w:bottom w:val="nil"/>
              <w:right w:val="nil"/>
            </w:tcBorders>
            <w:vAlign w:val="center"/>
          </w:tcPr>
          <w:p w14:paraId="7E9B56F4" w14:textId="77777777" w:rsidR="00152C19" w:rsidRPr="00DC377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tcBorders>
              <w:top w:val="nil"/>
              <w:left w:val="nil"/>
              <w:bottom w:val="nil"/>
              <w:right w:val="nil"/>
            </w:tcBorders>
            <w:hideMark/>
          </w:tcPr>
          <w:p w14:paraId="2863D849" w14:textId="47A322E0" w:rsidR="00152C19" w:rsidRPr="00DC377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1A5CC9">
              <w:t>-</w:t>
            </w:r>
          </w:p>
        </w:tc>
        <w:tc>
          <w:tcPr>
            <w:tcW w:w="1843" w:type="dxa"/>
            <w:tcBorders>
              <w:top w:val="nil"/>
              <w:left w:val="nil"/>
              <w:bottom w:val="nil"/>
              <w:right w:val="nil"/>
            </w:tcBorders>
            <w:hideMark/>
          </w:tcPr>
          <w:p w14:paraId="196D35EC" w14:textId="7C4AD7D8" w:rsidR="00152C19" w:rsidRPr="00F4280B"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3,625,356</w:t>
            </w:r>
          </w:p>
        </w:tc>
        <w:tc>
          <w:tcPr>
            <w:tcW w:w="1844" w:type="dxa"/>
            <w:tcBorders>
              <w:top w:val="nil"/>
              <w:left w:val="nil"/>
              <w:bottom w:val="nil"/>
              <w:right w:val="nil"/>
            </w:tcBorders>
            <w:hideMark/>
          </w:tcPr>
          <w:p w14:paraId="0DBA6A91" w14:textId="75108E3C" w:rsidR="00152C19" w:rsidRPr="00F4280B"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t>3,464,030</w:t>
            </w:r>
          </w:p>
        </w:tc>
      </w:tr>
      <w:tr w:rsidR="00152C19" w:rsidRPr="00DC3779" w14:paraId="524BC4AE" w14:textId="77777777" w:rsidTr="00575640">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0F7F65BE" w14:textId="42E6C555" w:rsidR="00152C19" w:rsidRPr="00575640" w:rsidRDefault="00152C19" w:rsidP="00152C19">
            <w:pPr>
              <w:pStyle w:val="08-Tabelageral"/>
              <w:jc w:val="left"/>
              <w:rPr>
                <w:rFonts w:cs="Arial"/>
                <w:b w:val="0"/>
                <w:bCs w:val="0"/>
                <w:snapToGrid w:val="0"/>
                <w:lang w:eastAsia="en-US"/>
              </w:rPr>
            </w:pPr>
            <w:proofErr w:type="spellStart"/>
            <w:r w:rsidRPr="00575640">
              <w:rPr>
                <w:b w:val="0"/>
                <w:bCs w:val="0"/>
              </w:rPr>
              <w:t>Average</w:t>
            </w:r>
            <w:proofErr w:type="spellEnd"/>
            <w:r w:rsidRPr="00575640">
              <w:rPr>
                <w:b w:val="0"/>
                <w:bCs w:val="0"/>
              </w:rPr>
              <w:t xml:space="preserve"> </w:t>
            </w:r>
            <w:proofErr w:type="spellStart"/>
            <w:r w:rsidRPr="00575640">
              <w:rPr>
                <w:b w:val="0"/>
                <w:bCs w:val="0"/>
              </w:rPr>
              <w:t>daily</w:t>
            </w:r>
            <w:proofErr w:type="spellEnd"/>
            <w:r w:rsidRPr="00575640">
              <w:rPr>
                <w:b w:val="0"/>
                <w:bCs w:val="0"/>
              </w:rPr>
              <w:t xml:space="preserve"> trading volume</w:t>
            </w:r>
            <w:r>
              <w:rPr>
                <w:b w:val="0"/>
                <w:bCs w:val="0"/>
              </w:rPr>
              <w:t>³</w:t>
            </w:r>
          </w:p>
        </w:tc>
        <w:tc>
          <w:tcPr>
            <w:tcW w:w="281" w:type="dxa"/>
            <w:tcBorders>
              <w:top w:val="nil"/>
              <w:left w:val="nil"/>
              <w:bottom w:val="nil"/>
              <w:right w:val="nil"/>
            </w:tcBorders>
            <w:shd w:val="clear" w:color="auto" w:fill="auto"/>
            <w:vAlign w:val="center"/>
          </w:tcPr>
          <w:p w14:paraId="256ED88E" w14:textId="77777777" w:rsidR="00152C19" w:rsidRPr="00DC3779"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287691B6" w14:textId="3AC8781A" w:rsidR="00152C19" w:rsidRPr="00DC3779"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million</w:t>
            </w:r>
            <w:proofErr w:type="spellEnd"/>
          </w:p>
        </w:tc>
        <w:tc>
          <w:tcPr>
            <w:tcW w:w="1843" w:type="dxa"/>
            <w:tcBorders>
              <w:top w:val="nil"/>
              <w:left w:val="nil"/>
              <w:bottom w:val="nil"/>
              <w:right w:val="nil"/>
            </w:tcBorders>
            <w:shd w:val="clear" w:color="auto" w:fill="auto"/>
            <w:hideMark/>
          </w:tcPr>
          <w:p w14:paraId="6536E1B7" w14:textId="56CAE6CD"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194.1</w:t>
            </w:r>
          </w:p>
        </w:tc>
        <w:tc>
          <w:tcPr>
            <w:tcW w:w="1844" w:type="dxa"/>
            <w:tcBorders>
              <w:top w:val="nil"/>
              <w:left w:val="nil"/>
              <w:bottom w:val="nil"/>
              <w:right w:val="nil"/>
            </w:tcBorders>
            <w:shd w:val="clear" w:color="auto" w:fill="auto"/>
            <w:hideMark/>
          </w:tcPr>
          <w:p w14:paraId="057E1DD9" w14:textId="466C0599" w:rsidR="00152C19" w:rsidRPr="00F4280B" w:rsidRDefault="00152C19" w:rsidP="00152C19">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t>157.6</w:t>
            </w:r>
          </w:p>
        </w:tc>
      </w:tr>
      <w:tr w:rsidR="00152C19" w:rsidRPr="00DC3779" w14:paraId="28D4C812" w14:textId="77777777" w:rsidTr="001607D7">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9CC2E5" w:themeColor="accent1" w:themeTint="99"/>
              <w:right w:val="nil"/>
            </w:tcBorders>
          </w:tcPr>
          <w:p w14:paraId="04DDDA16" w14:textId="7051445E" w:rsidR="00152C19" w:rsidRPr="00575640" w:rsidRDefault="00152C19" w:rsidP="00152C19">
            <w:pPr>
              <w:pStyle w:val="08-Tabelageral"/>
              <w:jc w:val="left"/>
              <w:rPr>
                <w:rFonts w:cs="Arial"/>
                <w:b w:val="0"/>
                <w:bCs w:val="0"/>
                <w:lang w:eastAsia="en-US"/>
              </w:rPr>
            </w:pPr>
            <w:r w:rsidRPr="00575640">
              <w:rPr>
                <w:b w:val="0"/>
                <w:bCs w:val="0"/>
              </w:rPr>
              <w:t xml:space="preserve">% </w:t>
            </w:r>
            <w:proofErr w:type="spellStart"/>
            <w:r w:rsidRPr="00575640">
              <w:rPr>
                <w:b w:val="0"/>
                <w:bCs w:val="0"/>
              </w:rPr>
              <w:t>of</w:t>
            </w:r>
            <w:proofErr w:type="spellEnd"/>
            <w:r w:rsidRPr="00575640">
              <w:rPr>
                <w:b w:val="0"/>
                <w:bCs w:val="0"/>
              </w:rPr>
              <w:t xml:space="preserve"> B3 ADTV</w:t>
            </w:r>
          </w:p>
        </w:tc>
        <w:tc>
          <w:tcPr>
            <w:tcW w:w="281" w:type="dxa"/>
            <w:tcBorders>
              <w:top w:val="nil"/>
              <w:left w:val="nil"/>
              <w:bottom w:val="single" w:sz="2" w:space="0" w:color="9CC2E5" w:themeColor="accent1" w:themeTint="99"/>
              <w:right w:val="nil"/>
            </w:tcBorders>
            <w:vAlign w:val="center"/>
          </w:tcPr>
          <w:p w14:paraId="4E042182" w14:textId="77777777" w:rsidR="00152C19" w:rsidRPr="00DC3779" w:rsidRDefault="00152C19" w:rsidP="00152C19">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tcBorders>
              <w:top w:val="nil"/>
              <w:left w:val="nil"/>
              <w:bottom w:val="single" w:sz="2" w:space="0" w:color="9CC2E5" w:themeColor="accent1" w:themeTint="99"/>
              <w:right w:val="nil"/>
            </w:tcBorders>
          </w:tcPr>
          <w:p w14:paraId="0F8655D1" w14:textId="60A59991" w:rsidR="00152C19" w:rsidRPr="001A5CC9" w:rsidRDefault="00152C19" w:rsidP="00152C19">
            <w:pPr>
              <w:pStyle w:val="08-Tabelageral"/>
              <w:cnfStyle w:val="000000000000" w:firstRow="0" w:lastRow="0" w:firstColumn="0" w:lastColumn="0" w:oddVBand="0" w:evenVBand="0" w:oddHBand="0" w:evenHBand="0" w:firstRowFirstColumn="0" w:firstRowLastColumn="0" w:lastRowFirstColumn="0" w:lastRowLastColumn="0"/>
            </w:pPr>
            <w:r>
              <w:t>%</w:t>
            </w:r>
          </w:p>
        </w:tc>
        <w:tc>
          <w:tcPr>
            <w:tcW w:w="1843" w:type="dxa"/>
            <w:tcBorders>
              <w:top w:val="nil"/>
              <w:left w:val="nil"/>
              <w:bottom w:val="single" w:sz="2" w:space="0" w:color="9CC2E5" w:themeColor="accent1" w:themeTint="99"/>
              <w:right w:val="nil"/>
            </w:tcBorders>
          </w:tcPr>
          <w:p w14:paraId="2F96E162" w14:textId="45747F98" w:rsidR="00152C19" w:rsidRPr="001A5CC9" w:rsidRDefault="00152C19" w:rsidP="00152C19">
            <w:pPr>
              <w:pStyle w:val="08-Tabelageral"/>
              <w:cnfStyle w:val="000000000000" w:firstRow="0" w:lastRow="0" w:firstColumn="0" w:lastColumn="0" w:oddVBand="0" w:evenVBand="0" w:oddHBand="0" w:evenHBand="0" w:firstRowFirstColumn="0" w:firstRowLastColumn="0" w:lastRowFirstColumn="0" w:lastRowLastColumn="0"/>
            </w:pPr>
            <w:r>
              <w:t>1.06</w:t>
            </w:r>
          </w:p>
        </w:tc>
        <w:tc>
          <w:tcPr>
            <w:tcW w:w="1844" w:type="dxa"/>
            <w:tcBorders>
              <w:top w:val="nil"/>
              <w:left w:val="nil"/>
              <w:bottom w:val="single" w:sz="2" w:space="0" w:color="9CC2E5" w:themeColor="accent1" w:themeTint="99"/>
              <w:right w:val="nil"/>
            </w:tcBorders>
          </w:tcPr>
          <w:p w14:paraId="4A5137C1" w14:textId="0BAB9E79" w:rsidR="00152C19" w:rsidRPr="001A5CC9" w:rsidRDefault="00152C19" w:rsidP="00152C19">
            <w:pPr>
              <w:pStyle w:val="08-Tabelageral"/>
              <w:cnfStyle w:val="000000000000" w:firstRow="0" w:lastRow="0" w:firstColumn="0" w:lastColumn="0" w:oddVBand="0" w:evenVBand="0" w:oddHBand="0" w:evenHBand="0" w:firstRowFirstColumn="0" w:firstRowLastColumn="0" w:lastRowFirstColumn="0" w:lastRowLastColumn="0"/>
            </w:pPr>
            <w:r>
              <w:t>0.81</w:t>
            </w:r>
          </w:p>
        </w:tc>
      </w:tr>
    </w:tbl>
    <w:p w14:paraId="09F39E37" w14:textId="74320071" w:rsidR="00152C19" w:rsidRDefault="00575640" w:rsidP="00575640">
      <w:pPr>
        <w:pStyle w:val="07-Legenda"/>
        <w:rPr>
          <w:rFonts w:cs="Arial"/>
          <w:lang w:val="en-US"/>
        </w:rPr>
      </w:pPr>
      <w:r w:rsidRPr="00575640">
        <w:rPr>
          <w:rFonts w:cs="Arial"/>
          <w:lang w:val="en-US"/>
        </w:rPr>
        <w:t xml:space="preserve">(1) </w:t>
      </w:r>
      <w:r w:rsidR="00152C19">
        <w:rPr>
          <w:rFonts w:cs="Arial"/>
          <w:lang w:val="en-US"/>
        </w:rPr>
        <w:t>Considering the recurring net income</w:t>
      </w:r>
    </w:p>
    <w:p w14:paraId="5CD64DF0" w14:textId="77777777" w:rsidR="00152C19" w:rsidRDefault="00152C19" w:rsidP="00575640">
      <w:pPr>
        <w:pStyle w:val="07-Legenda"/>
        <w:rPr>
          <w:rFonts w:cs="Arial"/>
          <w:lang w:val="en-US"/>
        </w:rPr>
      </w:pPr>
      <w:r>
        <w:rPr>
          <w:rFonts w:cs="Arial"/>
          <w:lang w:val="en-US"/>
        </w:rPr>
        <w:t>(2) Price is not adjusted by the dividend payments of Mach and August 2025</w:t>
      </w:r>
    </w:p>
    <w:p w14:paraId="3FC51F8D" w14:textId="1F91A292" w:rsidR="00575640" w:rsidRPr="00575640" w:rsidRDefault="00152C19" w:rsidP="00575640">
      <w:pPr>
        <w:pStyle w:val="07-Legenda"/>
        <w:rPr>
          <w:rFonts w:cs="Arial"/>
          <w:lang w:val="en-US"/>
        </w:rPr>
      </w:pPr>
      <w:r>
        <w:rPr>
          <w:rFonts w:cs="Arial"/>
          <w:lang w:val="en-US"/>
        </w:rPr>
        <w:t xml:space="preserve">(3) </w:t>
      </w:r>
      <w:r w:rsidR="00575640" w:rsidRPr="00575640">
        <w:rPr>
          <w:rFonts w:cs="Arial"/>
          <w:lang w:val="en-US"/>
        </w:rPr>
        <w:t>Based on the standard batch</w:t>
      </w:r>
    </w:p>
    <w:p w14:paraId="602EDD16" w14:textId="77777777" w:rsidR="004D1F44" w:rsidRPr="00BC754A" w:rsidRDefault="004D1F44" w:rsidP="00C81A16">
      <w:pPr>
        <w:pStyle w:val="05-Textonormal"/>
        <w:rPr>
          <w:rFonts w:cs="Arial"/>
          <w:lang w:val="en-US"/>
        </w:rPr>
      </w:pPr>
    </w:p>
    <w:p w14:paraId="00E48371" w14:textId="77777777" w:rsidR="00C81A16" w:rsidRPr="00BC754A" w:rsidRDefault="002729E8" w:rsidP="00C81A16">
      <w:pPr>
        <w:pStyle w:val="03-SubttulodeNota"/>
        <w:spacing w:line="276" w:lineRule="auto"/>
        <w:rPr>
          <w:color w:val="1F4E79" w:themeColor="accent1" w:themeShade="80"/>
          <w:lang w:val="en-US"/>
        </w:rPr>
      </w:pPr>
      <w:r w:rsidRPr="00860655">
        <w:rPr>
          <w:color w:val="1F4E79" w:themeColor="accent1" w:themeShade="80"/>
          <w:lang w:val="en-US"/>
        </w:rPr>
        <w:t>Shareholders’ Compensation</w:t>
      </w:r>
    </w:p>
    <w:p w14:paraId="59932F7C" w14:textId="1BC09F2E" w:rsidR="00C81A16" w:rsidRPr="00BC754A" w:rsidRDefault="002729E8" w:rsidP="00C81A16">
      <w:pPr>
        <w:pStyle w:val="01-Textonormal"/>
        <w:rPr>
          <w:rFonts w:cs="Arial"/>
          <w:lang w:val="en-US"/>
        </w:rPr>
      </w:pPr>
      <w:r w:rsidRPr="008F6730">
        <w:rPr>
          <w:rFonts w:cs="Arial"/>
          <w:lang w:val="en-US"/>
        </w:rPr>
        <w:t xml:space="preserve">BB Seguridade allocated approximately </w:t>
      </w:r>
      <w:r w:rsidR="00152C19">
        <w:rPr>
          <w:rFonts w:cs="Arial"/>
          <w:lang w:val="en-US"/>
        </w:rPr>
        <w:t>97.4</w:t>
      </w:r>
      <w:r w:rsidRPr="008F6730">
        <w:rPr>
          <w:rFonts w:cs="Arial"/>
          <w:lang w:val="en-US"/>
        </w:rPr>
        <w:t xml:space="preserve">% of the net </w:t>
      </w:r>
      <w:r w:rsidR="00096A6B">
        <w:rPr>
          <w:rFonts w:cs="Arial"/>
          <w:lang w:val="en-US"/>
        </w:rPr>
        <w:t>income</w:t>
      </w:r>
      <w:r w:rsidRPr="008F6730">
        <w:rPr>
          <w:rFonts w:cs="Arial"/>
          <w:lang w:val="en-US"/>
        </w:rPr>
        <w:t xml:space="preserve"> to shareholders as dividends in 202</w:t>
      </w:r>
      <w:r w:rsidR="00152C19">
        <w:rPr>
          <w:rFonts w:cs="Arial"/>
          <w:lang w:val="en-US"/>
        </w:rPr>
        <w:t>5</w:t>
      </w:r>
      <w:r w:rsidRPr="008F6730">
        <w:rPr>
          <w:rFonts w:cs="Arial"/>
          <w:lang w:val="en-US"/>
        </w:rPr>
        <w:t>, totaling R$</w:t>
      </w:r>
      <w:r w:rsidR="00152C19">
        <w:rPr>
          <w:rFonts w:cs="Arial"/>
          <w:lang w:val="en-US"/>
        </w:rPr>
        <w:t>8.7</w:t>
      </w:r>
      <w:r w:rsidRPr="008F6730">
        <w:rPr>
          <w:rFonts w:cs="Arial"/>
          <w:lang w:val="en-US"/>
        </w:rPr>
        <w:t xml:space="preserve"> billion, equivalent to </w:t>
      </w:r>
      <w:r w:rsidR="0007563E" w:rsidRPr="00A12A48">
        <w:rPr>
          <w:rFonts w:cs="Arial"/>
          <w:lang w:val="en-US"/>
        </w:rPr>
        <w:t>R$</w:t>
      </w:r>
      <w:r w:rsidR="00152C19">
        <w:rPr>
          <w:rFonts w:cs="Arial"/>
          <w:lang w:val="en-US"/>
        </w:rPr>
        <w:t>4</w:t>
      </w:r>
      <w:r w:rsidR="00FB6EF4">
        <w:rPr>
          <w:rFonts w:cs="Arial"/>
          <w:lang w:val="en-US"/>
        </w:rPr>
        <w:t>.</w:t>
      </w:r>
      <w:r w:rsidR="00152C19">
        <w:rPr>
          <w:rFonts w:cs="Arial"/>
          <w:lang w:val="en-US"/>
        </w:rPr>
        <w:t>49</w:t>
      </w:r>
      <w:r w:rsidR="0007563E" w:rsidRPr="00B03EE6">
        <w:rPr>
          <w:rStyle w:val="Refdenotaderodap"/>
          <w:rFonts w:cs="Arial"/>
        </w:rPr>
        <w:footnoteReference w:id="1"/>
      </w:r>
      <w:r w:rsidR="0007563E" w:rsidRPr="00A12A48">
        <w:rPr>
          <w:rFonts w:cs="Arial"/>
          <w:lang w:val="en-US"/>
        </w:rPr>
        <w:t xml:space="preserve"> </w:t>
      </w:r>
      <w:r w:rsidR="00555F88">
        <w:rPr>
          <w:rFonts w:cs="Arial"/>
          <w:lang w:val="en-US"/>
        </w:rPr>
        <w:t>dividend</w:t>
      </w:r>
      <w:r w:rsidRPr="008F6730">
        <w:rPr>
          <w:rFonts w:cs="Arial"/>
          <w:lang w:val="en-US"/>
        </w:rPr>
        <w:t xml:space="preserve"> per share</w:t>
      </w:r>
      <w:r w:rsidR="00096A6B">
        <w:rPr>
          <w:rFonts w:cs="Arial"/>
          <w:lang w:val="en-US"/>
        </w:rPr>
        <w:t>.</w:t>
      </w:r>
      <w:r w:rsidRPr="008F6730">
        <w:rPr>
          <w:rFonts w:cs="Arial"/>
          <w:lang w:val="en-US"/>
        </w:rPr>
        <w:t xml:space="preserve"> In 202</w:t>
      </w:r>
      <w:r w:rsidR="00152C19">
        <w:rPr>
          <w:rFonts w:cs="Arial"/>
          <w:lang w:val="en-US"/>
        </w:rPr>
        <w:t>4</w:t>
      </w:r>
      <w:r w:rsidRPr="008F6730">
        <w:rPr>
          <w:rFonts w:cs="Arial"/>
          <w:lang w:val="en-US"/>
        </w:rPr>
        <w:t xml:space="preserve">, the dividend for the fiscal year </w:t>
      </w:r>
      <w:r w:rsidR="00555F88">
        <w:rPr>
          <w:rFonts w:cs="Arial"/>
          <w:lang w:val="en-US"/>
        </w:rPr>
        <w:t>totaled</w:t>
      </w:r>
      <w:r w:rsidRPr="008F6730">
        <w:rPr>
          <w:rFonts w:cs="Arial"/>
          <w:lang w:val="en-US"/>
        </w:rPr>
        <w:t xml:space="preserve"> R$</w:t>
      </w:r>
      <w:r w:rsidR="00152C19">
        <w:rPr>
          <w:rFonts w:cs="Arial"/>
          <w:lang w:val="en-US"/>
        </w:rPr>
        <w:t>3.66¹</w:t>
      </w:r>
      <w:r w:rsidRPr="008F6730">
        <w:rPr>
          <w:rFonts w:cs="Arial"/>
          <w:lang w:val="en-US"/>
        </w:rPr>
        <w:t xml:space="preserve"> per share</w:t>
      </w:r>
      <w:r w:rsidR="00096A6B">
        <w:rPr>
          <w:rFonts w:cs="Arial"/>
          <w:lang w:val="en-US"/>
        </w:rPr>
        <w:t>.</w:t>
      </w:r>
      <w:r w:rsidR="00152C19">
        <w:rPr>
          <w:rFonts w:cs="Arial"/>
          <w:lang w:val="en-US"/>
        </w:rPr>
        <w:t xml:space="preserve"> Throughout 2025, no share of the Company was repurchased.  </w:t>
      </w:r>
    </w:p>
    <w:p w14:paraId="7C61BB16" w14:textId="77777777" w:rsidR="00152C19" w:rsidRDefault="00152C19"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val="en-US" w:eastAsia="pt-BR"/>
        </w:rPr>
      </w:pPr>
    </w:p>
    <w:p w14:paraId="48FEB043" w14:textId="47A76886" w:rsidR="00C81A16" w:rsidRPr="00BC754A" w:rsidRDefault="002729E8"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val="en-US" w:eastAsia="pt-BR"/>
        </w:rPr>
      </w:pPr>
      <w:r>
        <w:rPr>
          <w:rFonts w:ascii="Arial" w:eastAsia="Times New Roman" w:hAnsi="Arial" w:cs="Times New Roman"/>
          <w:b/>
          <w:color w:val="1F4E79" w:themeColor="accent1" w:themeShade="80"/>
          <w:spacing w:val="-2"/>
          <w:sz w:val="20"/>
          <w:szCs w:val="20"/>
          <w:lang w:val="en-US" w:eastAsia="pt-BR"/>
        </w:rPr>
        <w:t>Acknowledgments</w:t>
      </w:r>
    </w:p>
    <w:p w14:paraId="6DBCD167" w14:textId="2F4F47B5" w:rsidR="00C81A16" w:rsidRPr="00BC754A" w:rsidRDefault="002729E8" w:rsidP="00C81A16">
      <w:pPr>
        <w:pStyle w:val="05-Textonormal"/>
        <w:rPr>
          <w:rFonts w:cs="Arial"/>
          <w:lang w:val="en-US"/>
        </w:rPr>
      </w:pPr>
      <w:r w:rsidRPr="00DE647D">
        <w:rPr>
          <w:rFonts w:cs="Arial"/>
          <w:lang w:val="en-US"/>
        </w:rPr>
        <w:t>We would like to thank our employees and associates for their dedication and commitment, as well as the Banco do Brasil distribution network and other partners, who are essential for maintaining quality customer service and process compliance in 202</w:t>
      </w:r>
      <w:r w:rsidR="00152C19">
        <w:rPr>
          <w:rFonts w:cs="Arial"/>
          <w:lang w:val="en-US"/>
        </w:rPr>
        <w:t>5</w:t>
      </w:r>
      <w:r w:rsidRPr="00DE647D">
        <w:rPr>
          <w:rFonts w:cs="Arial"/>
          <w:lang w:val="en-US"/>
        </w:rPr>
        <w:t>, as well as the trust placed in us by shareholders, customers, and society in general</w:t>
      </w:r>
      <w:r w:rsidR="00096A6B">
        <w:rPr>
          <w:rFonts w:cs="Arial"/>
          <w:lang w:val="en-US"/>
        </w:rPr>
        <w:t>.</w:t>
      </w:r>
    </w:p>
    <w:p w14:paraId="7FBA5F2A" w14:textId="77777777" w:rsidR="00C81A16" w:rsidRPr="00BC754A" w:rsidRDefault="00C81A16" w:rsidP="00C81A16">
      <w:pPr>
        <w:pStyle w:val="05-Textonormal"/>
        <w:rPr>
          <w:rFonts w:cs="Arial"/>
          <w:lang w:val="en-US"/>
        </w:rPr>
      </w:pPr>
    </w:p>
    <w:p w14:paraId="2BE1CD1D" w14:textId="0A438FAF" w:rsidR="00C81A16" w:rsidRDefault="002729E8"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sidRPr="00A12A48">
        <w:rPr>
          <w:rFonts w:ascii="Arial" w:eastAsia="Times New Roman" w:hAnsi="Arial" w:cs="Times New Roman"/>
          <w:b/>
          <w:color w:val="1F4E79" w:themeColor="accent1" w:themeShade="80"/>
          <w:spacing w:val="-2"/>
          <w:sz w:val="20"/>
          <w:szCs w:val="20"/>
          <w:lang w:eastAsia="pt-BR"/>
        </w:rPr>
        <w:t>Brasília, 202</w:t>
      </w:r>
      <w:r w:rsidR="00152C19">
        <w:rPr>
          <w:rFonts w:ascii="Arial" w:eastAsia="Times New Roman" w:hAnsi="Arial" w:cs="Times New Roman"/>
          <w:b/>
          <w:color w:val="1F4E79" w:themeColor="accent1" w:themeShade="80"/>
          <w:spacing w:val="-2"/>
          <w:sz w:val="20"/>
          <w:szCs w:val="20"/>
          <w:lang w:eastAsia="pt-BR"/>
        </w:rPr>
        <w:t>6</w:t>
      </w:r>
    </w:p>
    <w:p w14:paraId="108698F2" w14:textId="77777777" w:rsidR="00C81A16" w:rsidRDefault="00C81A16"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16A6335D" w14:textId="77777777" w:rsidR="00C81A16" w:rsidRDefault="002729E8" w:rsidP="00C81A16">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sidRPr="00A12A48">
        <w:rPr>
          <w:rFonts w:ascii="Arial" w:eastAsia="Times New Roman" w:hAnsi="Arial" w:cs="Times New Roman"/>
          <w:b/>
          <w:color w:val="1F4E79" w:themeColor="accent1" w:themeShade="80"/>
          <w:spacing w:val="-2"/>
          <w:sz w:val="20"/>
          <w:szCs w:val="20"/>
          <w:lang w:eastAsia="pt-BR"/>
        </w:rPr>
        <w:t>The Management</w:t>
      </w:r>
    </w:p>
    <w:p w14:paraId="010D3A26" w14:textId="77777777" w:rsidR="00DC6373" w:rsidRPr="00C81A16" w:rsidRDefault="00DC6373" w:rsidP="00C81A16"/>
    <w:sectPr w:rsidR="00DC6373" w:rsidRPr="00C81A16" w:rsidSect="0096592B">
      <w:headerReference w:type="even" r:id="rId9"/>
      <w:headerReference w:type="default" r:id="rId10"/>
      <w:footerReference w:type="default" r:id="rId11"/>
      <w:headerReference w:type="first" r:id="rId12"/>
      <w:pgSz w:w="11906" w:h="16838" w:code="9"/>
      <w:pgMar w:top="1134" w:right="1134" w:bottom="851" w:left="1134" w:header="851"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490A" w14:textId="77777777" w:rsidR="002729E8" w:rsidRDefault="002729E8">
      <w:pPr>
        <w:spacing w:after="0" w:line="240" w:lineRule="auto"/>
      </w:pPr>
      <w:r>
        <w:separator/>
      </w:r>
    </w:p>
  </w:endnote>
  <w:endnote w:type="continuationSeparator" w:id="0">
    <w:p w14:paraId="7267F9F5" w14:textId="77777777" w:rsidR="002729E8" w:rsidRDefault="0027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panose1 w:val="00000400000000000000"/>
    <w:charset w:val="00"/>
    <w:family w:val="auto"/>
    <w:pitch w:val="variable"/>
    <w:sig w:usb0="00000003" w:usb1="00000001"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DF36" w14:textId="77777777" w:rsidR="00D75655" w:rsidRPr="0018454B" w:rsidRDefault="00D75655" w:rsidP="00EE26B1">
    <w:pPr>
      <w:pStyle w:val="Rodap"/>
      <w:spacing w:line="130" w:lineRule="exact"/>
      <w:ind w:right="-57"/>
      <w:rPr>
        <w:rFonts w:asciiTheme="minorHAnsi" w:eastAsia="Verdana" w:hAnsiTheme="minorHAnsi" w:cstheme="minorHAnsi"/>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E34E" w14:textId="77777777" w:rsidR="002729E8" w:rsidRDefault="002729E8">
      <w:pPr>
        <w:spacing w:after="0" w:line="240" w:lineRule="auto"/>
      </w:pPr>
      <w:r>
        <w:separator/>
      </w:r>
    </w:p>
  </w:footnote>
  <w:footnote w:type="continuationSeparator" w:id="0">
    <w:p w14:paraId="78E4AA93" w14:textId="77777777" w:rsidR="002729E8" w:rsidRDefault="002729E8">
      <w:pPr>
        <w:spacing w:after="0" w:line="240" w:lineRule="auto"/>
      </w:pPr>
      <w:r>
        <w:continuationSeparator/>
      </w:r>
    </w:p>
  </w:footnote>
  <w:footnote w:id="1">
    <w:p w14:paraId="29321393" w14:textId="2CE4E521" w:rsidR="0007563E" w:rsidRPr="00A12A48" w:rsidRDefault="0007563E" w:rsidP="0007563E">
      <w:pPr>
        <w:pStyle w:val="Textodenotaderodap"/>
        <w:rPr>
          <w:lang w:val="en-US"/>
        </w:rPr>
      </w:pPr>
      <w:r w:rsidRPr="009D6016">
        <w:rPr>
          <w:rStyle w:val="Refdenotaderodap"/>
          <w:rFonts w:ascii="Arial" w:hAnsi="Arial" w:cs="Arial"/>
          <w:sz w:val="16"/>
          <w:szCs w:val="16"/>
        </w:rPr>
        <w:footnoteRef/>
      </w:r>
      <w:r w:rsidRPr="00A12A48">
        <w:rPr>
          <w:rFonts w:ascii="Arial" w:hAnsi="Arial" w:cs="Arial"/>
          <w:lang w:val="en-US"/>
        </w:rPr>
        <w:t xml:space="preserve"> </w:t>
      </w:r>
      <w:r w:rsidRPr="00A12A48">
        <w:rPr>
          <w:rFonts w:ascii="Arial" w:hAnsi="Arial" w:cs="Arial"/>
          <w:sz w:val="16"/>
          <w:szCs w:val="16"/>
          <w:lang w:val="en-US"/>
        </w:rPr>
        <w:t xml:space="preserve">Does not consider </w:t>
      </w:r>
      <w:r w:rsidR="00FB6EF4">
        <w:rPr>
          <w:rFonts w:ascii="Arial" w:hAnsi="Arial" w:cs="Arial"/>
          <w:sz w:val="16"/>
          <w:szCs w:val="16"/>
          <w:lang w:val="en-US"/>
        </w:rPr>
        <w:t>t</w:t>
      </w:r>
      <w:r w:rsidRPr="00A12A48">
        <w:rPr>
          <w:rFonts w:ascii="Arial" w:hAnsi="Arial" w:cs="Arial"/>
          <w:sz w:val="16"/>
          <w:szCs w:val="16"/>
          <w:lang w:val="en-US"/>
        </w:rPr>
        <w:t xml:space="preserve">reasury </w:t>
      </w:r>
      <w:r w:rsidR="00A12A48">
        <w:rPr>
          <w:rFonts w:ascii="Arial" w:hAnsi="Arial" w:cs="Arial"/>
          <w:sz w:val="16"/>
          <w:szCs w:val="16"/>
          <w:lang w:val="en-US"/>
        </w:rPr>
        <w:t>stocks</w:t>
      </w:r>
      <w:r w:rsidRPr="00A12A48">
        <w:rPr>
          <w:rFonts w:ascii="Arial" w:hAnsi="Arial" w:cs="Arial"/>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5A11" w14:textId="6AA476C2" w:rsidR="00284188" w:rsidRDefault="00434580">
    <w:pPr>
      <w:pStyle w:val="Cabealho"/>
    </w:pPr>
    <w:r>
      <w:rPr>
        <w:noProof/>
      </w:rPr>
      <mc:AlternateContent>
        <mc:Choice Requires="wps">
          <w:drawing>
            <wp:anchor distT="0" distB="0" distL="0" distR="0" simplePos="0" relativeHeight="251668480" behindDoc="0" locked="0" layoutInCell="1" allowOverlap="1" wp14:anchorId="426CE48A" wp14:editId="331F845D">
              <wp:simplePos x="635" y="635"/>
              <wp:positionH relativeFrom="page">
                <wp:align>right</wp:align>
              </wp:positionH>
              <wp:positionV relativeFrom="page">
                <wp:align>top</wp:align>
              </wp:positionV>
              <wp:extent cx="735330" cy="357505"/>
              <wp:effectExtent l="0" t="0" r="0" b="4445"/>
              <wp:wrapNone/>
              <wp:docPr id="15829481" name="Caixa de Texto 2" descr="#Públic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5330" cy="357505"/>
                      </a:xfrm>
                      <a:prstGeom prst="rect">
                        <a:avLst/>
                      </a:prstGeom>
                      <a:noFill/>
                      <a:ln>
                        <a:noFill/>
                      </a:ln>
                    </wps:spPr>
                    <wps:txbx>
                      <w:txbxContent>
                        <w:p w14:paraId="1A50F935" w14:textId="2F751E27"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26CE48A" id="_x0000_t202" coordsize="21600,21600" o:spt="202" path="m,l,21600r21600,l21600,xe">
              <v:stroke joinstyle="miter"/>
              <v:path gradientshapeok="t" o:connecttype="rect"/>
            </v:shapetype>
            <v:shape id="Caixa de Texto 2" o:spid="_x0000_s1026" type="#_x0000_t202" alt="#Pública" style="position:absolute;margin-left:6.7pt;margin-top:0;width:57.9pt;height:28.15pt;z-index:2516684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" filled="f" stroked="f">
              <v:fill o:detectmouseclick="t"/>
              <v:textbox style="mso-fit-shape-to-text:t" inset="0,15pt,20pt,0">
                <w:txbxContent>
                  <w:p w14:paraId="1A50F935" w14:textId="2F751E27"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DA4D" w14:textId="4F70113F" w:rsidR="00D75655" w:rsidRDefault="00434580" w:rsidP="004A70E2">
    <w:pPr>
      <w:pStyle w:val="Cabealho"/>
      <w:tabs>
        <w:tab w:val="clear" w:pos="4252"/>
        <w:tab w:val="clear" w:pos="8504"/>
        <w:tab w:val="left" w:pos="1452"/>
        <w:tab w:val="left" w:pos="1944"/>
      </w:tabs>
    </w:pPr>
    <w:r>
      <w:rPr>
        <w:noProof/>
      </w:rPr>
      <mc:AlternateContent>
        <mc:Choice Requires="wps">
          <w:drawing>
            <wp:anchor distT="0" distB="0" distL="0" distR="0" simplePos="0" relativeHeight="251669504" behindDoc="0" locked="0" layoutInCell="1" allowOverlap="1" wp14:anchorId="19528F8E" wp14:editId="6804F96A">
              <wp:simplePos x="723900" y="539750"/>
              <wp:positionH relativeFrom="page">
                <wp:align>right</wp:align>
              </wp:positionH>
              <wp:positionV relativeFrom="page">
                <wp:align>top</wp:align>
              </wp:positionV>
              <wp:extent cx="735330" cy="357505"/>
              <wp:effectExtent l="0" t="0" r="0" b="4445"/>
              <wp:wrapNone/>
              <wp:docPr id="1399343710" name="Caixa de Texto 3" descr="#Públic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5330" cy="357505"/>
                      </a:xfrm>
                      <a:prstGeom prst="rect">
                        <a:avLst/>
                      </a:prstGeom>
                      <a:noFill/>
                      <a:ln>
                        <a:noFill/>
                      </a:ln>
                    </wps:spPr>
                    <wps:txbx>
                      <w:txbxContent>
                        <w:p w14:paraId="0B366926" w14:textId="416C82B7"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528F8E" id="_x0000_t202" coordsize="21600,21600" o:spt="202" path="m,l,21600r21600,l21600,xe">
              <v:stroke joinstyle="miter"/>
              <v:path gradientshapeok="t" o:connecttype="rect"/>
            </v:shapetype>
            <v:shape id="Caixa de Texto 3" o:spid="_x0000_s1027" type="#_x0000_t202" alt="#Pública" style="position:absolute;margin-left:6.7pt;margin-top:0;width:57.9pt;height:28.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" filled="f" stroked="f">
              <v:fill o:detectmouseclick="t"/>
              <v:textbox style="mso-fit-shape-to-text:t" inset="0,15pt,20pt,0">
                <w:txbxContent>
                  <w:p w14:paraId="0B366926" w14:textId="416C82B7"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v:textbox>
              <w10:wrap anchorx="page" anchory="page"/>
            </v:shape>
          </w:pict>
        </mc:Fallback>
      </mc:AlternateContent>
    </w:r>
    <w:r w:rsidR="002729E8">
      <w:rPr>
        <w:noProof/>
      </w:rPr>
      <w:drawing>
        <wp:anchor distT="0" distB="0" distL="114300" distR="114300" simplePos="0" relativeHeight="251666432" behindDoc="0" locked="0" layoutInCell="1" allowOverlap="1" wp14:anchorId="40D2DB40" wp14:editId="74320C39">
          <wp:simplePos x="0" y="0"/>
          <wp:positionH relativeFrom="column">
            <wp:posOffset>-259935</wp:posOffset>
          </wp:positionH>
          <wp:positionV relativeFrom="paragraph">
            <wp:posOffset>-407949</wp:posOffset>
          </wp:positionV>
          <wp:extent cx="1116000" cy="197643"/>
          <wp:effectExtent l="0" t="0" r="8255" b="0"/>
          <wp:wrapSquare wrapText="bothSides"/>
          <wp:docPr id="4" name="Imagem 4" descr="Desenho de um círcul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 círcul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16000" cy="1976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9E8">
      <w:rPr>
        <w:noProof/>
        <w:sz w:val="20"/>
        <w:szCs w:val="20"/>
        <w:lang w:eastAsia="pt-BR"/>
      </w:rPr>
      <mc:AlternateContent>
        <mc:Choice Requires="wps">
          <w:drawing>
            <wp:anchor distT="0" distB="0" distL="114300" distR="114300" simplePos="0" relativeHeight="251663360" behindDoc="0" locked="0" layoutInCell="1" allowOverlap="1" wp14:anchorId="6878F4E5" wp14:editId="0357EC42">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5EE91125" w14:textId="53D96121" w:rsidR="00D75655" w:rsidRPr="00E16BE7" w:rsidRDefault="002729E8" w:rsidP="00E30BC8">
                          <w:pPr>
                            <w:jc w:val="right"/>
                            <w:rPr>
                              <w:rFonts w:cs="Arial"/>
                              <w:color w:val="FFFFFF" w:themeColor="background1"/>
                              <w:szCs w:val="18"/>
                            </w:rPr>
                          </w:pPr>
                          <w:r>
                            <w:rPr>
                              <w:rFonts w:cs="Arial"/>
                              <w:color w:val="FFFFFF" w:themeColor="background1"/>
                              <w:szCs w:val="18"/>
                              <w:lang w:val="en-US"/>
                            </w:rPr>
                            <w:t>Annual Management Report – Fiscal Year 202</w:t>
                          </w:r>
                          <w:r w:rsidR="00284188">
                            <w:rPr>
                              <w:rFonts w:cs="Arial"/>
                              <w:color w:val="FFFFFF" w:themeColor="background1"/>
                              <w:szCs w:val="18"/>
                              <w:lang w:val="en-US"/>
                            </w:rPr>
                            <w:t>5</w:t>
                          </w:r>
                          <w:r>
                            <w:rPr>
                              <w:rFonts w:cs="Arial"/>
                              <w:color w:val="FFFFFF" w:themeColor="background1"/>
                              <w:szCs w:val="18"/>
                              <w:lang w:val="en-US"/>
                            </w:rPr>
                            <w:br/>
                            <w:t>BB Seguridade Participações S.A.</w:t>
                          </w:r>
                        </w:p>
                        <w:p w14:paraId="2E43AD7B" w14:textId="77777777" w:rsidR="00D75655" w:rsidRPr="00E16BE7" w:rsidRDefault="00D75655"/>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878F4E5" id="Caixa de Texto 34" o:spid="_x0000_s1028" type="#_x0000_t202" style="position:absolute;margin-left:137.55pt;margin-top:-36.55pt;width:384.4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" filled="f" stroked="f" strokeweight=".5pt">
              <v:textbox>
                <w:txbxContent>
                  <w:p w14:paraId="5EE91125" w14:textId="53D96121" w:rsidR="00D75655" w:rsidRPr="00E16BE7" w:rsidRDefault="002729E8" w:rsidP="00E30BC8">
                    <w:pPr>
                      <w:jc w:val="right"/>
                      <w:rPr>
                        <w:rFonts w:cs="Arial"/>
                        <w:color w:val="FFFFFF" w:themeColor="background1"/>
                        <w:szCs w:val="18"/>
                      </w:rPr>
                    </w:pPr>
                    <w:r>
                      <w:rPr>
                        <w:rFonts w:cs="Arial"/>
                        <w:color w:val="FFFFFF" w:themeColor="background1"/>
                        <w:szCs w:val="18"/>
                        <w:lang w:val="en-US"/>
                      </w:rPr>
                      <w:t>Annual Management Report – Fiscal Year 202</w:t>
                    </w:r>
                    <w:r w:rsidR="00284188">
                      <w:rPr>
                        <w:rFonts w:cs="Arial"/>
                        <w:color w:val="FFFFFF" w:themeColor="background1"/>
                        <w:szCs w:val="18"/>
                        <w:lang w:val="en-US"/>
                      </w:rPr>
                      <w:t>5</w:t>
                    </w:r>
                    <w:r>
                      <w:rPr>
                        <w:rFonts w:cs="Arial"/>
                        <w:color w:val="FFFFFF" w:themeColor="background1"/>
                        <w:szCs w:val="18"/>
                        <w:lang w:val="en-US"/>
                      </w:rPr>
                      <w:br/>
                      <w:t>BB Seguridade Participações S.A.</w:t>
                    </w:r>
                  </w:p>
                  <w:p w14:paraId="2E43AD7B" w14:textId="77777777" w:rsidR="00D75655" w:rsidRPr="00E16BE7" w:rsidRDefault="00D75655"/>
                </w:txbxContent>
              </v:textbox>
            </v:shape>
          </w:pict>
        </mc:Fallback>
      </mc:AlternateContent>
    </w:r>
    <w:r w:rsidR="002729E8" w:rsidRPr="005D303B">
      <w:rPr>
        <w:b/>
        <w:noProof/>
        <w:color w:val="1F4E79" w:themeColor="accent1" w:themeShade="80"/>
        <w:lang w:eastAsia="pt-BR"/>
      </w:rPr>
      <mc:AlternateContent>
        <mc:Choice Requires="wps">
          <w:drawing>
            <wp:anchor distT="0" distB="0" distL="114300" distR="114300" simplePos="0" relativeHeight="251664384" behindDoc="0" locked="0" layoutInCell="1" allowOverlap="1" wp14:anchorId="5F0F4524" wp14:editId="67DC5383">
              <wp:simplePos x="0" y="0"/>
              <wp:positionH relativeFrom="page">
                <wp:posOffset>-327660</wp:posOffset>
              </wp:positionH>
              <wp:positionV relativeFrom="paragraph">
                <wp:posOffset>-64135</wp:posOffset>
              </wp:positionV>
              <wp:extent cx="10691446" cy="52754"/>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456A207" id="Retângulo 35" o:spid="_x0000_s1026" style="position:absolute;margin-left:-25.8pt;margin-top:-5.05pt;width:841.85pt;height:4.1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" fillcolor="#f9dd16" stroked="f" strokeweight="1pt">
              <w10:wrap anchorx="page"/>
            </v:rect>
          </w:pict>
        </mc:Fallback>
      </mc:AlternateContent>
    </w:r>
    <w:r w:rsidR="002729E8" w:rsidRPr="0069353A">
      <w:rPr>
        <w:noProof/>
        <w:sz w:val="20"/>
        <w:szCs w:val="20"/>
        <w:lang w:eastAsia="pt-BR"/>
      </w:rPr>
      <mc:AlternateContent>
        <mc:Choice Requires="wps">
          <w:drawing>
            <wp:anchor distT="0" distB="0" distL="114300" distR="114300" simplePos="0" relativeHeight="251658240" behindDoc="1" locked="0" layoutInCell="1" allowOverlap="1" wp14:anchorId="0A7CB5D7" wp14:editId="6D58A623">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571B5B6" w14:textId="77777777" w:rsidR="00D75655" w:rsidRDefault="00D75655" w:rsidP="00E30BC8">
                          <w:pPr>
                            <w:ind w:left="708"/>
                            <w:jc w:val="right"/>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7CB5D7" id="Retângulo 36" o:spid="_x0000_s1029" style="position:absolute;margin-left:0;margin-top:-42.55pt;width:594.75pt;height:3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" fillcolor="#002d4b" stroked="f" strokeweight="1pt">
              <v:textbox>
                <w:txbxContent>
                  <w:p w14:paraId="7571B5B6" w14:textId="77777777" w:rsidR="00D75655" w:rsidRDefault="00D75655" w:rsidP="00E30BC8">
                    <w:pPr>
                      <w:ind w:left="708"/>
                      <w:jc w:val="right"/>
                    </w:pPr>
                  </w:p>
                </w:txbxContent>
              </v:textbox>
              <w10:wrap type="through" anchorx="page"/>
            </v:rect>
          </w:pict>
        </mc:Fallback>
      </mc:AlternateContent>
    </w:r>
    <w:r w:rsidR="002729E8">
      <w:tab/>
    </w:r>
    <w:r w:rsidR="002729E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68E5" w14:textId="2322AB1A" w:rsidR="00284188" w:rsidRDefault="00434580">
    <w:pPr>
      <w:pStyle w:val="Cabealho"/>
    </w:pPr>
    <w:r>
      <w:rPr>
        <w:noProof/>
      </w:rPr>
      <mc:AlternateContent>
        <mc:Choice Requires="wps">
          <w:drawing>
            <wp:anchor distT="0" distB="0" distL="0" distR="0" simplePos="0" relativeHeight="251667456" behindDoc="0" locked="0" layoutInCell="1" allowOverlap="1" wp14:anchorId="040AC26A" wp14:editId="0D37F210">
              <wp:simplePos x="635" y="635"/>
              <wp:positionH relativeFrom="page">
                <wp:align>right</wp:align>
              </wp:positionH>
              <wp:positionV relativeFrom="page">
                <wp:align>top</wp:align>
              </wp:positionV>
              <wp:extent cx="735330" cy="357505"/>
              <wp:effectExtent l="0" t="0" r="0" b="4445"/>
              <wp:wrapNone/>
              <wp:docPr id="1207525030" name="Caixa de Texto 1" descr="#Públic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5330" cy="357505"/>
                      </a:xfrm>
                      <a:prstGeom prst="rect">
                        <a:avLst/>
                      </a:prstGeom>
                      <a:noFill/>
                      <a:ln>
                        <a:noFill/>
                      </a:ln>
                    </wps:spPr>
                    <wps:txbx>
                      <w:txbxContent>
                        <w:p w14:paraId="0F9E19DE" w14:textId="3F530F99"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0AC26A" id="_x0000_t202" coordsize="21600,21600" o:spt="202" path="m,l,21600r21600,l21600,xe">
              <v:stroke joinstyle="miter"/>
              <v:path gradientshapeok="t" o:connecttype="rect"/>
            </v:shapetype>
            <v:shape id="Caixa de Texto 1" o:spid="_x0000_s1030" type="#_x0000_t202" alt="#Pública" style="position:absolute;margin-left:6.7pt;margin-top:0;width:57.9pt;height:28.15pt;z-index:25166745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" filled="f" stroked="f">
              <v:fill o:detectmouseclick="t"/>
              <v:textbox style="mso-fit-shape-to-text:t" inset="0,15pt,20pt,0">
                <w:txbxContent>
                  <w:p w14:paraId="0F9E19DE" w14:textId="3F530F99" w:rsidR="00434580" w:rsidRPr="00434580" w:rsidRDefault="00434580" w:rsidP="00434580">
                    <w:pPr>
                      <w:spacing w:after="0"/>
                      <w:rPr>
                        <w:rFonts w:ascii="Aptos" w:eastAsia="Aptos" w:hAnsi="Aptos" w:cs="Aptos"/>
                        <w:noProof/>
                        <w:color w:val="000000"/>
                        <w:sz w:val="20"/>
                        <w:szCs w:val="20"/>
                      </w:rPr>
                    </w:pPr>
                    <w:r w:rsidRPr="00434580">
                      <w:rPr>
                        <w:rFonts w:ascii="Aptos" w:eastAsia="Aptos" w:hAnsi="Aptos" w:cs="Aptos"/>
                        <w:noProof/>
                        <w:color w:val="000000"/>
                        <w:sz w:val="20"/>
                        <w:szCs w:val="20"/>
                      </w:rPr>
                      <w:t>#Pública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C40899"/>
    <w:multiLevelType w:val="hybridMultilevel"/>
    <w:tmpl w:val="25BAA53A"/>
    <w:lvl w:ilvl="0" w:tplc="041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E1C69E8"/>
    <w:multiLevelType w:val="hybridMultilevel"/>
    <w:tmpl w:val="A63A736A"/>
    <w:lvl w:ilvl="0" w:tplc="7FB004CE">
      <w:start w:val="1"/>
      <w:numFmt w:val="bullet"/>
      <w:pStyle w:val="ListaRecuadotabela"/>
      <w:lvlText w:val=""/>
      <w:lvlJc w:val="left"/>
      <w:pPr>
        <w:ind w:left="1080" w:hanging="360"/>
      </w:pPr>
      <w:rPr>
        <w:rFonts w:ascii="Wingdings" w:hAnsi="Wingdings" w:hint="default"/>
      </w:rPr>
    </w:lvl>
    <w:lvl w:ilvl="1" w:tplc="BB3ED1B6">
      <w:start w:val="1"/>
      <w:numFmt w:val="bullet"/>
      <w:lvlText w:val="o"/>
      <w:lvlJc w:val="left"/>
      <w:pPr>
        <w:ind w:left="1800" w:hanging="360"/>
      </w:pPr>
      <w:rPr>
        <w:rFonts w:ascii="Courier New" w:hAnsi="Courier New" w:cs="Courier New" w:hint="default"/>
      </w:rPr>
    </w:lvl>
    <w:lvl w:ilvl="2" w:tplc="AA3A2562" w:tentative="1">
      <w:start w:val="1"/>
      <w:numFmt w:val="bullet"/>
      <w:lvlText w:val=""/>
      <w:lvlJc w:val="left"/>
      <w:pPr>
        <w:ind w:left="2520" w:hanging="360"/>
      </w:pPr>
      <w:rPr>
        <w:rFonts w:ascii="Wingdings" w:hAnsi="Wingdings" w:hint="default"/>
      </w:rPr>
    </w:lvl>
    <w:lvl w:ilvl="3" w:tplc="6E9CBAD6" w:tentative="1">
      <w:start w:val="1"/>
      <w:numFmt w:val="bullet"/>
      <w:lvlText w:val=""/>
      <w:lvlJc w:val="left"/>
      <w:pPr>
        <w:ind w:left="3240" w:hanging="360"/>
      </w:pPr>
      <w:rPr>
        <w:rFonts w:ascii="Symbol" w:hAnsi="Symbol" w:hint="default"/>
      </w:rPr>
    </w:lvl>
    <w:lvl w:ilvl="4" w:tplc="3C1C7254" w:tentative="1">
      <w:start w:val="1"/>
      <w:numFmt w:val="bullet"/>
      <w:lvlText w:val="o"/>
      <w:lvlJc w:val="left"/>
      <w:pPr>
        <w:ind w:left="3960" w:hanging="360"/>
      </w:pPr>
      <w:rPr>
        <w:rFonts w:ascii="Courier New" w:hAnsi="Courier New" w:cs="Courier New" w:hint="default"/>
      </w:rPr>
    </w:lvl>
    <w:lvl w:ilvl="5" w:tplc="68502486" w:tentative="1">
      <w:start w:val="1"/>
      <w:numFmt w:val="bullet"/>
      <w:lvlText w:val=""/>
      <w:lvlJc w:val="left"/>
      <w:pPr>
        <w:ind w:left="4680" w:hanging="360"/>
      </w:pPr>
      <w:rPr>
        <w:rFonts w:ascii="Wingdings" w:hAnsi="Wingdings" w:hint="default"/>
      </w:rPr>
    </w:lvl>
    <w:lvl w:ilvl="6" w:tplc="7BA4BF34" w:tentative="1">
      <w:start w:val="1"/>
      <w:numFmt w:val="bullet"/>
      <w:lvlText w:val=""/>
      <w:lvlJc w:val="left"/>
      <w:pPr>
        <w:ind w:left="5400" w:hanging="360"/>
      </w:pPr>
      <w:rPr>
        <w:rFonts w:ascii="Symbol" w:hAnsi="Symbol" w:hint="default"/>
      </w:rPr>
    </w:lvl>
    <w:lvl w:ilvl="7" w:tplc="E660867E" w:tentative="1">
      <w:start w:val="1"/>
      <w:numFmt w:val="bullet"/>
      <w:lvlText w:val="o"/>
      <w:lvlJc w:val="left"/>
      <w:pPr>
        <w:ind w:left="6120" w:hanging="360"/>
      </w:pPr>
      <w:rPr>
        <w:rFonts w:ascii="Courier New" w:hAnsi="Courier New" w:cs="Courier New" w:hint="default"/>
      </w:rPr>
    </w:lvl>
    <w:lvl w:ilvl="8" w:tplc="F23C8EC2" w:tentative="1">
      <w:start w:val="1"/>
      <w:numFmt w:val="bullet"/>
      <w:lvlText w:val=""/>
      <w:lvlJc w:val="left"/>
      <w:pPr>
        <w:ind w:left="6840" w:hanging="360"/>
      </w:pPr>
      <w:rPr>
        <w:rFonts w:ascii="Wingdings" w:hAnsi="Wingdings" w:hint="default"/>
      </w:rPr>
    </w:lvl>
  </w:abstractNum>
  <w:abstractNum w:abstractNumId="3" w15:restartNumberingAfterBreak="0">
    <w:nsid w:val="3EA923DF"/>
    <w:multiLevelType w:val="hybridMultilevel"/>
    <w:tmpl w:val="39C0F0F0"/>
    <w:lvl w:ilvl="0" w:tplc="0A34B818">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6FC4CBD"/>
    <w:multiLevelType w:val="hybridMultilevel"/>
    <w:tmpl w:val="63924756"/>
    <w:lvl w:ilvl="0" w:tplc="2BCA629E">
      <w:start w:val="1"/>
      <w:numFmt w:val="bullet"/>
      <w:pStyle w:val="10-Lista2"/>
      <w:lvlText w:val=""/>
      <w:lvlJc w:val="left"/>
      <w:pPr>
        <w:ind w:left="1004" w:hanging="360"/>
      </w:pPr>
      <w:rPr>
        <w:rFonts w:ascii="Wingdings" w:hAnsi="Wingdings" w:hint="default"/>
      </w:rPr>
    </w:lvl>
    <w:lvl w:ilvl="1" w:tplc="E06E6082" w:tentative="1">
      <w:start w:val="1"/>
      <w:numFmt w:val="bullet"/>
      <w:lvlText w:val="o"/>
      <w:lvlJc w:val="left"/>
      <w:pPr>
        <w:ind w:left="1724" w:hanging="360"/>
      </w:pPr>
      <w:rPr>
        <w:rFonts w:ascii="Courier New" w:hAnsi="Courier New" w:cs="Courier New" w:hint="default"/>
      </w:rPr>
    </w:lvl>
    <w:lvl w:ilvl="2" w:tplc="D9C63E64" w:tentative="1">
      <w:start w:val="1"/>
      <w:numFmt w:val="bullet"/>
      <w:lvlText w:val=""/>
      <w:lvlJc w:val="left"/>
      <w:pPr>
        <w:ind w:left="2444" w:hanging="360"/>
      </w:pPr>
      <w:rPr>
        <w:rFonts w:ascii="Wingdings" w:hAnsi="Wingdings" w:hint="default"/>
      </w:rPr>
    </w:lvl>
    <w:lvl w:ilvl="3" w:tplc="D8220DD4" w:tentative="1">
      <w:start w:val="1"/>
      <w:numFmt w:val="bullet"/>
      <w:lvlText w:val=""/>
      <w:lvlJc w:val="left"/>
      <w:pPr>
        <w:ind w:left="3164" w:hanging="360"/>
      </w:pPr>
      <w:rPr>
        <w:rFonts w:ascii="Symbol" w:hAnsi="Symbol" w:hint="default"/>
      </w:rPr>
    </w:lvl>
    <w:lvl w:ilvl="4" w:tplc="D4321DCE" w:tentative="1">
      <w:start w:val="1"/>
      <w:numFmt w:val="bullet"/>
      <w:lvlText w:val="o"/>
      <w:lvlJc w:val="left"/>
      <w:pPr>
        <w:ind w:left="3884" w:hanging="360"/>
      </w:pPr>
      <w:rPr>
        <w:rFonts w:ascii="Courier New" w:hAnsi="Courier New" w:cs="Courier New" w:hint="default"/>
      </w:rPr>
    </w:lvl>
    <w:lvl w:ilvl="5" w:tplc="BC00BF80" w:tentative="1">
      <w:start w:val="1"/>
      <w:numFmt w:val="bullet"/>
      <w:lvlText w:val=""/>
      <w:lvlJc w:val="left"/>
      <w:pPr>
        <w:ind w:left="4604" w:hanging="360"/>
      </w:pPr>
      <w:rPr>
        <w:rFonts w:ascii="Wingdings" w:hAnsi="Wingdings" w:hint="default"/>
      </w:rPr>
    </w:lvl>
    <w:lvl w:ilvl="6" w:tplc="2F4AB128" w:tentative="1">
      <w:start w:val="1"/>
      <w:numFmt w:val="bullet"/>
      <w:lvlText w:val=""/>
      <w:lvlJc w:val="left"/>
      <w:pPr>
        <w:ind w:left="5324" w:hanging="360"/>
      </w:pPr>
      <w:rPr>
        <w:rFonts w:ascii="Symbol" w:hAnsi="Symbol" w:hint="default"/>
      </w:rPr>
    </w:lvl>
    <w:lvl w:ilvl="7" w:tplc="C4E8854E" w:tentative="1">
      <w:start w:val="1"/>
      <w:numFmt w:val="bullet"/>
      <w:lvlText w:val="o"/>
      <w:lvlJc w:val="left"/>
      <w:pPr>
        <w:ind w:left="6044" w:hanging="360"/>
      </w:pPr>
      <w:rPr>
        <w:rFonts w:ascii="Courier New" w:hAnsi="Courier New" w:cs="Courier New" w:hint="default"/>
      </w:rPr>
    </w:lvl>
    <w:lvl w:ilvl="8" w:tplc="9FE8F424" w:tentative="1">
      <w:start w:val="1"/>
      <w:numFmt w:val="bullet"/>
      <w:lvlText w:val=""/>
      <w:lvlJc w:val="left"/>
      <w:pPr>
        <w:ind w:left="6764" w:hanging="360"/>
      </w:pPr>
      <w:rPr>
        <w:rFonts w:ascii="Wingdings" w:hAnsi="Wingdings" w:hint="default"/>
      </w:rPr>
    </w:lvl>
  </w:abstractNum>
  <w:abstractNum w:abstractNumId="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6" w15:restartNumberingAfterBreak="0">
    <w:nsid w:val="62CD15F2"/>
    <w:multiLevelType w:val="hybridMultilevel"/>
    <w:tmpl w:val="516859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67851676">
    <w:abstractNumId w:val="5"/>
  </w:num>
  <w:num w:numId="2" w16cid:durableId="877666070">
    <w:abstractNumId w:val="2"/>
  </w:num>
  <w:num w:numId="3" w16cid:durableId="1155952832">
    <w:abstractNumId w:val="0"/>
  </w:num>
  <w:num w:numId="4" w16cid:durableId="301621524">
    <w:abstractNumId w:val="4"/>
  </w:num>
  <w:num w:numId="5" w16cid:durableId="1801875692">
    <w:abstractNumId w:val="6"/>
  </w:num>
  <w:num w:numId="6" w16cid:durableId="1398936">
    <w:abstractNumId w:val="1"/>
  </w:num>
  <w:num w:numId="7" w16cid:durableId="140641447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2D7B"/>
    <w:rsid w:val="000034EE"/>
    <w:rsid w:val="00003530"/>
    <w:rsid w:val="00005CAA"/>
    <w:rsid w:val="0000601B"/>
    <w:rsid w:val="00006824"/>
    <w:rsid w:val="00006A20"/>
    <w:rsid w:val="0000734A"/>
    <w:rsid w:val="0000759E"/>
    <w:rsid w:val="00007A5D"/>
    <w:rsid w:val="00011C04"/>
    <w:rsid w:val="00012049"/>
    <w:rsid w:val="00012577"/>
    <w:rsid w:val="00012C99"/>
    <w:rsid w:val="00012ED4"/>
    <w:rsid w:val="00013BC0"/>
    <w:rsid w:val="00014858"/>
    <w:rsid w:val="00014EC1"/>
    <w:rsid w:val="00015A21"/>
    <w:rsid w:val="000161AB"/>
    <w:rsid w:val="00016D9A"/>
    <w:rsid w:val="00020A6E"/>
    <w:rsid w:val="00020DDE"/>
    <w:rsid w:val="00021009"/>
    <w:rsid w:val="0002119F"/>
    <w:rsid w:val="00021545"/>
    <w:rsid w:val="00022BC3"/>
    <w:rsid w:val="00022E32"/>
    <w:rsid w:val="0002315B"/>
    <w:rsid w:val="00023D8F"/>
    <w:rsid w:val="00024751"/>
    <w:rsid w:val="00024D0B"/>
    <w:rsid w:val="00027AC8"/>
    <w:rsid w:val="00030E5D"/>
    <w:rsid w:val="00031BD2"/>
    <w:rsid w:val="00033410"/>
    <w:rsid w:val="000340F3"/>
    <w:rsid w:val="0003451E"/>
    <w:rsid w:val="00034B53"/>
    <w:rsid w:val="000355CB"/>
    <w:rsid w:val="00036121"/>
    <w:rsid w:val="00037271"/>
    <w:rsid w:val="00037385"/>
    <w:rsid w:val="00037AC3"/>
    <w:rsid w:val="00041CAD"/>
    <w:rsid w:val="00045777"/>
    <w:rsid w:val="00047718"/>
    <w:rsid w:val="000507BA"/>
    <w:rsid w:val="000511AA"/>
    <w:rsid w:val="000522C7"/>
    <w:rsid w:val="000524AA"/>
    <w:rsid w:val="00052B25"/>
    <w:rsid w:val="00053E4D"/>
    <w:rsid w:val="0005468C"/>
    <w:rsid w:val="00054BF7"/>
    <w:rsid w:val="00055252"/>
    <w:rsid w:val="00055351"/>
    <w:rsid w:val="0005562A"/>
    <w:rsid w:val="00056C09"/>
    <w:rsid w:val="00064557"/>
    <w:rsid w:val="00066057"/>
    <w:rsid w:val="0006681B"/>
    <w:rsid w:val="00066A82"/>
    <w:rsid w:val="00070DC9"/>
    <w:rsid w:val="00071223"/>
    <w:rsid w:val="00071241"/>
    <w:rsid w:val="00071AAE"/>
    <w:rsid w:val="00073530"/>
    <w:rsid w:val="00074085"/>
    <w:rsid w:val="000754CA"/>
    <w:rsid w:val="0007563E"/>
    <w:rsid w:val="0007615B"/>
    <w:rsid w:val="00077564"/>
    <w:rsid w:val="00077F31"/>
    <w:rsid w:val="000803CF"/>
    <w:rsid w:val="00080A12"/>
    <w:rsid w:val="000818DB"/>
    <w:rsid w:val="00081E77"/>
    <w:rsid w:val="000838E1"/>
    <w:rsid w:val="00083959"/>
    <w:rsid w:val="00083A9B"/>
    <w:rsid w:val="000844DC"/>
    <w:rsid w:val="00086354"/>
    <w:rsid w:val="00086724"/>
    <w:rsid w:val="000967DE"/>
    <w:rsid w:val="00096A6B"/>
    <w:rsid w:val="00096E88"/>
    <w:rsid w:val="000A04FE"/>
    <w:rsid w:val="000A0843"/>
    <w:rsid w:val="000A33F3"/>
    <w:rsid w:val="000A3AB8"/>
    <w:rsid w:val="000A3D92"/>
    <w:rsid w:val="000A42FF"/>
    <w:rsid w:val="000A51F4"/>
    <w:rsid w:val="000A5B69"/>
    <w:rsid w:val="000A61EB"/>
    <w:rsid w:val="000A6F34"/>
    <w:rsid w:val="000B2BD5"/>
    <w:rsid w:val="000B2E2F"/>
    <w:rsid w:val="000B3282"/>
    <w:rsid w:val="000B368E"/>
    <w:rsid w:val="000B3796"/>
    <w:rsid w:val="000B3E9C"/>
    <w:rsid w:val="000B4735"/>
    <w:rsid w:val="000B4867"/>
    <w:rsid w:val="000B60F3"/>
    <w:rsid w:val="000B6AA4"/>
    <w:rsid w:val="000B7BA8"/>
    <w:rsid w:val="000C0597"/>
    <w:rsid w:val="000C088E"/>
    <w:rsid w:val="000C1469"/>
    <w:rsid w:val="000C26FE"/>
    <w:rsid w:val="000C2D71"/>
    <w:rsid w:val="000C4D7D"/>
    <w:rsid w:val="000C7862"/>
    <w:rsid w:val="000C78FC"/>
    <w:rsid w:val="000D26D0"/>
    <w:rsid w:val="000D2FFA"/>
    <w:rsid w:val="000D44F1"/>
    <w:rsid w:val="000D4CB5"/>
    <w:rsid w:val="000D5FC1"/>
    <w:rsid w:val="000D610E"/>
    <w:rsid w:val="000E0AC8"/>
    <w:rsid w:val="000E0CEF"/>
    <w:rsid w:val="000E12B4"/>
    <w:rsid w:val="000E24B2"/>
    <w:rsid w:val="000E2536"/>
    <w:rsid w:val="000E39FA"/>
    <w:rsid w:val="000E415C"/>
    <w:rsid w:val="000E42E6"/>
    <w:rsid w:val="000E4573"/>
    <w:rsid w:val="000E53EE"/>
    <w:rsid w:val="000F0924"/>
    <w:rsid w:val="000F2546"/>
    <w:rsid w:val="000F27D5"/>
    <w:rsid w:val="000F2ECA"/>
    <w:rsid w:val="000F3AD5"/>
    <w:rsid w:val="000F417D"/>
    <w:rsid w:val="000F5078"/>
    <w:rsid w:val="000F6165"/>
    <w:rsid w:val="000F7CA3"/>
    <w:rsid w:val="0010388A"/>
    <w:rsid w:val="00103D51"/>
    <w:rsid w:val="00104483"/>
    <w:rsid w:val="001049E2"/>
    <w:rsid w:val="00105347"/>
    <w:rsid w:val="00106C5A"/>
    <w:rsid w:val="00107277"/>
    <w:rsid w:val="00107E85"/>
    <w:rsid w:val="00111800"/>
    <w:rsid w:val="00111B62"/>
    <w:rsid w:val="00112C07"/>
    <w:rsid w:val="00114035"/>
    <w:rsid w:val="001143BB"/>
    <w:rsid w:val="00114C44"/>
    <w:rsid w:val="00114D47"/>
    <w:rsid w:val="00114D85"/>
    <w:rsid w:val="0011507E"/>
    <w:rsid w:val="00116243"/>
    <w:rsid w:val="0011706C"/>
    <w:rsid w:val="001170F1"/>
    <w:rsid w:val="00117C0C"/>
    <w:rsid w:val="00122A99"/>
    <w:rsid w:val="00123A51"/>
    <w:rsid w:val="00123D8D"/>
    <w:rsid w:val="00124118"/>
    <w:rsid w:val="001248B6"/>
    <w:rsid w:val="001278B9"/>
    <w:rsid w:val="00127C78"/>
    <w:rsid w:val="00130452"/>
    <w:rsid w:val="00132148"/>
    <w:rsid w:val="00133C71"/>
    <w:rsid w:val="001340D2"/>
    <w:rsid w:val="00134161"/>
    <w:rsid w:val="001354EE"/>
    <w:rsid w:val="001357EC"/>
    <w:rsid w:val="00135812"/>
    <w:rsid w:val="00135D8A"/>
    <w:rsid w:val="0013601C"/>
    <w:rsid w:val="00140617"/>
    <w:rsid w:val="00141687"/>
    <w:rsid w:val="0014378F"/>
    <w:rsid w:val="00143CB8"/>
    <w:rsid w:val="001441C1"/>
    <w:rsid w:val="001457FA"/>
    <w:rsid w:val="00145830"/>
    <w:rsid w:val="00145E8D"/>
    <w:rsid w:val="00146A99"/>
    <w:rsid w:val="00147A61"/>
    <w:rsid w:val="00147B55"/>
    <w:rsid w:val="00150A99"/>
    <w:rsid w:val="001521B5"/>
    <w:rsid w:val="00152C19"/>
    <w:rsid w:val="0015348F"/>
    <w:rsid w:val="00154AFC"/>
    <w:rsid w:val="00155470"/>
    <w:rsid w:val="001558CC"/>
    <w:rsid w:val="0015797D"/>
    <w:rsid w:val="00162CC0"/>
    <w:rsid w:val="00162D44"/>
    <w:rsid w:val="001631A2"/>
    <w:rsid w:val="0016383D"/>
    <w:rsid w:val="00164BF7"/>
    <w:rsid w:val="00165367"/>
    <w:rsid w:val="00165BCE"/>
    <w:rsid w:val="00166414"/>
    <w:rsid w:val="00166975"/>
    <w:rsid w:val="00167252"/>
    <w:rsid w:val="00167CF0"/>
    <w:rsid w:val="00170F44"/>
    <w:rsid w:val="00172111"/>
    <w:rsid w:val="00172674"/>
    <w:rsid w:val="00172B50"/>
    <w:rsid w:val="001740E9"/>
    <w:rsid w:val="00174BE0"/>
    <w:rsid w:val="00176074"/>
    <w:rsid w:val="001816AF"/>
    <w:rsid w:val="00182802"/>
    <w:rsid w:val="00182A47"/>
    <w:rsid w:val="0018325A"/>
    <w:rsid w:val="001836F3"/>
    <w:rsid w:val="00183946"/>
    <w:rsid w:val="00183D72"/>
    <w:rsid w:val="00183FBF"/>
    <w:rsid w:val="0018454B"/>
    <w:rsid w:val="001849B5"/>
    <w:rsid w:val="00187B50"/>
    <w:rsid w:val="0019089A"/>
    <w:rsid w:val="00191372"/>
    <w:rsid w:val="00191F19"/>
    <w:rsid w:val="00196E37"/>
    <w:rsid w:val="001A0B40"/>
    <w:rsid w:val="001A10EF"/>
    <w:rsid w:val="001A2C69"/>
    <w:rsid w:val="001A3250"/>
    <w:rsid w:val="001A3719"/>
    <w:rsid w:val="001A7DD3"/>
    <w:rsid w:val="001B0F14"/>
    <w:rsid w:val="001B14AB"/>
    <w:rsid w:val="001B28ED"/>
    <w:rsid w:val="001B50A9"/>
    <w:rsid w:val="001B6034"/>
    <w:rsid w:val="001B76E4"/>
    <w:rsid w:val="001C1882"/>
    <w:rsid w:val="001C1964"/>
    <w:rsid w:val="001C2829"/>
    <w:rsid w:val="001C425E"/>
    <w:rsid w:val="001C5D39"/>
    <w:rsid w:val="001C6A80"/>
    <w:rsid w:val="001C6A91"/>
    <w:rsid w:val="001C6E83"/>
    <w:rsid w:val="001C7B46"/>
    <w:rsid w:val="001D2FA3"/>
    <w:rsid w:val="001D5664"/>
    <w:rsid w:val="001D5AF7"/>
    <w:rsid w:val="001D70A7"/>
    <w:rsid w:val="001E29F0"/>
    <w:rsid w:val="001E2C25"/>
    <w:rsid w:val="001E2EAF"/>
    <w:rsid w:val="001E4241"/>
    <w:rsid w:val="001E56A1"/>
    <w:rsid w:val="001F0A82"/>
    <w:rsid w:val="001F193E"/>
    <w:rsid w:val="001F2E08"/>
    <w:rsid w:val="001F3823"/>
    <w:rsid w:val="001F3D77"/>
    <w:rsid w:val="001F5AF8"/>
    <w:rsid w:val="001F6CFC"/>
    <w:rsid w:val="002009DC"/>
    <w:rsid w:val="0020171B"/>
    <w:rsid w:val="00204930"/>
    <w:rsid w:val="00207B4A"/>
    <w:rsid w:val="00210D2E"/>
    <w:rsid w:val="00210ED2"/>
    <w:rsid w:val="0021172A"/>
    <w:rsid w:val="00211BB6"/>
    <w:rsid w:val="00211FF7"/>
    <w:rsid w:val="00212FCB"/>
    <w:rsid w:val="00212FE7"/>
    <w:rsid w:val="002132A2"/>
    <w:rsid w:val="0021343F"/>
    <w:rsid w:val="00217A7C"/>
    <w:rsid w:val="00221744"/>
    <w:rsid w:val="00224B1E"/>
    <w:rsid w:val="00226141"/>
    <w:rsid w:val="002269ED"/>
    <w:rsid w:val="0022722E"/>
    <w:rsid w:val="00230B22"/>
    <w:rsid w:val="00231AF4"/>
    <w:rsid w:val="002344D7"/>
    <w:rsid w:val="00234AD5"/>
    <w:rsid w:val="00234F0B"/>
    <w:rsid w:val="00236434"/>
    <w:rsid w:val="00242321"/>
    <w:rsid w:val="00242E6A"/>
    <w:rsid w:val="00244BA9"/>
    <w:rsid w:val="002463C3"/>
    <w:rsid w:val="0024676E"/>
    <w:rsid w:val="00246FFC"/>
    <w:rsid w:val="00247657"/>
    <w:rsid w:val="00247781"/>
    <w:rsid w:val="002500BA"/>
    <w:rsid w:val="00251262"/>
    <w:rsid w:val="002513D4"/>
    <w:rsid w:val="00252C5F"/>
    <w:rsid w:val="00254D28"/>
    <w:rsid w:val="00255449"/>
    <w:rsid w:val="0025582B"/>
    <w:rsid w:val="00256752"/>
    <w:rsid w:val="00260B51"/>
    <w:rsid w:val="00264A7E"/>
    <w:rsid w:val="00264C3C"/>
    <w:rsid w:val="00265B2D"/>
    <w:rsid w:val="002663FA"/>
    <w:rsid w:val="0026664B"/>
    <w:rsid w:val="00266B77"/>
    <w:rsid w:val="002729E8"/>
    <w:rsid w:val="00272B21"/>
    <w:rsid w:val="00272BF2"/>
    <w:rsid w:val="00275580"/>
    <w:rsid w:val="00276764"/>
    <w:rsid w:val="00280909"/>
    <w:rsid w:val="00280A05"/>
    <w:rsid w:val="00280F58"/>
    <w:rsid w:val="00280F70"/>
    <w:rsid w:val="00281CF7"/>
    <w:rsid w:val="00282200"/>
    <w:rsid w:val="00284188"/>
    <w:rsid w:val="00284AD6"/>
    <w:rsid w:val="0028560A"/>
    <w:rsid w:val="00285DC8"/>
    <w:rsid w:val="00290C27"/>
    <w:rsid w:val="00291F73"/>
    <w:rsid w:val="00292056"/>
    <w:rsid w:val="00292D9D"/>
    <w:rsid w:val="002933A6"/>
    <w:rsid w:val="002944DD"/>
    <w:rsid w:val="00294F06"/>
    <w:rsid w:val="00295CB7"/>
    <w:rsid w:val="00297145"/>
    <w:rsid w:val="00297B22"/>
    <w:rsid w:val="002A0E13"/>
    <w:rsid w:val="002A22F3"/>
    <w:rsid w:val="002A3839"/>
    <w:rsid w:val="002A748D"/>
    <w:rsid w:val="002B0076"/>
    <w:rsid w:val="002B3E58"/>
    <w:rsid w:val="002B5111"/>
    <w:rsid w:val="002B59B6"/>
    <w:rsid w:val="002B6EB8"/>
    <w:rsid w:val="002B7069"/>
    <w:rsid w:val="002C0684"/>
    <w:rsid w:val="002C0F19"/>
    <w:rsid w:val="002C3B69"/>
    <w:rsid w:val="002C3D6A"/>
    <w:rsid w:val="002C4688"/>
    <w:rsid w:val="002C4924"/>
    <w:rsid w:val="002C562D"/>
    <w:rsid w:val="002C5B84"/>
    <w:rsid w:val="002C75B5"/>
    <w:rsid w:val="002D143C"/>
    <w:rsid w:val="002D2E67"/>
    <w:rsid w:val="002D5A83"/>
    <w:rsid w:val="002D65D2"/>
    <w:rsid w:val="002D68C2"/>
    <w:rsid w:val="002D6B3E"/>
    <w:rsid w:val="002D71EB"/>
    <w:rsid w:val="002D7D9E"/>
    <w:rsid w:val="002D7FD5"/>
    <w:rsid w:val="002E070F"/>
    <w:rsid w:val="002E099E"/>
    <w:rsid w:val="002E0EC5"/>
    <w:rsid w:val="002E1D97"/>
    <w:rsid w:val="002E2103"/>
    <w:rsid w:val="002E218C"/>
    <w:rsid w:val="002E3605"/>
    <w:rsid w:val="002E3C67"/>
    <w:rsid w:val="002E452F"/>
    <w:rsid w:val="002E5479"/>
    <w:rsid w:val="002E561F"/>
    <w:rsid w:val="002E5A43"/>
    <w:rsid w:val="002E67F6"/>
    <w:rsid w:val="002E7410"/>
    <w:rsid w:val="002E756A"/>
    <w:rsid w:val="002E7736"/>
    <w:rsid w:val="002F0B11"/>
    <w:rsid w:val="002F0DC8"/>
    <w:rsid w:val="002F6917"/>
    <w:rsid w:val="002F709A"/>
    <w:rsid w:val="002F7E14"/>
    <w:rsid w:val="00300419"/>
    <w:rsid w:val="00304D4E"/>
    <w:rsid w:val="00307AD1"/>
    <w:rsid w:val="003106A9"/>
    <w:rsid w:val="00311A33"/>
    <w:rsid w:val="00311A34"/>
    <w:rsid w:val="00312ADC"/>
    <w:rsid w:val="00312B45"/>
    <w:rsid w:val="00313C3B"/>
    <w:rsid w:val="00314402"/>
    <w:rsid w:val="00315C3C"/>
    <w:rsid w:val="003160DD"/>
    <w:rsid w:val="00316347"/>
    <w:rsid w:val="00317905"/>
    <w:rsid w:val="00317F7D"/>
    <w:rsid w:val="00321043"/>
    <w:rsid w:val="00321EC5"/>
    <w:rsid w:val="0032249A"/>
    <w:rsid w:val="0032286E"/>
    <w:rsid w:val="0032296E"/>
    <w:rsid w:val="003234D2"/>
    <w:rsid w:val="00323664"/>
    <w:rsid w:val="00324C45"/>
    <w:rsid w:val="003252A8"/>
    <w:rsid w:val="003252DC"/>
    <w:rsid w:val="003253D6"/>
    <w:rsid w:val="00326C6A"/>
    <w:rsid w:val="00327364"/>
    <w:rsid w:val="0033435B"/>
    <w:rsid w:val="00336EA5"/>
    <w:rsid w:val="00342AFD"/>
    <w:rsid w:val="003432FE"/>
    <w:rsid w:val="00343C30"/>
    <w:rsid w:val="00343E4E"/>
    <w:rsid w:val="00344965"/>
    <w:rsid w:val="00345EC7"/>
    <w:rsid w:val="003469CC"/>
    <w:rsid w:val="00346CEF"/>
    <w:rsid w:val="0035053B"/>
    <w:rsid w:val="00352856"/>
    <w:rsid w:val="00353D17"/>
    <w:rsid w:val="0035572B"/>
    <w:rsid w:val="00355FF0"/>
    <w:rsid w:val="00356AB8"/>
    <w:rsid w:val="003574A9"/>
    <w:rsid w:val="00360713"/>
    <w:rsid w:val="00361F6F"/>
    <w:rsid w:val="00361FF2"/>
    <w:rsid w:val="0036211D"/>
    <w:rsid w:val="00363373"/>
    <w:rsid w:val="00364937"/>
    <w:rsid w:val="00365D56"/>
    <w:rsid w:val="00365F37"/>
    <w:rsid w:val="0036649A"/>
    <w:rsid w:val="00367257"/>
    <w:rsid w:val="0036729E"/>
    <w:rsid w:val="00367ACF"/>
    <w:rsid w:val="00370F8A"/>
    <w:rsid w:val="00370FE2"/>
    <w:rsid w:val="003712B8"/>
    <w:rsid w:val="003712F3"/>
    <w:rsid w:val="00373A06"/>
    <w:rsid w:val="00373E08"/>
    <w:rsid w:val="0037479E"/>
    <w:rsid w:val="00375231"/>
    <w:rsid w:val="00376A10"/>
    <w:rsid w:val="00377C47"/>
    <w:rsid w:val="00377E8B"/>
    <w:rsid w:val="003815CF"/>
    <w:rsid w:val="00382527"/>
    <w:rsid w:val="00385C11"/>
    <w:rsid w:val="00386A7C"/>
    <w:rsid w:val="0038713C"/>
    <w:rsid w:val="003905D1"/>
    <w:rsid w:val="00391F99"/>
    <w:rsid w:val="00394308"/>
    <w:rsid w:val="003955DE"/>
    <w:rsid w:val="00396647"/>
    <w:rsid w:val="00397AA6"/>
    <w:rsid w:val="003A1CE8"/>
    <w:rsid w:val="003A237E"/>
    <w:rsid w:val="003A369A"/>
    <w:rsid w:val="003A3BB0"/>
    <w:rsid w:val="003A3E69"/>
    <w:rsid w:val="003A46E3"/>
    <w:rsid w:val="003A46FA"/>
    <w:rsid w:val="003A4916"/>
    <w:rsid w:val="003A496C"/>
    <w:rsid w:val="003A4CE6"/>
    <w:rsid w:val="003A4D66"/>
    <w:rsid w:val="003A583A"/>
    <w:rsid w:val="003A5FCE"/>
    <w:rsid w:val="003A68DE"/>
    <w:rsid w:val="003A77BD"/>
    <w:rsid w:val="003A7F4A"/>
    <w:rsid w:val="003B0871"/>
    <w:rsid w:val="003B0A01"/>
    <w:rsid w:val="003B1062"/>
    <w:rsid w:val="003B31F1"/>
    <w:rsid w:val="003B3EF2"/>
    <w:rsid w:val="003B4326"/>
    <w:rsid w:val="003B5ABD"/>
    <w:rsid w:val="003B6A34"/>
    <w:rsid w:val="003B6C01"/>
    <w:rsid w:val="003B6D97"/>
    <w:rsid w:val="003B7789"/>
    <w:rsid w:val="003B79C1"/>
    <w:rsid w:val="003C0129"/>
    <w:rsid w:val="003C03F6"/>
    <w:rsid w:val="003C2712"/>
    <w:rsid w:val="003C43EB"/>
    <w:rsid w:val="003C462F"/>
    <w:rsid w:val="003C4E13"/>
    <w:rsid w:val="003C513B"/>
    <w:rsid w:val="003C56B0"/>
    <w:rsid w:val="003C6682"/>
    <w:rsid w:val="003C76C4"/>
    <w:rsid w:val="003D04B4"/>
    <w:rsid w:val="003D1CDE"/>
    <w:rsid w:val="003D1DCF"/>
    <w:rsid w:val="003D4D6A"/>
    <w:rsid w:val="003D521E"/>
    <w:rsid w:val="003D61C6"/>
    <w:rsid w:val="003D6C24"/>
    <w:rsid w:val="003D70BD"/>
    <w:rsid w:val="003D7C55"/>
    <w:rsid w:val="003E102C"/>
    <w:rsid w:val="003E1DF3"/>
    <w:rsid w:val="003E1F82"/>
    <w:rsid w:val="003E23FC"/>
    <w:rsid w:val="003E32AC"/>
    <w:rsid w:val="003E5A3B"/>
    <w:rsid w:val="003E5B86"/>
    <w:rsid w:val="003E752D"/>
    <w:rsid w:val="003E7547"/>
    <w:rsid w:val="003F0BBB"/>
    <w:rsid w:val="003F561A"/>
    <w:rsid w:val="003F6F8D"/>
    <w:rsid w:val="003F7151"/>
    <w:rsid w:val="00402DCE"/>
    <w:rsid w:val="00402F50"/>
    <w:rsid w:val="00403DDD"/>
    <w:rsid w:val="00404148"/>
    <w:rsid w:val="00404877"/>
    <w:rsid w:val="00405A2F"/>
    <w:rsid w:val="00412829"/>
    <w:rsid w:val="00413185"/>
    <w:rsid w:val="00413186"/>
    <w:rsid w:val="004140F2"/>
    <w:rsid w:val="0041424D"/>
    <w:rsid w:val="00414271"/>
    <w:rsid w:val="00414390"/>
    <w:rsid w:val="00414537"/>
    <w:rsid w:val="00415064"/>
    <w:rsid w:val="004155A1"/>
    <w:rsid w:val="00420180"/>
    <w:rsid w:val="004216E3"/>
    <w:rsid w:val="004221F2"/>
    <w:rsid w:val="00425DE8"/>
    <w:rsid w:val="0042606E"/>
    <w:rsid w:val="00426DEA"/>
    <w:rsid w:val="00427B99"/>
    <w:rsid w:val="004304DF"/>
    <w:rsid w:val="0043087D"/>
    <w:rsid w:val="00431C5A"/>
    <w:rsid w:val="00431D8B"/>
    <w:rsid w:val="00434580"/>
    <w:rsid w:val="004345E8"/>
    <w:rsid w:val="00435016"/>
    <w:rsid w:val="00435972"/>
    <w:rsid w:val="00435ED1"/>
    <w:rsid w:val="00436660"/>
    <w:rsid w:val="00436698"/>
    <w:rsid w:val="00436E5C"/>
    <w:rsid w:val="004405C7"/>
    <w:rsid w:val="004421A3"/>
    <w:rsid w:val="0044364F"/>
    <w:rsid w:val="00445209"/>
    <w:rsid w:val="004509A2"/>
    <w:rsid w:val="00450E29"/>
    <w:rsid w:val="004510F2"/>
    <w:rsid w:val="00451174"/>
    <w:rsid w:val="00453B3B"/>
    <w:rsid w:val="00454D9F"/>
    <w:rsid w:val="0045600B"/>
    <w:rsid w:val="00456104"/>
    <w:rsid w:val="004577EF"/>
    <w:rsid w:val="00457971"/>
    <w:rsid w:val="00457A25"/>
    <w:rsid w:val="00457D29"/>
    <w:rsid w:val="004618D3"/>
    <w:rsid w:val="00461EA2"/>
    <w:rsid w:val="00463EE0"/>
    <w:rsid w:val="004640C8"/>
    <w:rsid w:val="00464624"/>
    <w:rsid w:val="00464F97"/>
    <w:rsid w:val="0046510B"/>
    <w:rsid w:val="00465810"/>
    <w:rsid w:val="00465C18"/>
    <w:rsid w:val="00466509"/>
    <w:rsid w:val="004665B2"/>
    <w:rsid w:val="00467245"/>
    <w:rsid w:val="004678AB"/>
    <w:rsid w:val="00467E0D"/>
    <w:rsid w:val="004706AD"/>
    <w:rsid w:val="00471986"/>
    <w:rsid w:val="00472291"/>
    <w:rsid w:val="00472309"/>
    <w:rsid w:val="00472D3C"/>
    <w:rsid w:val="0047521F"/>
    <w:rsid w:val="004753EF"/>
    <w:rsid w:val="004777A0"/>
    <w:rsid w:val="0048278C"/>
    <w:rsid w:val="00482B72"/>
    <w:rsid w:val="00482C57"/>
    <w:rsid w:val="004830F0"/>
    <w:rsid w:val="00484D66"/>
    <w:rsid w:val="00486355"/>
    <w:rsid w:val="00486767"/>
    <w:rsid w:val="0048752F"/>
    <w:rsid w:val="004878A8"/>
    <w:rsid w:val="00490418"/>
    <w:rsid w:val="00490715"/>
    <w:rsid w:val="0049071F"/>
    <w:rsid w:val="004913BA"/>
    <w:rsid w:val="00491AD0"/>
    <w:rsid w:val="00492B28"/>
    <w:rsid w:val="00493598"/>
    <w:rsid w:val="0049511F"/>
    <w:rsid w:val="004952EC"/>
    <w:rsid w:val="004954E7"/>
    <w:rsid w:val="004959B9"/>
    <w:rsid w:val="00497D57"/>
    <w:rsid w:val="004A04A5"/>
    <w:rsid w:val="004A1FC9"/>
    <w:rsid w:val="004A26EE"/>
    <w:rsid w:val="004A2B2E"/>
    <w:rsid w:val="004A339F"/>
    <w:rsid w:val="004A5980"/>
    <w:rsid w:val="004A5CDD"/>
    <w:rsid w:val="004A619F"/>
    <w:rsid w:val="004A6656"/>
    <w:rsid w:val="004A70E2"/>
    <w:rsid w:val="004A7933"/>
    <w:rsid w:val="004B00DD"/>
    <w:rsid w:val="004B11CB"/>
    <w:rsid w:val="004B151E"/>
    <w:rsid w:val="004B1897"/>
    <w:rsid w:val="004B1EE7"/>
    <w:rsid w:val="004B3BAB"/>
    <w:rsid w:val="004B49F6"/>
    <w:rsid w:val="004B5423"/>
    <w:rsid w:val="004B56B5"/>
    <w:rsid w:val="004B5D4E"/>
    <w:rsid w:val="004B60D3"/>
    <w:rsid w:val="004B659D"/>
    <w:rsid w:val="004B6AF4"/>
    <w:rsid w:val="004B7A95"/>
    <w:rsid w:val="004C0C66"/>
    <w:rsid w:val="004C461F"/>
    <w:rsid w:val="004C48D5"/>
    <w:rsid w:val="004C4B52"/>
    <w:rsid w:val="004C4E4A"/>
    <w:rsid w:val="004C7FF9"/>
    <w:rsid w:val="004D154F"/>
    <w:rsid w:val="004D1DA8"/>
    <w:rsid w:val="004D1F44"/>
    <w:rsid w:val="004D27B6"/>
    <w:rsid w:val="004D41EE"/>
    <w:rsid w:val="004D6B19"/>
    <w:rsid w:val="004D6CE0"/>
    <w:rsid w:val="004D716E"/>
    <w:rsid w:val="004D75D7"/>
    <w:rsid w:val="004D7A2F"/>
    <w:rsid w:val="004E0039"/>
    <w:rsid w:val="004E0279"/>
    <w:rsid w:val="004E0822"/>
    <w:rsid w:val="004E230D"/>
    <w:rsid w:val="004E25C5"/>
    <w:rsid w:val="004E3014"/>
    <w:rsid w:val="004E4B98"/>
    <w:rsid w:val="004E5AC7"/>
    <w:rsid w:val="004E7140"/>
    <w:rsid w:val="004F12A3"/>
    <w:rsid w:val="004F16D7"/>
    <w:rsid w:val="004F2709"/>
    <w:rsid w:val="004F383A"/>
    <w:rsid w:val="004F509B"/>
    <w:rsid w:val="004F55BD"/>
    <w:rsid w:val="004F5BF3"/>
    <w:rsid w:val="004F6768"/>
    <w:rsid w:val="004F712D"/>
    <w:rsid w:val="005005C2"/>
    <w:rsid w:val="00500AB3"/>
    <w:rsid w:val="00503091"/>
    <w:rsid w:val="00505684"/>
    <w:rsid w:val="005061D2"/>
    <w:rsid w:val="00506AE7"/>
    <w:rsid w:val="005104EF"/>
    <w:rsid w:val="00510528"/>
    <w:rsid w:val="00510F1F"/>
    <w:rsid w:val="0051329F"/>
    <w:rsid w:val="00514B04"/>
    <w:rsid w:val="00516724"/>
    <w:rsid w:val="00516F75"/>
    <w:rsid w:val="00517A02"/>
    <w:rsid w:val="005212E8"/>
    <w:rsid w:val="00522814"/>
    <w:rsid w:val="0052662E"/>
    <w:rsid w:val="005271F8"/>
    <w:rsid w:val="0052784B"/>
    <w:rsid w:val="00531205"/>
    <w:rsid w:val="00531D45"/>
    <w:rsid w:val="0053323B"/>
    <w:rsid w:val="00533808"/>
    <w:rsid w:val="00533A07"/>
    <w:rsid w:val="0053756D"/>
    <w:rsid w:val="00537934"/>
    <w:rsid w:val="00537D3A"/>
    <w:rsid w:val="005404B2"/>
    <w:rsid w:val="00540F6B"/>
    <w:rsid w:val="00543849"/>
    <w:rsid w:val="00544180"/>
    <w:rsid w:val="005449F8"/>
    <w:rsid w:val="00545A3F"/>
    <w:rsid w:val="0054696D"/>
    <w:rsid w:val="005508F3"/>
    <w:rsid w:val="00550987"/>
    <w:rsid w:val="00551188"/>
    <w:rsid w:val="00551515"/>
    <w:rsid w:val="00552460"/>
    <w:rsid w:val="0055271D"/>
    <w:rsid w:val="00552B23"/>
    <w:rsid w:val="0055368E"/>
    <w:rsid w:val="00553F85"/>
    <w:rsid w:val="00555BE6"/>
    <w:rsid w:val="00555F88"/>
    <w:rsid w:val="00556AC5"/>
    <w:rsid w:val="005573C3"/>
    <w:rsid w:val="00560119"/>
    <w:rsid w:val="00560BA4"/>
    <w:rsid w:val="00560D1E"/>
    <w:rsid w:val="00560E22"/>
    <w:rsid w:val="005614B4"/>
    <w:rsid w:val="00561BA5"/>
    <w:rsid w:val="0056394D"/>
    <w:rsid w:val="00565150"/>
    <w:rsid w:val="0056534D"/>
    <w:rsid w:val="005678EB"/>
    <w:rsid w:val="00567DAB"/>
    <w:rsid w:val="005711FF"/>
    <w:rsid w:val="005728A4"/>
    <w:rsid w:val="00575640"/>
    <w:rsid w:val="005757E0"/>
    <w:rsid w:val="00576B7C"/>
    <w:rsid w:val="00580320"/>
    <w:rsid w:val="005820DF"/>
    <w:rsid w:val="00582DF1"/>
    <w:rsid w:val="00582F95"/>
    <w:rsid w:val="00583EE6"/>
    <w:rsid w:val="00584EC2"/>
    <w:rsid w:val="005879F7"/>
    <w:rsid w:val="00590D4B"/>
    <w:rsid w:val="005912C9"/>
    <w:rsid w:val="00591873"/>
    <w:rsid w:val="00592EB1"/>
    <w:rsid w:val="00595E16"/>
    <w:rsid w:val="00595FEE"/>
    <w:rsid w:val="00597253"/>
    <w:rsid w:val="005A0035"/>
    <w:rsid w:val="005A0095"/>
    <w:rsid w:val="005A07C7"/>
    <w:rsid w:val="005A0C14"/>
    <w:rsid w:val="005A1528"/>
    <w:rsid w:val="005A1F96"/>
    <w:rsid w:val="005A26E3"/>
    <w:rsid w:val="005A393B"/>
    <w:rsid w:val="005A5383"/>
    <w:rsid w:val="005A5ED1"/>
    <w:rsid w:val="005A7BDF"/>
    <w:rsid w:val="005A7EAF"/>
    <w:rsid w:val="005A7F7E"/>
    <w:rsid w:val="005B003F"/>
    <w:rsid w:val="005B1C07"/>
    <w:rsid w:val="005B31C9"/>
    <w:rsid w:val="005B37F6"/>
    <w:rsid w:val="005B47AA"/>
    <w:rsid w:val="005B58D9"/>
    <w:rsid w:val="005B6937"/>
    <w:rsid w:val="005B6BDB"/>
    <w:rsid w:val="005C107F"/>
    <w:rsid w:val="005C1702"/>
    <w:rsid w:val="005C50CA"/>
    <w:rsid w:val="005C5DF2"/>
    <w:rsid w:val="005C6790"/>
    <w:rsid w:val="005C6C97"/>
    <w:rsid w:val="005C7713"/>
    <w:rsid w:val="005C7EE4"/>
    <w:rsid w:val="005D11D8"/>
    <w:rsid w:val="005D1684"/>
    <w:rsid w:val="005D208E"/>
    <w:rsid w:val="005D3551"/>
    <w:rsid w:val="005D5A74"/>
    <w:rsid w:val="005D6646"/>
    <w:rsid w:val="005D7AB0"/>
    <w:rsid w:val="005E2F1E"/>
    <w:rsid w:val="005E3172"/>
    <w:rsid w:val="005E3519"/>
    <w:rsid w:val="005E35F9"/>
    <w:rsid w:val="005E3985"/>
    <w:rsid w:val="005E6124"/>
    <w:rsid w:val="005F127B"/>
    <w:rsid w:val="005F143C"/>
    <w:rsid w:val="005F2BEE"/>
    <w:rsid w:val="005F54ED"/>
    <w:rsid w:val="005F5610"/>
    <w:rsid w:val="005F5825"/>
    <w:rsid w:val="005F645D"/>
    <w:rsid w:val="005F64A9"/>
    <w:rsid w:val="006005A8"/>
    <w:rsid w:val="00600E3D"/>
    <w:rsid w:val="0060186D"/>
    <w:rsid w:val="006022A7"/>
    <w:rsid w:val="00602327"/>
    <w:rsid w:val="00603247"/>
    <w:rsid w:val="0060397E"/>
    <w:rsid w:val="00604893"/>
    <w:rsid w:val="00606D03"/>
    <w:rsid w:val="00607E25"/>
    <w:rsid w:val="00610938"/>
    <w:rsid w:val="0061154C"/>
    <w:rsid w:val="006120FB"/>
    <w:rsid w:val="00614E78"/>
    <w:rsid w:val="00615ADB"/>
    <w:rsid w:val="006162F6"/>
    <w:rsid w:val="00622B94"/>
    <w:rsid w:val="006242DA"/>
    <w:rsid w:val="00625C13"/>
    <w:rsid w:val="0062639A"/>
    <w:rsid w:val="00627550"/>
    <w:rsid w:val="006311E9"/>
    <w:rsid w:val="00631FAC"/>
    <w:rsid w:val="00634343"/>
    <w:rsid w:val="00634C33"/>
    <w:rsid w:val="006353CD"/>
    <w:rsid w:val="00636A46"/>
    <w:rsid w:val="006400D9"/>
    <w:rsid w:val="00642D09"/>
    <w:rsid w:val="0064316E"/>
    <w:rsid w:val="006434F9"/>
    <w:rsid w:val="00644F94"/>
    <w:rsid w:val="006462C1"/>
    <w:rsid w:val="006464F7"/>
    <w:rsid w:val="00646918"/>
    <w:rsid w:val="00646930"/>
    <w:rsid w:val="00647403"/>
    <w:rsid w:val="00651620"/>
    <w:rsid w:val="0065178D"/>
    <w:rsid w:val="00652402"/>
    <w:rsid w:val="00653248"/>
    <w:rsid w:val="006534AE"/>
    <w:rsid w:val="00653ADB"/>
    <w:rsid w:val="00654335"/>
    <w:rsid w:val="00655632"/>
    <w:rsid w:val="00655E03"/>
    <w:rsid w:val="006562F4"/>
    <w:rsid w:val="00656B14"/>
    <w:rsid w:val="00656BE5"/>
    <w:rsid w:val="00657206"/>
    <w:rsid w:val="00657A40"/>
    <w:rsid w:val="00660222"/>
    <w:rsid w:val="0066037A"/>
    <w:rsid w:val="00661CD8"/>
    <w:rsid w:val="006620C9"/>
    <w:rsid w:val="00662995"/>
    <w:rsid w:val="00663504"/>
    <w:rsid w:val="006637E5"/>
    <w:rsid w:val="00664C10"/>
    <w:rsid w:val="00664D3C"/>
    <w:rsid w:val="006656FC"/>
    <w:rsid w:val="00665954"/>
    <w:rsid w:val="00665D4A"/>
    <w:rsid w:val="006660C1"/>
    <w:rsid w:val="00666CC4"/>
    <w:rsid w:val="00667393"/>
    <w:rsid w:val="0066770E"/>
    <w:rsid w:val="00670F43"/>
    <w:rsid w:val="00672BFD"/>
    <w:rsid w:val="00675E9D"/>
    <w:rsid w:val="00680454"/>
    <w:rsid w:val="00681655"/>
    <w:rsid w:val="00684091"/>
    <w:rsid w:val="006855C8"/>
    <w:rsid w:val="0068580B"/>
    <w:rsid w:val="00685C30"/>
    <w:rsid w:val="00686DAE"/>
    <w:rsid w:val="006877EF"/>
    <w:rsid w:val="006878AC"/>
    <w:rsid w:val="00687F43"/>
    <w:rsid w:val="00690389"/>
    <w:rsid w:val="0069069C"/>
    <w:rsid w:val="006912B6"/>
    <w:rsid w:val="006921D0"/>
    <w:rsid w:val="00693338"/>
    <w:rsid w:val="0069348E"/>
    <w:rsid w:val="006934E1"/>
    <w:rsid w:val="00693B0D"/>
    <w:rsid w:val="00694E37"/>
    <w:rsid w:val="00695D6B"/>
    <w:rsid w:val="00695DEF"/>
    <w:rsid w:val="0069625C"/>
    <w:rsid w:val="00697D18"/>
    <w:rsid w:val="006A0D12"/>
    <w:rsid w:val="006A185F"/>
    <w:rsid w:val="006A2A9B"/>
    <w:rsid w:val="006A644D"/>
    <w:rsid w:val="006A6EA8"/>
    <w:rsid w:val="006B0CC6"/>
    <w:rsid w:val="006B18DC"/>
    <w:rsid w:val="006B2578"/>
    <w:rsid w:val="006B46BB"/>
    <w:rsid w:val="006B46C8"/>
    <w:rsid w:val="006B5B6D"/>
    <w:rsid w:val="006B5F0B"/>
    <w:rsid w:val="006B62FC"/>
    <w:rsid w:val="006B7102"/>
    <w:rsid w:val="006C0347"/>
    <w:rsid w:val="006C0920"/>
    <w:rsid w:val="006C5DAA"/>
    <w:rsid w:val="006C75CF"/>
    <w:rsid w:val="006C7FF3"/>
    <w:rsid w:val="006D0F17"/>
    <w:rsid w:val="006D2309"/>
    <w:rsid w:val="006D23B3"/>
    <w:rsid w:val="006D3A4B"/>
    <w:rsid w:val="006D440B"/>
    <w:rsid w:val="006D5442"/>
    <w:rsid w:val="006D57D9"/>
    <w:rsid w:val="006D61C2"/>
    <w:rsid w:val="006D64A0"/>
    <w:rsid w:val="006D7B24"/>
    <w:rsid w:val="006D7E60"/>
    <w:rsid w:val="006D7F97"/>
    <w:rsid w:val="006E01C7"/>
    <w:rsid w:val="006E1046"/>
    <w:rsid w:val="006E1AD0"/>
    <w:rsid w:val="006E2013"/>
    <w:rsid w:val="006E3626"/>
    <w:rsid w:val="006E38A3"/>
    <w:rsid w:val="006E48D0"/>
    <w:rsid w:val="006E4FA3"/>
    <w:rsid w:val="006E5096"/>
    <w:rsid w:val="006E5BED"/>
    <w:rsid w:val="006E633B"/>
    <w:rsid w:val="006E7638"/>
    <w:rsid w:val="006F1A58"/>
    <w:rsid w:val="006F2688"/>
    <w:rsid w:val="006F30C1"/>
    <w:rsid w:val="006F4088"/>
    <w:rsid w:val="006F4787"/>
    <w:rsid w:val="006F55B6"/>
    <w:rsid w:val="006F6B02"/>
    <w:rsid w:val="006F6E7D"/>
    <w:rsid w:val="006F7155"/>
    <w:rsid w:val="006F72FF"/>
    <w:rsid w:val="007011D3"/>
    <w:rsid w:val="00701473"/>
    <w:rsid w:val="007023E1"/>
    <w:rsid w:val="00702C08"/>
    <w:rsid w:val="007045BC"/>
    <w:rsid w:val="007047A6"/>
    <w:rsid w:val="00704963"/>
    <w:rsid w:val="00704FD8"/>
    <w:rsid w:val="00704FEB"/>
    <w:rsid w:val="0070509B"/>
    <w:rsid w:val="007069AA"/>
    <w:rsid w:val="00706C51"/>
    <w:rsid w:val="007071A6"/>
    <w:rsid w:val="007102C0"/>
    <w:rsid w:val="007110C4"/>
    <w:rsid w:val="007114C6"/>
    <w:rsid w:val="00712367"/>
    <w:rsid w:val="00712539"/>
    <w:rsid w:val="00712A0A"/>
    <w:rsid w:val="00713607"/>
    <w:rsid w:val="00713A14"/>
    <w:rsid w:val="0071598E"/>
    <w:rsid w:val="00715F22"/>
    <w:rsid w:val="0071689C"/>
    <w:rsid w:val="00717787"/>
    <w:rsid w:val="00717BB7"/>
    <w:rsid w:val="007202FA"/>
    <w:rsid w:val="00720F4B"/>
    <w:rsid w:val="00722E70"/>
    <w:rsid w:val="00723526"/>
    <w:rsid w:val="007239F4"/>
    <w:rsid w:val="00724355"/>
    <w:rsid w:val="00724A2F"/>
    <w:rsid w:val="00724A34"/>
    <w:rsid w:val="007267ED"/>
    <w:rsid w:val="007268C3"/>
    <w:rsid w:val="007275AA"/>
    <w:rsid w:val="0073051B"/>
    <w:rsid w:val="007308D3"/>
    <w:rsid w:val="0073139A"/>
    <w:rsid w:val="0073170F"/>
    <w:rsid w:val="00731A17"/>
    <w:rsid w:val="00731B91"/>
    <w:rsid w:val="00732591"/>
    <w:rsid w:val="00732B7F"/>
    <w:rsid w:val="00732C30"/>
    <w:rsid w:val="00733EBF"/>
    <w:rsid w:val="00734646"/>
    <w:rsid w:val="007353AB"/>
    <w:rsid w:val="0073583C"/>
    <w:rsid w:val="00735AA2"/>
    <w:rsid w:val="00735AE5"/>
    <w:rsid w:val="00736A1C"/>
    <w:rsid w:val="007375D5"/>
    <w:rsid w:val="0074062A"/>
    <w:rsid w:val="00740E8F"/>
    <w:rsid w:val="00741A94"/>
    <w:rsid w:val="00743170"/>
    <w:rsid w:val="00743DD3"/>
    <w:rsid w:val="00743DD8"/>
    <w:rsid w:val="007443CB"/>
    <w:rsid w:val="00745891"/>
    <w:rsid w:val="007467A0"/>
    <w:rsid w:val="00746E02"/>
    <w:rsid w:val="0074702E"/>
    <w:rsid w:val="00747E94"/>
    <w:rsid w:val="00750D93"/>
    <w:rsid w:val="0075117B"/>
    <w:rsid w:val="007520B3"/>
    <w:rsid w:val="00753018"/>
    <w:rsid w:val="007534CC"/>
    <w:rsid w:val="00753698"/>
    <w:rsid w:val="0075483B"/>
    <w:rsid w:val="00756E16"/>
    <w:rsid w:val="00761A6D"/>
    <w:rsid w:val="00762A2F"/>
    <w:rsid w:val="00762B07"/>
    <w:rsid w:val="00763042"/>
    <w:rsid w:val="00763418"/>
    <w:rsid w:val="007655C8"/>
    <w:rsid w:val="007661E3"/>
    <w:rsid w:val="007670E6"/>
    <w:rsid w:val="00767545"/>
    <w:rsid w:val="00767B56"/>
    <w:rsid w:val="00767F07"/>
    <w:rsid w:val="00771231"/>
    <w:rsid w:val="00771F0E"/>
    <w:rsid w:val="00772866"/>
    <w:rsid w:val="00773920"/>
    <w:rsid w:val="00773CBB"/>
    <w:rsid w:val="0077430A"/>
    <w:rsid w:val="007743B1"/>
    <w:rsid w:val="007750D0"/>
    <w:rsid w:val="00776D8A"/>
    <w:rsid w:val="00777F6E"/>
    <w:rsid w:val="00780592"/>
    <w:rsid w:val="007812AF"/>
    <w:rsid w:val="00783390"/>
    <w:rsid w:val="007835DF"/>
    <w:rsid w:val="00783C3E"/>
    <w:rsid w:val="007858BA"/>
    <w:rsid w:val="00787055"/>
    <w:rsid w:val="007879B2"/>
    <w:rsid w:val="0079296B"/>
    <w:rsid w:val="00793325"/>
    <w:rsid w:val="00793743"/>
    <w:rsid w:val="007938B6"/>
    <w:rsid w:val="00795C79"/>
    <w:rsid w:val="00797005"/>
    <w:rsid w:val="00797B19"/>
    <w:rsid w:val="00797FB0"/>
    <w:rsid w:val="007A1401"/>
    <w:rsid w:val="007A17D5"/>
    <w:rsid w:val="007A1F5D"/>
    <w:rsid w:val="007A2127"/>
    <w:rsid w:val="007A263F"/>
    <w:rsid w:val="007A2CBB"/>
    <w:rsid w:val="007A30A5"/>
    <w:rsid w:val="007A4BB7"/>
    <w:rsid w:val="007A6137"/>
    <w:rsid w:val="007A69DC"/>
    <w:rsid w:val="007B071A"/>
    <w:rsid w:val="007B0FEB"/>
    <w:rsid w:val="007B1042"/>
    <w:rsid w:val="007B1D3C"/>
    <w:rsid w:val="007B1EB3"/>
    <w:rsid w:val="007B1F06"/>
    <w:rsid w:val="007B34BB"/>
    <w:rsid w:val="007B3C5A"/>
    <w:rsid w:val="007B5513"/>
    <w:rsid w:val="007B58CB"/>
    <w:rsid w:val="007B6512"/>
    <w:rsid w:val="007B6C64"/>
    <w:rsid w:val="007B7175"/>
    <w:rsid w:val="007B7769"/>
    <w:rsid w:val="007C0A64"/>
    <w:rsid w:val="007C2233"/>
    <w:rsid w:val="007C3FE0"/>
    <w:rsid w:val="007C6614"/>
    <w:rsid w:val="007C667C"/>
    <w:rsid w:val="007D09B8"/>
    <w:rsid w:val="007D328C"/>
    <w:rsid w:val="007D4503"/>
    <w:rsid w:val="007D450B"/>
    <w:rsid w:val="007D4585"/>
    <w:rsid w:val="007D4A37"/>
    <w:rsid w:val="007D6C0C"/>
    <w:rsid w:val="007D7876"/>
    <w:rsid w:val="007E0D51"/>
    <w:rsid w:val="007E1803"/>
    <w:rsid w:val="007E1E78"/>
    <w:rsid w:val="007E4DC0"/>
    <w:rsid w:val="007E5C6C"/>
    <w:rsid w:val="007E6073"/>
    <w:rsid w:val="007E6836"/>
    <w:rsid w:val="007E6C69"/>
    <w:rsid w:val="007E7008"/>
    <w:rsid w:val="007E7311"/>
    <w:rsid w:val="007E7539"/>
    <w:rsid w:val="007F0B8B"/>
    <w:rsid w:val="007F0ED4"/>
    <w:rsid w:val="007F4528"/>
    <w:rsid w:val="007F469B"/>
    <w:rsid w:val="007F6BEC"/>
    <w:rsid w:val="00801648"/>
    <w:rsid w:val="00801D7D"/>
    <w:rsid w:val="00802626"/>
    <w:rsid w:val="008026CA"/>
    <w:rsid w:val="00802A29"/>
    <w:rsid w:val="00804A6C"/>
    <w:rsid w:val="0080511E"/>
    <w:rsid w:val="00806739"/>
    <w:rsid w:val="00807154"/>
    <w:rsid w:val="00811DF5"/>
    <w:rsid w:val="0081222B"/>
    <w:rsid w:val="00812D7E"/>
    <w:rsid w:val="00812E4F"/>
    <w:rsid w:val="008133F8"/>
    <w:rsid w:val="0081392E"/>
    <w:rsid w:val="00813E8D"/>
    <w:rsid w:val="0081415C"/>
    <w:rsid w:val="008142B1"/>
    <w:rsid w:val="008146EF"/>
    <w:rsid w:val="008149FC"/>
    <w:rsid w:val="00814AB0"/>
    <w:rsid w:val="0081592F"/>
    <w:rsid w:val="008163D5"/>
    <w:rsid w:val="008210FE"/>
    <w:rsid w:val="0082232E"/>
    <w:rsid w:val="00822FBD"/>
    <w:rsid w:val="00823953"/>
    <w:rsid w:val="00823E21"/>
    <w:rsid w:val="0082400E"/>
    <w:rsid w:val="00824879"/>
    <w:rsid w:val="008265B3"/>
    <w:rsid w:val="0082704A"/>
    <w:rsid w:val="00827444"/>
    <w:rsid w:val="008274CD"/>
    <w:rsid w:val="00830966"/>
    <w:rsid w:val="00831EB8"/>
    <w:rsid w:val="00832617"/>
    <w:rsid w:val="00835801"/>
    <w:rsid w:val="00835C1A"/>
    <w:rsid w:val="00836F72"/>
    <w:rsid w:val="00840D3A"/>
    <w:rsid w:val="00841D5E"/>
    <w:rsid w:val="0084275E"/>
    <w:rsid w:val="008441E6"/>
    <w:rsid w:val="00844438"/>
    <w:rsid w:val="00845BDA"/>
    <w:rsid w:val="00846654"/>
    <w:rsid w:val="008519FF"/>
    <w:rsid w:val="00851CCD"/>
    <w:rsid w:val="00853298"/>
    <w:rsid w:val="00857220"/>
    <w:rsid w:val="0085753A"/>
    <w:rsid w:val="00860655"/>
    <w:rsid w:val="00861FE7"/>
    <w:rsid w:val="0086226E"/>
    <w:rsid w:val="00863319"/>
    <w:rsid w:val="008643DD"/>
    <w:rsid w:val="0086485E"/>
    <w:rsid w:val="008651B0"/>
    <w:rsid w:val="0086529B"/>
    <w:rsid w:val="0086595F"/>
    <w:rsid w:val="00865ACA"/>
    <w:rsid w:val="00865B50"/>
    <w:rsid w:val="0086687C"/>
    <w:rsid w:val="008701A5"/>
    <w:rsid w:val="00870BB8"/>
    <w:rsid w:val="008722CF"/>
    <w:rsid w:val="008723AB"/>
    <w:rsid w:val="008724EF"/>
    <w:rsid w:val="00872C20"/>
    <w:rsid w:val="008736E7"/>
    <w:rsid w:val="00874E75"/>
    <w:rsid w:val="008772C3"/>
    <w:rsid w:val="008777D2"/>
    <w:rsid w:val="00880C68"/>
    <w:rsid w:val="00880EAA"/>
    <w:rsid w:val="00880F20"/>
    <w:rsid w:val="0088169A"/>
    <w:rsid w:val="00881964"/>
    <w:rsid w:val="00882F2E"/>
    <w:rsid w:val="008866B6"/>
    <w:rsid w:val="0089047A"/>
    <w:rsid w:val="008907B9"/>
    <w:rsid w:val="00894CBA"/>
    <w:rsid w:val="008A0533"/>
    <w:rsid w:val="008A2CB8"/>
    <w:rsid w:val="008A4094"/>
    <w:rsid w:val="008A54FE"/>
    <w:rsid w:val="008A64AF"/>
    <w:rsid w:val="008A79BA"/>
    <w:rsid w:val="008B0062"/>
    <w:rsid w:val="008B01F4"/>
    <w:rsid w:val="008B1488"/>
    <w:rsid w:val="008B17D2"/>
    <w:rsid w:val="008B3917"/>
    <w:rsid w:val="008B50EE"/>
    <w:rsid w:val="008B567C"/>
    <w:rsid w:val="008B56D4"/>
    <w:rsid w:val="008B6528"/>
    <w:rsid w:val="008B6712"/>
    <w:rsid w:val="008B69BD"/>
    <w:rsid w:val="008B6B6B"/>
    <w:rsid w:val="008C011C"/>
    <w:rsid w:val="008C0ACC"/>
    <w:rsid w:val="008C1A12"/>
    <w:rsid w:val="008C1FA3"/>
    <w:rsid w:val="008C2DEA"/>
    <w:rsid w:val="008C473A"/>
    <w:rsid w:val="008C4750"/>
    <w:rsid w:val="008C4C7D"/>
    <w:rsid w:val="008C7616"/>
    <w:rsid w:val="008D0DAC"/>
    <w:rsid w:val="008D1158"/>
    <w:rsid w:val="008D1D4E"/>
    <w:rsid w:val="008D3C3C"/>
    <w:rsid w:val="008D4094"/>
    <w:rsid w:val="008D4CAF"/>
    <w:rsid w:val="008D4DC1"/>
    <w:rsid w:val="008D5169"/>
    <w:rsid w:val="008D5D88"/>
    <w:rsid w:val="008D5EE8"/>
    <w:rsid w:val="008D6289"/>
    <w:rsid w:val="008D69F9"/>
    <w:rsid w:val="008E05B3"/>
    <w:rsid w:val="008E0AFA"/>
    <w:rsid w:val="008E18ED"/>
    <w:rsid w:val="008E3FA2"/>
    <w:rsid w:val="008E4C6E"/>
    <w:rsid w:val="008E6A2D"/>
    <w:rsid w:val="008E7061"/>
    <w:rsid w:val="008E7417"/>
    <w:rsid w:val="008F08E6"/>
    <w:rsid w:val="008F1427"/>
    <w:rsid w:val="008F1E0A"/>
    <w:rsid w:val="008F2106"/>
    <w:rsid w:val="008F368D"/>
    <w:rsid w:val="008F523A"/>
    <w:rsid w:val="008F5303"/>
    <w:rsid w:val="008F5FF2"/>
    <w:rsid w:val="008F6730"/>
    <w:rsid w:val="008F7BB6"/>
    <w:rsid w:val="00905102"/>
    <w:rsid w:val="009059A1"/>
    <w:rsid w:val="00905E2C"/>
    <w:rsid w:val="009114E0"/>
    <w:rsid w:val="009122E9"/>
    <w:rsid w:val="00913277"/>
    <w:rsid w:val="00914D93"/>
    <w:rsid w:val="00915FC7"/>
    <w:rsid w:val="00916EA2"/>
    <w:rsid w:val="009175BE"/>
    <w:rsid w:val="00917D32"/>
    <w:rsid w:val="0092006D"/>
    <w:rsid w:val="009203BB"/>
    <w:rsid w:val="00920F0E"/>
    <w:rsid w:val="00922ECD"/>
    <w:rsid w:val="009236C4"/>
    <w:rsid w:val="00923FD5"/>
    <w:rsid w:val="00924A10"/>
    <w:rsid w:val="00926891"/>
    <w:rsid w:val="009301E3"/>
    <w:rsid w:val="009328E7"/>
    <w:rsid w:val="00934CFE"/>
    <w:rsid w:val="00935A45"/>
    <w:rsid w:val="0093615E"/>
    <w:rsid w:val="00936758"/>
    <w:rsid w:val="0093718F"/>
    <w:rsid w:val="00940F19"/>
    <w:rsid w:val="009416B9"/>
    <w:rsid w:val="00941FC9"/>
    <w:rsid w:val="00942600"/>
    <w:rsid w:val="00942B81"/>
    <w:rsid w:val="00943313"/>
    <w:rsid w:val="0094460B"/>
    <w:rsid w:val="009449D2"/>
    <w:rsid w:val="0094548E"/>
    <w:rsid w:val="009458DD"/>
    <w:rsid w:val="0094595F"/>
    <w:rsid w:val="00946AFA"/>
    <w:rsid w:val="009500C0"/>
    <w:rsid w:val="00951092"/>
    <w:rsid w:val="00951E78"/>
    <w:rsid w:val="009522A3"/>
    <w:rsid w:val="00952913"/>
    <w:rsid w:val="00953527"/>
    <w:rsid w:val="009538DA"/>
    <w:rsid w:val="00953BD2"/>
    <w:rsid w:val="009544AC"/>
    <w:rsid w:val="00954BF4"/>
    <w:rsid w:val="0095634D"/>
    <w:rsid w:val="00957DE6"/>
    <w:rsid w:val="009610CE"/>
    <w:rsid w:val="00961750"/>
    <w:rsid w:val="009622D5"/>
    <w:rsid w:val="00962E61"/>
    <w:rsid w:val="00963D5A"/>
    <w:rsid w:val="00965828"/>
    <w:rsid w:val="0096592B"/>
    <w:rsid w:val="00965B07"/>
    <w:rsid w:val="00967011"/>
    <w:rsid w:val="0097051E"/>
    <w:rsid w:val="00970625"/>
    <w:rsid w:val="00970A35"/>
    <w:rsid w:val="00970D92"/>
    <w:rsid w:val="00975391"/>
    <w:rsid w:val="009754A1"/>
    <w:rsid w:val="0097637E"/>
    <w:rsid w:val="00976633"/>
    <w:rsid w:val="00981708"/>
    <w:rsid w:val="009823D3"/>
    <w:rsid w:val="00982503"/>
    <w:rsid w:val="00982ECE"/>
    <w:rsid w:val="00982F3F"/>
    <w:rsid w:val="00983B2F"/>
    <w:rsid w:val="009859A7"/>
    <w:rsid w:val="00985AC5"/>
    <w:rsid w:val="00985EA9"/>
    <w:rsid w:val="009869A3"/>
    <w:rsid w:val="00987364"/>
    <w:rsid w:val="009873B0"/>
    <w:rsid w:val="00992E6F"/>
    <w:rsid w:val="0099315B"/>
    <w:rsid w:val="00993911"/>
    <w:rsid w:val="00993DB9"/>
    <w:rsid w:val="00994807"/>
    <w:rsid w:val="00995020"/>
    <w:rsid w:val="0099631F"/>
    <w:rsid w:val="0099705B"/>
    <w:rsid w:val="00997507"/>
    <w:rsid w:val="009A02F5"/>
    <w:rsid w:val="009A099C"/>
    <w:rsid w:val="009A1484"/>
    <w:rsid w:val="009A37BF"/>
    <w:rsid w:val="009A403C"/>
    <w:rsid w:val="009A417F"/>
    <w:rsid w:val="009A61B2"/>
    <w:rsid w:val="009A65F4"/>
    <w:rsid w:val="009A69C0"/>
    <w:rsid w:val="009B0CBB"/>
    <w:rsid w:val="009B0D99"/>
    <w:rsid w:val="009B1893"/>
    <w:rsid w:val="009B1A16"/>
    <w:rsid w:val="009B4B74"/>
    <w:rsid w:val="009B5CCB"/>
    <w:rsid w:val="009B66E0"/>
    <w:rsid w:val="009B67E5"/>
    <w:rsid w:val="009B6F98"/>
    <w:rsid w:val="009C09F8"/>
    <w:rsid w:val="009C18A1"/>
    <w:rsid w:val="009C1FED"/>
    <w:rsid w:val="009C2040"/>
    <w:rsid w:val="009C3C83"/>
    <w:rsid w:val="009C4D60"/>
    <w:rsid w:val="009C5236"/>
    <w:rsid w:val="009C54F0"/>
    <w:rsid w:val="009C5F6A"/>
    <w:rsid w:val="009C6E8A"/>
    <w:rsid w:val="009C79F4"/>
    <w:rsid w:val="009C7F10"/>
    <w:rsid w:val="009D0B25"/>
    <w:rsid w:val="009D0CDD"/>
    <w:rsid w:val="009D0E8F"/>
    <w:rsid w:val="009D1426"/>
    <w:rsid w:val="009D1ECB"/>
    <w:rsid w:val="009D212C"/>
    <w:rsid w:val="009D2F1B"/>
    <w:rsid w:val="009D5E58"/>
    <w:rsid w:val="009D6016"/>
    <w:rsid w:val="009D60C3"/>
    <w:rsid w:val="009D731F"/>
    <w:rsid w:val="009E0642"/>
    <w:rsid w:val="009E13DC"/>
    <w:rsid w:val="009E1FF3"/>
    <w:rsid w:val="009E2072"/>
    <w:rsid w:val="009E2DA6"/>
    <w:rsid w:val="009E534E"/>
    <w:rsid w:val="009E5728"/>
    <w:rsid w:val="009E5AC6"/>
    <w:rsid w:val="009E602F"/>
    <w:rsid w:val="009E6AAA"/>
    <w:rsid w:val="009E72BA"/>
    <w:rsid w:val="009F355B"/>
    <w:rsid w:val="009F41F0"/>
    <w:rsid w:val="009F4CD6"/>
    <w:rsid w:val="009F55DB"/>
    <w:rsid w:val="009F602C"/>
    <w:rsid w:val="009F6A39"/>
    <w:rsid w:val="009F6EC6"/>
    <w:rsid w:val="009F7DA2"/>
    <w:rsid w:val="00A00D72"/>
    <w:rsid w:val="00A023C4"/>
    <w:rsid w:val="00A0595F"/>
    <w:rsid w:val="00A05AB5"/>
    <w:rsid w:val="00A10163"/>
    <w:rsid w:val="00A12267"/>
    <w:rsid w:val="00A122D4"/>
    <w:rsid w:val="00A12A48"/>
    <w:rsid w:val="00A13206"/>
    <w:rsid w:val="00A13715"/>
    <w:rsid w:val="00A1375C"/>
    <w:rsid w:val="00A13815"/>
    <w:rsid w:val="00A13AA8"/>
    <w:rsid w:val="00A143D3"/>
    <w:rsid w:val="00A14B51"/>
    <w:rsid w:val="00A157D0"/>
    <w:rsid w:val="00A15E8D"/>
    <w:rsid w:val="00A165B6"/>
    <w:rsid w:val="00A207D9"/>
    <w:rsid w:val="00A234DA"/>
    <w:rsid w:val="00A239A0"/>
    <w:rsid w:val="00A250DB"/>
    <w:rsid w:val="00A25DA0"/>
    <w:rsid w:val="00A26587"/>
    <w:rsid w:val="00A26F22"/>
    <w:rsid w:val="00A301F5"/>
    <w:rsid w:val="00A31CAE"/>
    <w:rsid w:val="00A3330F"/>
    <w:rsid w:val="00A338B9"/>
    <w:rsid w:val="00A353D3"/>
    <w:rsid w:val="00A373A5"/>
    <w:rsid w:val="00A406AD"/>
    <w:rsid w:val="00A414A6"/>
    <w:rsid w:val="00A4438E"/>
    <w:rsid w:val="00A4536B"/>
    <w:rsid w:val="00A471B7"/>
    <w:rsid w:val="00A51C58"/>
    <w:rsid w:val="00A52002"/>
    <w:rsid w:val="00A526E0"/>
    <w:rsid w:val="00A52ED7"/>
    <w:rsid w:val="00A53490"/>
    <w:rsid w:val="00A55F00"/>
    <w:rsid w:val="00A562D7"/>
    <w:rsid w:val="00A611D1"/>
    <w:rsid w:val="00A6398B"/>
    <w:rsid w:val="00A6506A"/>
    <w:rsid w:val="00A66C10"/>
    <w:rsid w:val="00A709A8"/>
    <w:rsid w:val="00A70FD1"/>
    <w:rsid w:val="00A70FD9"/>
    <w:rsid w:val="00A713B2"/>
    <w:rsid w:val="00A72706"/>
    <w:rsid w:val="00A746C8"/>
    <w:rsid w:val="00A75B3A"/>
    <w:rsid w:val="00A77AAB"/>
    <w:rsid w:val="00A80C19"/>
    <w:rsid w:val="00A81D77"/>
    <w:rsid w:val="00A82398"/>
    <w:rsid w:val="00A84259"/>
    <w:rsid w:val="00A86394"/>
    <w:rsid w:val="00A86DC8"/>
    <w:rsid w:val="00A8709D"/>
    <w:rsid w:val="00A87709"/>
    <w:rsid w:val="00A879F9"/>
    <w:rsid w:val="00A90900"/>
    <w:rsid w:val="00A9163E"/>
    <w:rsid w:val="00A91F59"/>
    <w:rsid w:val="00A93D1E"/>
    <w:rsid w:val="00A94AE9"/>
    <w:rsid w:val="00A9577C"/>
    <w:rsid w:val="00A95A81"/>
    <w:rsid w:val="00A961A5"/>
    <w:rsid w:val="00A96DFB"/>
    <w:rsid w:val="00AA0641"/>
    <w:rsid w:val="00AA230F"/>
    <w:rsid w:val="00AA267D"/>
    <w:rsid w:val="00AA27C6"/>
    <w:rsid w:val="00AA2DC4"/>
    <w:rsid w:val="00AA3B37"/>
    <w:rsid w:val="00AA4124"/>
    <w:rsid w:val="00AA423E"/>
    <w:rsid w:val="00AA50EF"/>
    <w:rsid w:val="00AA6D51"/>
    <w:rsid w:val="00AB0567"/>
    <w:rsid w:val="00AB09B7"/>
    <w:rsid w:val="00AB1BFC"/>
    <w:rsid w:val="00AB1E6B"/>
    <w:rsid w:val="00AB2BE0"/>
    <w:rsid w:val="00AB2E59"/>
    <w:rsid w:val="00AB310C"/>
    <w:rsid w:val="00AB3113"/>
    <w:rsid w:val="00AB439F"/>
    <w:rsid w:val="00AB46A7"/>
    <w:rsid w:val="00AB48EA"/>
    <w:rsid w:val="00AB4C9F"/>
    <w:rsid w:val="00AB4FF0"/>
    <w:rsid w:val="00AB523D"/>
    <w:rsid w:val="00AB539B"/>
    <w:rsid w:val="00AB5F4A"/>
    <w:rsid w:val="00AB6F8B"/>
    <w:rsid w:val="00AB7A15"/>
    <w:rsid w:val="00AC067E"/>
    <w:rsid w:val="00AC06D9"/>
    <w:rsid w:val="00AC08C7"/>
    <w:rsid w:val="00AC0A33"/>
    <w:rsid w:val="00AC1C23"/>
    <w:rsid w:val="00AC2A1C"/>
    <w:rsid w:val="00AC2BB9"/>
    <w:rsid w:val="00AC48F8"/>
    <w:rsid w:val="00AC5DA7"/>
    <w:rsid w:val="00AC643A"/>
    <w:rsid w:val="00AD1528"/>
    <w:rsid w:val="00AD2B43"/>
    <w:rsid w:val="00AD4AEA"/>
    <w:rsid w:val="00AD4ED2"/>
    <w:rsid w:val="00AD5A3F"/>
    <w:rsid w:val="00AD6158"/>
    <w:rsid w:val="00AD75AD"/>
    <w:rsid w:val="00AD774F"/>
    <w:rsid w:val="00AD77F2"/>
    <w:rsid w:val="00AE076C"/>
    <w:rsid w:val="00AE23C9"/>
    <w:rsid w:val="00AE25AC"/>
    <w:rsid w:val="00AE28A4"/>
    <w:rsid w:val="00AE3207"/>
    <w:rsid w:val="00AE4EBD"/>
    <w:rsid w:val="00AE57E0"/>
    <w:rsid w:val="00AE6740"/>
    <w:rsid w:val="00AF4282"/>
    <w:rsid w:val="00AF488C"/>
    <w:rsid w:val="00AF5126"/>
    <w:rsid w:val="00AF7C4F"/>
    <w:rsid w:val="00B00776"/>
    <w:rsid w:val="00B011A6"/>
    <w:rsid w:val="00B0121F"/>
    <w:rsid w:val="00B027D5"/>
    <w:rsid w:val="00B070A9"/>
    <w:rsid w:val="00B07DCA"/>
    <w:rsid w:val="00B12A34"/>
    <w:rsid w:val="00B14BAA"/>
    <w:rsid w:val="00B1568A"/>
    <w:rsid w:val="00B15DB3"/>
    <w:rsid w:val="00B1723B"/>
    <w:rsid w:val="00B20D14"/>
    <w:rsid w:val="00B21E2A"/>
    <w:rsid w:val="00B22BFA"/>
    <w:rsid w:val="00B231DD"/>
    <w:rsid w:val="00B23F82"/>
    <w:rsid w:val="00B2459F"/>
    <w:rsid w:val="00B24D17"/>
    <w:rsid w:val="00B251CF"/>
    <w:rsid w:val="00B2571B"/>
    <w:rsid w:val="00B25BB0"/>
    <w:rsid w:val="00B25C80"/>
    <w:rsid w:val="00B27496"/>
    <w:rsid w:val="00B27C74"/>
    <w:rsid w:val="00B30310"/>
    <w:rsid w:val="00B303FE"/>
    <w:rsid w:val="00B30B20"/>
    <w:rsid w:val="00B30C3C"/>
    <w:rsid w:val="00B313CB"/>
    <w:rsid w:val="00B3206D"/>
    <w:rsid w:val="00B32495"/>
    <w:rsid w:val="00B326FF"/>
    <w:rsid w:val="00B32B69"/>
    <w:rsid w:val="00B32FB6"/>
    <w:rsid w:val="00B3329E"/>
    <w:rsid w:val="00B351FF"/>
    <w:rsid w:val="00B35610"/>
    <w:rsid w:val="00B36CDF"/>
    <w:rsid w:val="00B36FE5"/>
    <w:rsid w:val="00B3775A"/>
    <w:rsid w:val="00B41419"/>
    <w:rsid w:val="00B41815"/>
    <w:rsid w:val="00B42C48"/>
    <w:rsid w:val="00B4570A"/>
    <w:rsid w:val="00B4574F"/>
    <w:rsid w:val="00B50327"/>
    <w:rsid w:val="00B50E6B"/>
    <w:rsid w:val="00B51184"/>
    <w:rsid w:val="00B52486"/>
    <w:rsid w:val="00B5406D"/>
    <w:rsid w:val="00B54FB5"/>
    <w:rsid w:val="00B558DA"/>
    <w:rsid w:val="00B5692B"/>
    <w:rsid w:val="00B570B0"/>
    <w:rsid w:val="00B6159A"/>
    <w:rsid w:val="00B61AAF"/>
    <w:rsid w:val="00B61BE7"/>
    <w:rsid w:val="00B6362F"/>
    <w:rsid w:val="00B63985"/>
    <w:rsid w:val="00B64567"/>
    <w:rsid w:val="00B64CBB"/>
    <w:rsid w:val="00B65A85"/>
    <w:rsid w:val="00B66475"/>
    <w:rsid w:val="00B66BF4"/>
    <w:rsid w:val="00B671A3"/>
    <w:rsid w:val="00B676FA"/>
    <w:rsid w:val="00B67E8C"/>
    <w:rsid w:val="00B702D2"/>
    <w:rsid w:val="00B70FB9"/>
    <w:rsid w:val="00B71850"/>
    <w:rsid w:val="00B726D8"/>
    <w:rsid w:val="00B72C8E"/>
    <w:rsid w:val="00B7556C"/>
    <w:rsid w:val="00B761A3"/>
    <w:rsid w:val="00B76748"/>
    <w:rsid w:val="00B76A0E"/>
    <w:rsid w:val="00B77D4C"/>
    <w:rsid w:val="00B77D58"/>
    <w:rsid w:val="00B81162"/>
    <w:rsid w:val="00B83A38"/>
    <w:rsid w:val="00B844EB"/>
    <w:rsid w:val="00B85BEE"/>
    <w:rsid w:val="00B86789"/>
    <w:rsid w:val="00B877BA"/>
    <w:rsid w:val="00B87FE6"/>
    <w:rsid w:val="00B90156"/>
    <w:rsid w:val="00B91CD6"/>
    <w:rsid w:val="00B92D83"/>
    <w:rsid w:val="00B9375D"/>
    <w:rsid w:val="00B953D1"/>
    <w:rsid w:val="00B9583F"/>
    <w:rsid w:val="00B96E81"/>
    <w:rsid w:val="00B97814"/>
    <w:rsid w:val="00BA011B"/>
    <w:rsid w:val="00BA0F9D"/>
    <w:rsid w:val="00BA0FF1"/>
    <w:rsid w:val="00BA3FE3"/>
    <w:rsid w:val="00BA469B"/>
    <w:rsid w:val="00BA4E2B"/>
    <w:rsid w:val="00BA550B"/>
    <w:rsid w:val="00BA5AE7"/>
    <w:rsid w:val="00BA7235"/>
    <w:rsid w:val="00BB0017"/>
    <w:rsid w:val="00BB00D1"/>
    <w:rsid w:val="00BB042E"/>
    <w:rsid w:val="00BB0A3F"/>
    <w:rsid w:val="00BB0F4B"/>
    <w:rsid w:val="00BB20E9"/>
    <w:rsid w:val="00BB24D1"/>
    <w:rsid w:val="00BB2741"/>
    <w:rsid w:val="00BB405E"/>
    <w:rsid w:val="00BB4313"/>
    <w:rsid w:val="00BB514B"/>
    <w:rsid w:val="00BB6C9B"/>
    <w:rsid w:val="00BC2829"/>
    <w:rsid w:val="00BC3B21"/>
    <w:rsid w:val="00BC3F54"/>
    <w:rsid w:val="00BC63A5"/>
    <w:rsid w:val="00BC6FCF"/>
    <w:rsid w:val="00BC754A"/>
    <w:rsid w:val="00BD04D6"/>
    <w:rsid w:val="00BD0FBD"/>
    <w:rsid w:val="00BD25C1"/>
    <w:rsid w:val="00BD294C"/>
    <w:rsid w:val="00BD49F5"/>
    <w:rsid w:val="00BD7272"/>
    <w:rsid w:val="00BE08D7"/>
    <w:rsid w:val="00BE162E"/>
    <w:rsid w:val="00BE18DD"/>
    <w:rsid w:val="00BE34E6"/>
    <w:rsid w:val="00BE3C4B"/>
    <w:rsid w:val="00BE3E45"/>
    <w:rsid w:val="00BE4552"/>
    <w:rsid w:val="00BE79E4"/>
    <w:rsid w:val="00BF374F"/>
    <w:rsid w:val="00BF39C7"/>
    <w:rsid w:val="00BF5291"/>
    <w:rsid w:val="00BF5979"/>
    <w:rsid w:val="00C0078D"/>
    <w:rsid w:val="00C0092F"/>
    <w:rsid w:val="00C01B3E"/>
    <w:rsid w:val="00C02328"/>
    <w:rsid w:val="00C027BC"/>
    <w:rsid w:val="00C032C2"/>
    <w:rsid w:val="00C033E2"/>
    <w:rsid w:val="00C046C1"/>
    <w:rsid w:val="00C04AA8"/>
    <w:rsid w:val="00C06F6F"/>
    <w:rsid w:val="00C078F6"/>
    <w:rsid w:val="00C07C14"/>
    <w:rsid w:val="00C10035"/>
    <w:rsid w:val="00C1015B"/>
    <w:rsid w:val="00C12147"/>
    <w:rsid w:val="00C145BC"/>
    <w:rsid w:val="00C15528"/>
    <w:rsid w:val="00C212D8"/>
    <w:rsid w:val="00C249C1"/>
    <w:rsid w:val="00C255CD"/>
    <w:rsid w:val="00C25E00"/>
    <w:rsid w:val="00C2600B"/>
    <w:rsid w:val="00C265AE"/>
    <w:rsid w:val="00C30573"/>
    <w:rsid w:val="00C30FCB"/>
    <w:rsid w:val="00C31422"/>
    <w:rsid w:val="00C31A45"/>
    <w:rsid w:val="00C32719"/>
    <w:rsid w:val="00C327B4"/>
    <w:rsid w:val="00C3376F"/>
    <w:rsid w:val="00C34075"/>
    <w:rsid w:val="00C340D1"/>
    <w:rsid w:val="00C343B4"/>
    <w:rsid w:val="00C34A32"/>
    <w:rsid w:val="00C351C9"/>
    <w:rsid w:val="00C35C07"/>
    <w:rsid w:val="00C373B6"/>
    <w:rsid w:val="00C37DF6"/>
    <w:rsid w:val="00C4063D"/>
    <w:rsid w:val="00C412B3"/>
    <w:rsid w:val="00C41921"/>
    <w:rsid w:val="00C42982"/>
    <w:rsid w:val="00C44136"/>
    <w:rsid w:val="00C51DEB"/>
    <w:rsid w:val="00C53FFF"/>
    <w:rsid w:val="00C54DE4"/>
    <w:rsid w:val="00C55440"/>
    <w:rsid w:val="00C56F9A"/>
    <w:rsid w:val="00C57A48"/>
    <w:rsid w:val="00C60549"/>
    <w:rsid w:val="00C60E4C"/>
    <w:rsid w:val="00C611CE"/>
    <w:rsid w:val="00C61DF8"/>
    <w:rsid w:val="00C62DC8"/>
    <w:rsid w:val="00C6315D"/>
    <w:rsid w:val="00C635EC"/>
    <w:rsid w:val="00C65582"/>
    <w:rsid w:val="00C657FD"/>
    <w:rsid w:val="00C67BBA"/>
    <w:rsid w:val="00C71782"/>
    <w:rsid w:val="00C71A6B"/>
    <w:rsid w:val="00C71ECC"/>
    <w:rsid w:val="00C7318B"/>
    <w:rsid w:val="00C7401B"/>
    <w:rsid w:val="00C80BBE"/>
    <w:rsid w:val="00C81A16"/>
    <w:rsid w:val="00C81AEA"/>
    <w:rsid w:val="00C82368"/>
    <w:rsid w:val="00C83B70"/>
    <w:rsid w:val="00C86AB1"/>
    <w:rsid w:val="00C913C7"/>
    <w:rsid w:val="00C928AB"/>
    <w:rsid w:val="00C92B28"/>
    <w:rsid w:val="00C93A99"/>
    <w:rsid w:val="00C93C5B"/>
    <w:rsid w:val="00C951B9"/>
    <w:rsid w:val="00C96AB9"/>
    <w:rsid w:val="00C96E65"/>
    <w:rsid w:val="00C978CD"/>
    <w:rsid w:val="00CA0446"/>
    <w:rsid w:val="00CA132A"/>
    <w:rsid w:val="00CA1F58"/>
    <w:rsid w:val="00CA2F51"/>
    <w:rsid w:val="00CA339E"/>
    <w:rsid w:val="00CA37DF"/>
    <w:rsid w:val="00CA55FD"/>
    <w:rsid w:val="00CA5C18"/>
    <w:rsid w:val="00CA5D6D"/>
    <w:rsid w:val="00CA6680"/>
    <w:rsid w:val="00CA6E04"/>
    <w:rsid w:val="00CB0B73"/>
    <w:rsid w:val="00CB1114"/>
    <w:rsid w:val="00CB4344"/>
    <w:rsid w:val="00CB585D"/>
    <w:rsid w:val="00CB6B23"/>
    <w:rsid w:val="00CC0E70"/>
    <w:rsid w:val="00CC3F6C"/>
    <w:rsid w:val="00CC71E6"/>
    <w:rsid w:val="00CD08F4"/>
    <w:rsid w:val="00CD09AB"/>
    <w:rsid w:val="00CD0F4A"/>
    <w:rsid w:val="00CD2017"/>
    <w:rsid w:val="00CD2425"/>
    <w:rsid w:val="00CD3B98"/>
    <w:rsid w:val="00CD43F9"/>
    <w:rsid w:val="00CD4A3A"/>
    <w:rsid w:val="00CD520D"/>
    <w:rsid w:val="00CD5FC4"/>
    <w:rsid w:val="00CD6175"/>
    <w:rsid w:val="00CD6230"/>
    <w:rsid w:val="00CD68E5"/>
    <w:rsid w:val="00CD74C4"/>
    <w:rsid w:val="00CE35BD"/>
    <w:rsid w:val="00CE6B57"/>
    <w:rsid w:val="00CF0583"/>
    <w:rsid w:val="00CF0D90"/>
    <w:rsid w:val="00CF1C78"/>
    <w:rsid w:val="00CF3C96"/>
    <w:rsid w:val="00CF569B"/>
    <w:rsid w:val="00CF7426"/>
    <w:rsid w:val="00D0196E"/>
    <w:rsid w:val="00D01F17"/>
    <w:rsid w:val="00D01F34"/>
    <w:rsid w:val="00D02561"/>
    <w:rsid w:val="00D02DF5"/>
    <w:rsid w:val="00D04834"/>
    <w:rsid w:val="00D05F8F"/>
    <w:rsid w:val="00D0669C"/>
    <w:rsid w:val="00D07BB8"/>
    <w:rsid w:val="00D10836"/>
    <w:rsid w:val="00D11A95"/>
    <w:rsid w:val="00D139B1"/>
    <w:rsid w:val="00D14316"/>
    <w:rsid w:val="00D14378"/>
    <w:rsid w:val="00D16F14"/>
    <w:rsid w:val="00D17AB1"/>
    <w:rsid w:val="00D203E6"/>
    <w:rsid w:val="00D20A6B"/>
    <w:rsid w:val="00D22A0E"/>
    <w:rsid w:val="00D246B1"/>
    <w:rsid w:val="00D26C86"/>
    <w:rsid w:val="00D300B6"/>
    <w:rsid w:val="00D31089"/>
    <w:rsid w:val="00D310B4"/>
    <w:rsid w:val="00D32E9F"/>
    <w:rsid w:val="00D33967"/>
    <w:rsid w:val="00D33B8B"/>
    <w:rsid w:val="00D34F12"/>
    <w:rsid w:val="00D37213"/>
    <w:rsid w:val="00D37286"/>
    <w:rsid w:val="00D37872"/>
    <w:rsid w:val="00D37CB8"/>
    <w:rsid w:val="00D40A47"/>
    <w:rsid w:val="00D42EE5"/>
    <w:rsid w:val="00D46F6F"/>
    <w:rsid w:val="00D47018"/>
    <w:rsid w:val="00D4791D"/>
    <w:rsid w:val="00D47DD9"/>
    <w:rsid w:val="00D5067E"/>
    <w:rsid w:val="00D511DF"/>
    <w:rsid w:val="00D52475"/>
    <w:rsid w:val="00D52611"/>
    <w:rsid w:val="00D52BFE"/>
    <w:rsid w:val="00D53542"/>
    <w:rsid w:val="00D5414D"/>
    <w:rsid w:val="00D55BCA"/>
    <w:rsid w:val="00D568D8"/>
    <w:rsid w:val="00D56BCF"/>
    <w:rsid w:val="00D57385"/>
    <w:rsid w:val="00D57DBF"/>
    <w:rsid w:val="00D611E5"/>
    <w:rsid w:val="00D63764"/>
    <w:rsid w:val="00D63B33"/>
    <w:rsid w:val="00D64500"/>
    <w:rsid w:val="00D67213"/>
    <w:rsid w:val="00D67854"/>
    <w:rsid w:val="00D71AAA"/>
    <w:rsid w:val="00D71B3C"/>
    <w:rsid w:val="00D72646"/>
    <w:rsid w:val="00D7297E"/>
    <w:rsid w:val="00D729DF"/>
    <w:rsid w:val="00D73085"/>
    <w:rsid w:val="00D7329A"/>
    <w:rsid w:val="00D73532"/>
    <w:rsid w:val="00D736B8"/>
    <w:rsid w:val="00D73A46"/>
    <w:rsid w:val="00D73FAB"/>
    <w:rsid w:val="00D74D85"/>
    <w:rsid w:val="00D750CE"/>
    <w:rsid w:val="00D75655"/>
    <w:rsid w:val="00D7595E"/>
    <w:rsid w:val="00D800D2"/>
    <w:rsid w:val="00D82160"/>
    <w:rsid w:val="00D8271D"/>
    <w:rsid w:val="00D82801"/>
    <w:rsid w:val="00D82FEC"/>
    <w:rsid w:val="00D84911"/>
    <w:rsid w:val="00D84C89"/>
    <w:rsid w:val="00D85A2C"/>
    <w:rsid w:val="00D8781E"/>
    <w:rsid w:val="00D905EC"/>
    <w:rsid w:val="00D90E43"/>
    <w:rsid w:val="00D95BBE"/>
    <w:rsid w:val="00D9714C"/>
    <w:rsid w:val="00D97454"/>
    <w:rsid w:val="00DA0CEE"/>
    <w:rsid w:val="00DA1612"/>
    <w:rsid w:val="00DA22A9"/>
    <w:rsid w:val="00DA2C8D"/>
    <w:rsid w:val="00DA2ECA"/>
    <w:rsid w:val="00DA43B6"/>
    <w:rsid w:val="00DA49CC"/>
    <w:rsid w:val="00DA6D74"/>
    <w:rsid w:val="00DA7665"/>
    <w:rsid w:val="00DB0B4F"/>
    <w:rsid w:val="00DB0F43"/>
    <w:rsid w:val="00DB0FF9"/>
    <w:rsid w:val="00DB1AA6"/>
    <w:rsid w:val="00DB1FA5"/>
    <w:rsid w:val="00DB24D0"/>
    <w:rsid w:val="00DB32BE"/>
    <w:rsid w:val="00DB3B17"/>
    <w:rsid w:val="00DB60D7"/>
    <w:rsid w:val="00DB669F"/>
    <w:rsid w:val="00DB7488"/>
    <w:rsid w:val="00DB75CB"/>
    <w:rsid w:val="00DB7890"/>
    <w:rsid w:val="00DB7F33"/>
    <w:rsid w:val="00DC06BA"/>
    <w:rsid w:val="00DC0B1A"/>
    <w:rsid w:val="00DC29B8"/>
    <w:rsid w:val="00DC312D"/>
    <w:rsid w:val="00DC3779"/>
    <w:rsid w:val="00DC4230"/>
    <w:rsid w:val="00DC6373"/>
    <w:rsid w:val="00DC7272"/>
    <w:rsid w:val="00DD0CE1"/>
    <w:rsid w:val="00DD31E0"/>
    <w:rsid w:val="00DD3719"/>
    <w:rsid w:val="00DD3809"/>
    <w:rsid w:val="00DD473E"/>
    <w:rsid w:val="00DD50A3"/>
    <w:rsid w:val="00DD6DE1"/>
    <w:rsid w:val="00DD7088"/>
    <w:rsid w:val="00DD7095"/>
    <w:rsid w:val="00DD7522"/>
    <w:rsid w:val="00DE021E"/>
    <w:rsid w:val="00DE0E10"/>
    <w:rsid w:val="00DE16FC"/>
    <w:rsid w:val="00DE1E42"/>
    <w:rsid w:val="00DE366A"/>
    <w:rsid w:val="00DE4110"/>
    <w:rsid w:val="00DE4522"/>
    <w:rsid w:val="00DE647D"/>
    <w:rsid w:val="00DF0D9F"/>
    <w:rsid w:val="00DF130A"/>
    <w:rsid w:val="00DF19C1"/>
    <w:rsid w:val="00DF36BC"/>
    <w:rsid w:val="00DF387C"/>
    <w:rsid w:val="00DF4996"/>
    <w:rsid w:val="00DF4A52"/>
    <w:rsid w:val="00DF5CBB"/>
    <w:rsid w:val="00DF6A7B"/>
    <w:rsid w:val="00DF726C"/>
    <w:rsid w:val="00DF747F"/>
    <w:rsid w:val="00DF77DE"/>
    <w:rsid w:val="00E0073C"/>
    <w:rsid w:val="00E0126D"/>
    <w:rsid w:val="00E02FD0"/>
    <w:rsid w:val="00E030A8"/>
    <w:rsid w:val="00E07CC0"/>
    <w:rsid w:val="00E1128C"/>
    <w:rsid w:val="00E112B8"/>
    <w:rsid w:val="00E12532"/>
    <w:rsid w:val="00E12D0C"/>
    <w:rsid w:val="00E12FE6"/>
    <w:rsid w:val="00E13708"/>
    <w:rsid w:val="00E1402A"/>
    <w:rsid w:val="00E1513B"/>
    <w:rsid w:val="00E16BE7"/>
    <w:rsid w:val="00E17FC0"/>
    <w:rsid w:val="00E201B8"/>
    <w:rsid w:val="00E21163"/>
    <w:rsid w:val="00E21184"/>
    <w:rsid w:val="00E22619"/>
    <w:rsid w:val="00E2281B"/>
    <w:rsid w:val="00E23311"/>
    <w:rsid w:val="00E23B33"/>
    <w:rsid w:val="00E24A6D"/>
    <w:rsid w:val="00E24DE2"/>
    <w:rsid w:val="00E25C74"/>
    <w:rsid w:val="00E30BC8"/>
    <w:rsid w:val="00E3253A"/>
    <w:rsid w:val="00E35803"/>
    <w:rsid w:val="00E35ACF"/>
    <w:rsid w:val="00E43437"/>
    <w:rsid w:val="00E457A8"/>
    <w:rsid w:val="00E46C76"/>
    <w:rsid w:val="00E50EC6"/>
    <w:rsid w:val="00E54C4D"/>
    <w:rsid w:val="00E54DA8"/>
    <w:rsid w:val="00E559A7"/>
    <w:rsid w:val="00E55A3D"/>
    <w:rsid w:val="00E56506"/>
    <w:rsid w:val="00E57E03"/>
    <w:rsid w:val="00E6109F"/>
    <w:rsid w:val="00E621F8"/>
    <w:rsid w:val="00E62978"/>
    <w:rsid w:val="00E64FAB"/>
    <w:rsid w:val="00E65EB9"/>
    <w:rsid w:val="00E66AED"/>
    <w:rsid w:val="00E67722"/>
    <w:rsid w:val="00E7122A"/>
    <w:rsid w:val="00E71B2A"/>
    <w:rsid w:val="00E74B86"/>
    <w:rsid w:val="00E751E3"/>
    <w:rsid w:val="00E82C47"/>
    <w:rsid w:val="00E832B7"/>
    <w:rsid w:val="00E846E4"/>
    <w:rsid w:val="00E84DAB"/>
    <w:rsid w:val="00E84EC2"/>
    <w:rsid w:val="00E8697F"/>
    <w:rsid w:val="00E86E3F"/>
    <w:rsid w:val="00E87A11"/>
    <w:rsid w:val="00E908B8"/>
    <w:rsid w:val="00E90CC6"/>
    <w:rsid w:val="00E90EAF"/>
    <w:rsid w:val="00E94899"/>
    <w:rsid w:val="00E95971"/>
    <w:rsid w:val="00E96EF7"/>
    <w:rsid w:val="00E977A1"/>
    <w:rsid w:val="00EA1087"/>
    <w:rsid w:val="00EA11A4"/>
    <w:rsid w:val="00EA14D1"/>
    <w:rsid w:val="00EA249D"/>
    <w:rsid w:val="00EA49DA"/>
    <w:rsid w:val="00EA6291"/>
    <w:rsid w:val="00EA7621"/>
    <w:rsid w:val="00EA7933"/>
    <w:rsid w:val="00EB1880"/>
    <w:rsid w:val="00EB245F"/>
    <w:rsid w:val="00EB2F53"/>
    <w:rsid w:val="00EB50A9"/>
    <w:rsid w:val="00EC220E"/>
    <w:rsid w:val="00EC22DC"/>
    <w:rsid w:val="00EC40F0"/>
    <w:rsid w:val="00EC41DF"/>
    <w:rsid w:val="00EC4756"/>
    <w:rsid w:val="00EC5644"/>
    <w:rsid w:val="00EC62CB"/>
    <w:rsid w:val="00EC6491"/>
    <w:rsid w:val="00EC7C14"/>
    <w:rsid w:val="00ED07D7"/>
    <w:rsid w:val="00ED1DCB"/>
    <w:rsid w:val="00ED23B2"/>
    <w:rsid w:val="00ED2447"/>
    <w:rsid w:val="00ED35F1"/>
    <w:rsid w:val="00ED5B6F"/>
    <w:rsid w:val="00ED5CBA"/>
    <w:rsid w:val="00ED6777"/>
    <w:rsid w:val="00EE124F"/>
    <w:rsid w:val="00EE26B1"/>
    <w:rsid w:val="00EE283A"/>
    <w:rsid w:val="00EE2C37"/>
    <w:rsid w:val="00EE3A94"/>
    <w:rsid w:val="00EE42B9"/>
    <w:rsid w:val="00EE5715"/>
    <w:rsid w:val="00EE5877"/>
    <w:rsid w:val="00EE62B0"/>
    <w:rsid w:val="00EE7103"/>
    <w:rsid w:val="00EF0B9D"/>
    <w:rsid w:val="00EF2505"/>
    <w:rsid w:val="00EF29E8"/>
    <w:rsid w:val="00EF2DED"/>
    <w:rsid w:val="00EF2FA0"/>
    <w:rsid w:val="00EF58B5"/>
    <w:rsid w:val="00EF771D"/>
    <w:rsid w:val="00F002FA"/>
    <w:rsid w:val="00F011EC"/>
    <w:rsid w:val="00F02F80"/>
    <w:rsid w:val="00F03056"/>
    <w:rsid w:val="00F03B88"/>
    <w:rsid w:val="00F03BE5"/>
    <w:rsid w:val="00F054EB"/>
    <w:rsid w:val="00F05FCA"/>
    <w:rsid w:val="00F067AA"/>
    <w:rsid w:val="00F074F3"/>
    <w:rsid w:val="00F100E5"/>
    <w:rsid w:val="00F107FB"/>
    <w:rsid w:val="00F137C0"/>
    <w:rsid w:val="00F13A48"/>
    <w:rsid w:val="00F13DB2"/>
    <w:rsid w:val="00F15146"/>
    <w:rsid w:val="00F15F7A"/>
    <w:rsid w:val="00F167E3"/>
    <w:rsid w:val="00F178A9"/>
    <w:rsid w:val="00F178E0"/>
    <w:rsid w:val="00F200E9"/>
    <w:rsid w:val="00F21CC3"/>
    <w:rsid w:val="00F21FEA"/>
    <w:rsid w:val="00F22707"/>
    <w:rsid w:val="00F232C0"/>
    <w:rsid w:val="00F26972"/>
    <w:rsid w:val="00F277BD"/>
    <w:rsid w:val="00F307FC"/>
    <w:rsid w:val="00F31E8F"/>
    <w:rsid w:val="00F32FAC"/>
    <w:rsid w:val="00F35269"/>
    <w:rsid w:val="00F35D25"/>
    <w:rsid w:val="00F36F6B"/>
    <w:rsid w:val="00F4035C"/>
    <w:rsid w:val="00F4125C"/>
    <w:rsid w:val="00F415A4"/>
    <w:rsid w:val="00F416C3"/>
    <w:rsid w:val="00F4280B"/>
    <w:rsid w:val="00F428A9"/>
    <w:rsid w:val="00F4395B"/>
    <w:rsid w:val="00F441A9"/>
    <w:rsid w:val="00F47112"/>
    <w:rsid w:val="00F47983"/>
    <w:rsid w:val="00F50CC3"/>
    <w:rsid w:val="00F53090"/>
    <w:rsid w:val="00F54F6C"/>
    <w:rsid w:val="00F5692C"/>
    <w:rsid w:val="00F57172"/>
    <w:rsid w:val="00F57432"/>
    <w:rsid w:val="00F60070"/>
    <w:rsid w:val="00F60080"/>
    <w:rsid w:val="00F60574"/>
    <w:rsid w:val="00F619D6"/>
    <w:rsid w:val="00F62C60"/>
    <w:rsid w:val="00F63BDD"/>
    <w:rsid w:val="00F64FA8"/>
    <w:rsid w:val="00F65D89"/>
    <w:rsid w:val="00F65DBF"/>
    <w:rsid w:val="00F65FC5"/>
    <w:rsid w:val="00F67726"/>
    <w:rsid w:val="00F678FE"/>
    <w:rsid w:val="00F67C3A"/>
    <w:rsid w:val="00F70BB3"/>
    <w:rsid w:val="00F717C6"/>
    <w:rsid w:val="00F72087"/>
    <w:rsid w:val="00F72513"/>
    <w:rsid w:val="00F727C1"/>
    <w:rsid w:val="00F72DFD"/>
    <w:rsid w:val="00F733B3"/>
    <w:rsid w:val="00F74DD3"/>
    <w:rsid w:val="00F761F3"/>
    <w:rsid w:val="00F820D9"/>
    <w:rsid w:val="00F82BCF"/>
    <w:rsid w:val="00F83217"/>
    <w:rsid w:val="00F84778"/>
    <w:rsid w:val="00F852DD"/>
    <w:rsid w:val="00F8648D"/>
    <w:rsid w:val="00F86F99"/>
    <w:rsid w:val="00F8715C"/>
    <w:rsid w:val="00F924D1"/>
    <w:rsid w:val="00F92A38"/>
    <w:rsid w:val="00F92E93"/>
    <w:rsid w:val="00F930CD"/>
    <w:rsid w:val="00F94AAC"/>
    <w:rsid w:val="00F9533D"/>
    <w:rsid w:val="00F95AE4"/>
    <w:rsid w:val="00F96D14"/>
    <w:rsid w:val="00F97024"/>
    <w:rsid w:val="00F978B2"/>
    <w:rsid w:val="00FA0867"/>
    <w:rsid w:val="00FA09B4"/>
    <w:rsid w:val="00FA1455"/>
    <w:rsid w:val="00FA16CE"/>
    <w:rsid w:val="00FA1E7D"/>
    <w:rsid w:val="00FA29D1"/>
    <w:rsid w:val="00FA31E9"/>
    <w:rsid w:val="00FA33D6"/>
    <w:rsid w:val="00FA3B98"/>
    <w:rsid w:val="00FA447F"/>
    <w:rsid w:val="00FA56FC"/>
    <w:rsid w:val="00FA6C78"/>
    <w:rsid w:val="00FB2CA7"/>
    <w:rsid w:val="00FB3385"/>
    <w:rsid w:val="00FB3467"/>
    <w:rsid w:val="00FB368D"/>
    <w:rsid w:val="00FB4BEC"/>
    <w:rsid w:val="00FB5458"/>
    <w:rsid w:val="00FB599D"/>
    <w:rsid w:val="00FB5F03"/>
    <w:rsid w:val="00FB65E9"/>
    <w:rsid w:val="00FB678F"/>
    <w:rsid w:val="00FB6EF4"/>
    <w:rsid w:val="00FB73B2"/>
    <w:rsid w:val="00FB79AA"/>
    <w:rsid w:val="00FC19CE"/>
    <w:rsid w:val="00FC2947"/>
    <w:rsid w:val="00FC30DB"/>
    <w:rsid w:val="00FC3966"/>
    <w:rsid w:val="00FC4652"/>
    <w:rsid w:val="00FC4FA4"/>
    <w:rsid w:val="00FC70A3"/>
    <w:rsid w:val="00FC723F"/>
    <w:rsid w:val="00FD0DC9"/>
    <w:rsid w:val="00FD1C08"/>
    <w:rsid w:val="00FD2995"/>
    <w:rsid w:val="00FD2CCF"/>
    <w:rsid w:val="00FD6272"/>
    <w:rsid w:val="00FD72E4"/>
    <w:rsid w:val="00FE082D"/>
    <w:rsid w:val="00FE1334"/>
    <w:rsid w:val="00FE25ED"/>
    <w:rsid w:val="00FE390E"/>
    <w:rsid w:val="00FE5198"/>
    <w:rsid w:val="00FE54EC"/>
    <w:rsid w:val="00FE58C1"/>
    <w:rsid w:val="00FE603A"/>
    <w:rsid w:val="00FF092C"/>
    <w:rsid w:val="00FF09A5"/>
    <w:rsid w:val="00FF212B"/>
    <w:rsid w:val="00FF2DDD"/>
    <w:rsid w:val="00FF3DC0"/>
    <w:rsid w:val="00FF5FA3"/>
    <w:rsid w:val="00FF63F8"/>
    <w:rsid w:val="00FF772E"/>
    <w:rsid w:val="00FF7D9A"/>
    <w:rsid w:val="00FF7ECB"/>
    <w:rsid w:val="6EFA1C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B61B33C"/>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_0"/>
    <w:basedOn w:val="Tabelanormal"/>
    <w:uiPriority w:val="51"/>
    <w:rsid w:val="004E230D"/>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Appendix,Car4,Draft,Draft1,Draft2,Guideline,Header Char Char Char,Heading 1a,Heading 1a Char Char Char Char,Table header,encabezado,encabezado Char Char Char Char Char,even"/>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Appendix Char,Car4 Char,Draft Char,Draft1 Char,Draft2 Char,Guideline Char,Header Char Char Char Char,Heading 1a Char,Heading 1a Char Char Char Char Char,Table header Char,encabezado Char,encabezado Char Char Char Char Char Char,even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uiPriority w:val="99"/>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_0"/>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_0"/>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_0"/>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_0"/>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_0"/>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_0"/>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_0"/>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_0"/>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_0"/>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117C0C"/>
    <w:rPr>
      <w:color w:val="605E5C"/>
      <w:shd w:val="clear" w:color="auto" w:fill="E1DFDD"/>
    </w:rPr>
  </w:style>
  <w:style w:type="paragraph" w:customStyle="1" w:styleId="Lista1">
    <w:name w:val="Lista1"/>
    <w:basedOn w:val="Normal"/>
    <w:qFormat/>
    <w:rsid w:val="00402DCE"/>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7D328C"/>
    <w:pPr>
      <w:tabs>
        <w:tab w:val="left" w:pos="7083"/>
      </w:tabs>
      <w:spacing w:before="120" w:after="120" w:line="240" w:lineRule="auto"/>
      <w:ind w:right="57"/>
      <w:jc w:val="both"/>
    </w:pPr>
    <w:rPr>
      <w:rFonts w:ascii="Calibri" w:hAnsi="Calibri"/>
      <w:color w:val="002D4B"/>
      <w:sz w:val="20"/>
    </w:rPr>
  </w:style>
  <w:style w:type="character" w:customStyle="1" w:styleId="xcontentpasted0">
    <w:name w:val="x_contentpasted0"/>
    <w:basedOn w:val="Fontepargpadro"/>
    <w:rsid w:val="007B5513"/>
  </w:style>
  <w:style w:type="character" w:customStyle="1" w:styleId="ui-provider">
    <w:name w:val="ui-provider"/>
    <w:basedOn w:val="Fontepargpadro"/>
    <w:rsid w:val="007B1F06"/>
  </w:style>
  <w:style w:type="character" w:styleId="MenoPendente">
    <w:name w:val="Unresolved Mention"/>
    <w:basedOn w:val="Fontepargpadro"/>
    <w:uiPriority w:val="99"/>
    <w:rsid w:val="00FB6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seguridaderi.com,br/en/market-information/results-cen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Metadata/LabelInfo.xml><?xml version="1.0" encoding="utf-8"?>
<clbl:labelList xmlns:clbl="http://schemas.microsoft.com/office/2020/mipLabelMetadata">
  <clbl:label id="{1ba22eba-d59e-42ba-acb9-085eb1026b66}" enabled="1" method="Privilege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2667</Words>
  <Characters>15099</Characters>
  <Application>Microsoft Office Word</Application>
  <DocSecurity>0</DocSecurity>
  <Lines>408</Lines>
  <Paragraphs>291</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Edson Nogueira Dias</dc:creator>
  <cp:lastModifiedBy>Suzi Hayashi Arakawa</cp:lastModifiedBy>
  <cp:revision>2</cp:revision>
  <cp:lastPrinted>2021-11-05T22:28:00Z</cp:lastPrinted>
  <dcterms:created xsi:type="dcterms:W3CDTF">2026-03-03T11:58:00Z</dcterms:created>
  <dcterms:modified xsi:type="dcterms:W3CDTF">2026-03-03T11:58:00Z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ActionId">
    <vt:lpwstr>91b1b637-06b8-4ee5-907d-9a9ca7be2c84</vt:lpwstr>
  </property>
  <property fmtid="{D5CDD505-2E9C-101B-9397-08002B2CF9AE}" pid="3" name="MSIP_Label_bdc767d2-732a-4924-9cd7-80a15a296575_ContentBits">
    <vt:lpwstr>1</vt:lpwstr>
  </property>
  <property fmtid="{D5CDD505-2E9C-101B-9397-08002B2CF9AE}" pid="4" name="MSIP_Label_bdc767d2-732a-4924-9cd7-80a15a296575_Enabled">
    <vt:lpwstr>true</vt:lpwstr>
  </property>
  <property fmtid="{D5CDD505-2E9C-101B-9397-08002B2CF9AE}" pid="5" name="MSIP_Label_bdc767d2-732a-4924-9cd7-80a15a296575_Method">
    <vt:lpwstr>Privileged</vt:lpwstr>
  </property>
  <property fmtid="{D5CDD505-2E9C-101B-9397-08002B2CF9AE}" pid="6" name="MSIP_Label_bdc767d2-732a-4924-9cd7-80a15a296575_Name">
    <vt:lpwstr>bdc767d2-732a-4924-9cd7-80a15a296575</vt:lpwstr>
  </property>
  <property fmtid="{D5CDD505-2E9C-101B-9397-08002B2CF9AE}" pid="7" name="MSIP_Label_bdc767d2-732a-4924-9cd7-80a15a296575_SetDate">
    <vt:lpwstr>2023-02-07T18:04:47Z</vt:lpwstr>
  </property>
  <property fmtid="{D5CDD505-2E9C-101B-9397-08002B2CF9AE}" pid="8" name="MSIP_Label_bdc767d2-732a-4924-9cd7-80a15a296575_SiteId">
    <vt:lpwstr>ea0c2907-38d2-4181-8750-b0b190b60443</vt:lpwstr>
  </property>
  <property fmtid="{D5CDD505-2E9C-101B-9397-08002B2CF9AE}" pid="9" name="ClassificationContentMarkingHeaderShapeIds">
    <vt:lpwstr>47f95ea6,f189e9,53684a5e</vt:lpwstr>
  </property>
  <property fmtid="{D5CDD505-2E9C-101B-9397-08002B2CF9AE}" pid="10" name="ClassificationContentMarkingHeaderFontProps">
    <vt:lpwstr>#000000,10,Aptos</vt:lpwstr>
  </property>
  <property fmtid="{D5CDD505-2E9C-101B-9397-08002B2CF9AE}" pid="11" name="ClassificationContentMarkingHeaderText">
    <vt:lpwstr>#Pública</vt:lpwstr>
  </property>
</Properties>
</file>